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967" w:rsidRPr="00156654" w:rsidRDefault="005B7D01" w:rsidP="00A55967">
      <w:pPr>
        <w:pStyle w:val="SemEspaamento"/>
        <w:jc w:val="center"/>
        <w:rPr>
          <w:rFonts w:ascii="Cambria" w:hAnsi="Cambria"/>
          <w:sz w:val="72"/>
          <w:szCs w:val="72"/>
        </w:rPr>
      </w:pPr>
      <w:r>
        <w:rPr>
          <w:noProof/>
          <w:lang w:eastAsia="pt-BR"/>
        </w:rPr>
        <w:pict>
          <v:rect id="Rectangle 5" o:spid="_x0000_s1029" style="position:absolute;left:0;text-align:left;margin-left:25.6pt;margin-top:-19.55pt;width:7.15pt;height:882.6pt;z-index:25166336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XGIQIAAD0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" o:allowincell="f">
            <w10:wrap anchorx="page" anchory="page"/>
          </v:rect>
        </w:pict>
      </w:r>
      <w:r w:rsidR="001640FC">
        <w:rPr>
          <w:rFonts w:ascii="Cambria" w:hAnsi="Cambria"/>
          <w:noProof/>
          <w:sz w:val="72"/>
          <w:szCs w:val="72"/>
          <w:lang w:eastAsia="pt-BR"/>
        </w:rPr>
        <w:drawing>
          <wp:inline distT="0" distB="0" distL="0" distR="0">
            <wp:extent cx="1860550" cy="1031240"/>
            <wp:effectExtent l="0" t="0" r="6350" b="0"/>
            <wp:docPr id="16" name="Imagem 0" descr="SEGUNDA-VIA-CEB-–-SOLICITAR-2-VIA-PARA-PAGEMNTO-DETUDO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SEGUNDA-VIA-CEB-–-SOLICITAR-2-VIA-PARA-PAGEMNTO-DETUDOWEB-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0550" cy="1031240"/>
                    </a:xfrm>
                    <a:prstGeom prst="rect">
                      <a:avLst/>
                    </a:prstGeom>
                    <a:noFill/>
                    <a:ln>
                      <a:noFill/>
                    </a:ln>
                  </pic:spPr>
                </pic:pic>
              </a:graphicData>
            </a:graphic>
          </wp:inline>
        </w:drawing>
      </w:r>
    </w:p>
    <w:p w:rsidR="00A55967" w:rsidRDefault="005B7D01" w:rsidP="00231B62">
      <w:pPr>
        <w:pStyle w:val="SemEspaamento"/>
        <w:spacing w:before="120"/>
        <w:jc w:val="center"/>
        <w:rPr>
          <w:rFonts w:ascii="Times New Roman" w:hAnsi="Times New Roman"/>
          <w:b/>
          <w:smallCaps/>
          <w:sz w:val="56"/>
          <w:szCs w:val="56"/>
        </w:rPr>
      </w:pPr>
      <w:r>
        <w:rPr>
          <w:noProof/>
          <w:lang w:eastAsia="pt-BR"/>
        </w:rPr>
        <w:pict>
          <v:rect id="Rectangle 2" o:spid="_x0000_s1026" style="position:absolute;left:0;text-align:left;margin-left:0;margin-top:0;width:623.55pt;height:49.4pt;z-index:25166028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" o:allowincell="f" fillcolor="#002060">
            <w10:wrap anchorx="page" anchory="page"/>
          </v:rect>
        </w:pict>
      </w:r>
      <w:r>
        <w:rPr>
          <w:noProof/>
          <w:lang w:eastAsia="pt-BR"/>
        </w:rPr>
        <w:pict>
          <v:rect id="Rectangle 4" o:spid="_x0000_s1028" style="position:absolute;left:0;text-align:left;margin-left:570.3pt;margin-top:-20.3pt;width:7.15pt;height:882.6pt;z-index:25166233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zXHwIAADw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" o:allowincell="f">
            <w10:wrap anchorx="page" anchory="page"/>
          </v:rect>
        </w:pict>
      </w:r>
      <w:r>
        <w:rPr>
          <w:noProof/>
          <w:lang w:eastAsia="pt-BR"/>
        </w:rPr>
        <w:pict>
          <v:rect id="Rectangle 3" o:spid="_x0000_s1027" style="position:absolute;left:0;text-align:left;margin-left:-14.15pt;margin-top:.75pt;width:623.9pt;height:49.45pt;z-index:251661312;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" o:allowincell="f" fillcolor="#002060">
            <w10:wrap anchorx="page" anchory="page"/>
          </v:rect>
        </w:pict>
      </w:r>
      <w:r w:rsidR="00A55967" w:rsidRPr="00A55967">
        <w:rPr>
          <w:rFonts w:ascii="Times New Roman" w:hAnsi="Times New Roman"/>
          <w:b/>
          <w:smallCaps/>
          <w:sz w:val="56"/>
          <w:szCs w:val="56"/>
        </w:rPr>
        <w:t>RELATÓRIO DA ADMINISTRAÇÃ</w:t>
      </w:r>
      <w:r w:rsidR="00A55967">
        <w:rPr>
          <w:rFonts w:ascii="Times New Roman" w:hAnsi="Times New Roman"/>
          <w:b/>
          <w:smallCaps/>
          <w:sz w:val="56"/>
          <w:szCs w:val="56"/>
        </w:rPr>
        <w:t>O E DEMONSTRAÇÕES FINANCEIRAS</w:t>
      </w:r>
      <w:r w:rsidR="00A55967" w:rsidRPr="00A55967">
        <w:rPr>
          <w:rFonts w:ascii="Times New Roman" w:hAnsi="Times New Roman"/>
          <w:b/>
          <w:smallCaps/>
          <w:sz w:val="56"/>
          <w:szCs w:val="56"/>
        </w:rPr>
        <w:t xml:space="preserve"> 201</w:t>
      </w:r>
      <w:r w:rsidR="006260B4">
        <w:rPr>
          <w:rFonts w:ascii="Times New Roman" w:hAnsi="Times New Roman"/>
          <w:b/>
          <w:smallCaps/>
          <w:sz w:val="56"/>
          <w:szCs w:val="56"/>
        </w:rPr>
        <w:t>6</w:t>
      </w:r>
    </w:p>
    <w:p w:rsidR="00411D20" w:rsidRDefault="00411D20" w:rsidP="00A55967">
      <w:pPr>
        <w:pStyle w:val="SemEspaamento"/>
        <w:jc w:val="center"/>
        <w:rPr>
          <w:rFonts w:ascii="Times New Roman" w:hAnsi="Times New Roman"/>
          <w:b/>
          <w:sz w:val="36"/>
          <w:szCs w:val="36"/>
          <w:lang w:bidi="en-US"/>
        </w:rPr>
      </w:pPr>
    </w:p>
    <w:p w:rsidR="00D31B16" w:rsidRPr="004E2868" w:rsidRDefault="00A55967" w:rsidP="00A55967">
      <w:pPr>
        <w:pStyle w:val="SemEspaamento"/>
        <w:jc w:val="center"/>
        <w:rPr>
          <w:rFonts w:ascii="Times New Roman" w:hAnsi="Times New Roman"/>
          <w:b/>
          <w:sz w:val="40"/>
          <w:szCs w:val="40"/>
          <w:lang w:bidi="en-US"/>
        </w:rPr>
      </w:pPr>
      <w:r w:rsidRPr="004E2868">
        <w:rPr>
          <w:rFonts w:ascii="Times New Roman" w:hAnsi="Times New Roman"/>
          <w:b/>
          <w:sz w:val="40"/>
          <w:szCs w:val="40"/>
          <w:lang w:bidi="en-US"/>
        </w:rPr>
        <w:t xml:space="preserve">COMPANHIA ENERGÉTICA DE BRASÍLIA </w:t>
      </w:r>
      <w:r w:rsidR="00C718F8" w:rsidRPr="004E2868">
        <w:rPr>
          <w:rFonts w:ascii="Times New Roman" w:hAnsi="Times New Roman"/>
          <w:b/>
          <w:sz w:val="40"/>
          <w:szCs w:val="40"/>
          <w:lang w:bidi="en-US"/>
        </w:rPr>
        <w:t>–</w:t>
      </w:r>
      <w:r w:rsidRPr="004E2868">
        <w:rPr>
          <w:rFonts w:ascii="Times New Roman" w:hAnsi="Times New Roman"/>
          <w:b/>
          <w:sz w:val="40"/>
          <w:szCs w:val="40"/>
          <w:lang w:bidi="en-US"/>
        </w:rPr>
        <w:t xml:space="preserve"> CEB</w:t>
      </w:r>
    </w:p>
    <w:p w:rsidR="00411D20" w:rsidRDefault="00411D20" w:rsidP="00674729">
      <w:pPr>
        <w:pStyle w:val="SemEspaamento"/>
        <w:jc w:val="center"/>
        <w:rPr>
          <w:sz w:val="72"/>
          <w:szCs w:val="72"/>
        </w:rPr>
      </w:pPr>
    </w:p>
    <w:p w:rsidR="004C227D" w:rsidRPr="002D4B33" w:rsidRDefault="005B7D01" w:rsidP="004E2868">
      <w:pPr>
        <w:pStyle w:val="SemEspaamento"/>
        <w:ind w:hanging="567"/>
        <w:jc w:val="right"/>
        <w:rPr>
          <w:b/>
          <w:bCs/>
        </w:rPr>
      </w:pPr>
      <w:r>
        <w:rPr>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4pt;height:360.45pt">
            <v:imagedata r:id="rId20" o:title="EixoMonumental-03062015-TonyWinston"/>
          </v:shape>
        </w:pict>
      </w:r>
      <w:r w:rsidR="004E2868" w:rsidRPr="00E271CA">
        <w:rPr>
          <w:rFonts w:ascii="Times New Roman" w:hAnsi="Times New Roman"/>
          <w:b/>
          <w:sz w:val="20"/>
          <w:szCs w:val="20"/>
        </w:rPr>
        <w:t>Tony Winston/Agência Brasília</w:t>
      </w:r>
      <w:r w:rsidR="00A55967">
        <w:rPr>
          <w:sz w:val="72"/>
          <w:szCs w:val="72"/>
        </w:rPr>
        <w:br w:type="page"/>
      </w:r>
    </w:p>
    <w:p w:rsidR="004C227D" w:rsidRPr="00703F75" w:rsidRDefault="00CA6C99" w:rsidP="00BC27E0">
      <w:pPr>
        <w:pStyle w:val="CabealhodoSumrio"/>
        <w:jc w:val="center"/>
        <w:rPr>
          <w:rFonts w:ascii="Times New Roman" w:hAnsi="Times New Roman"/>
          <w:color w:val="auto"/>
          <w:sz w:val="40"/>
          <w:szCs w:val="40"/>
        </w:rPr>
      </w:pPr>
      <w:r w:rsidRPr="00703F75">
        <w:rPr>
          <w:rFonts w:ascii="Times New Roman" w:hAnsi="Times New Roman"/>
          <w:color w:val="auto"/>
          <w:sz w:val="40"/>
          <w:szCs w:val="40"/>
        </w:rPr>
        <w:lastRenderedPageBreak/>
        <w:t>Sumário</w:t>
      </w:r>
    </w:p>
    <w:p w:rsidR="00703F75" w:rsidRDefault="00703F75" w:rsidP="00703F75">
      <w:pPr>
        <w:rPr>
          <w:lang w:eastAsia="en-US"/>
        </w:rPr>
      </w:pPr>
    </w:p>
    <w:p w:rsidR="00703F75" w:rsidRPr="00703F75" w:rsidRDefault="00703F75" w:rsidP="00703F75">
      <w:pPr>
        <w:rPr>
          <w:lang w:eastAsia="en-US"/>
        </w:rPr>
      </w:pPr>
    </w:p>
    <w:p w:rsidR="00C2200D" w:rsidRPr="00C2200D" w:rsidRDefault="00061AA6" w:rsidP="00C2200D">
      <w:pPr>
        <w:pStyle w:val="Sumrio3"/>
        <w:rPr>
          <w:rFonts w:ascii="Times New Roman" w:eastAsiaTheme="minorEastAsia" w:hAnsi="Times New Roman"/>
          <w:b/>
          <w:noProof/>
          <w:lang w:eastAsia="pt-BR"/>
        </w:rPr>
      </w:pPr>
      <w:r w:rsidRPr="00C2200D">
        <w:rPr>
          <w:rFonts w:ascii="Times New Roman" w:hAnsi="Times New Roman"/>
          <w:b/>
        </w:rPr>
        <w:fldChar w:fldCharType="begin"/>
      </w:r>
      <w:r w:rsidR="004C227D" w:rsidRPr="00C2200D">
        <w:rPr>
          <w:rFonts w:ascii="Times New Roman" w:hAnsi="Times New Roman"/>
          <w:b/>
        </w:rPr>
        <w:instrText xml:space="preserve"> TOC \o "1-3" \h \z \u </w:instrText>
      </w:r>
      <w:r w:rsidRPr="00C2200D">
        <w:rPr>
          <w:rFonts w:ascii="Times New Roman" w:hAnsi="Times New Roman"/>
          <w:b/>
        </w:rPr>
        <w:fldChar w:fldCharType="separate"/>
      </w:r>
      <w:hyperlink w:anchor="_Toc478141837" w:history="1">
        <w:r w:rsidR="00C2200D" w:rsidRPr="00C2200D">
          <w:rPr>
            <w:rStyle w:val="Hyperlink"/>
            <w:rFonts w:ascii="Times New Roman" w:hAnsi="Times New Roman"/>
            <w:b/>
            <w:noProof/>
          </w:rPr>
          <w:t>I.</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MENSAGEM DA ADMINISTRAÇÃO</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_Toc478141837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3</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38" w:history="1">
        <w:r w:rsidR="00C2200D" w:rsidRPr="00C2200D">
          <w:rPr>
            <w:rStyle w:val="Hyperlink"/>
            <w:rFonts w:ascii="Times New Roman" w:hAnsi="Times New Roman"/>
            <w:b/>
            <w:noProof/>
          </w:rPr>
          <w:t>II.</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CENÁRIO MACROECONÔMICO</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_Toc478141838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6</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39" w:history="1">
        <w:r w:rsidR="00C2200D" w:rsidRPr="00C2200D">
          <w:rPr>
            <w:rStyle w:val="Hyperlink"/>
            <w:rFonts w:ascii="Times New Roman" w:hAnsi="Times New Roman"/>
            <w:b/>
            <w:noProof/>
          </w:rPr>
          <w:t>III.</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PERFIL DA COMPANHIA</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_Toc478141839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6</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40" w:history="1">
        <w:r w:rsidR="00C2200D" w:rsidRPr="00C2200D">
          <w:rPr>
            <w:rStyle w:val="Hyperlink"/>
            <w:rFonts w:ascii="Times New Roman" w:hAnsi="Times New Roman"/>
            <w:b/>
            <w:noProof/>
          </w:rPr>
          <w:t>IV.</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NEGÓCIOS DA COMPANHIA</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_Toc478141840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8</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41" w:history="1">
        <w:r w:rsidR="00C2200D" w:rsidRPr="00C2200D">
          <w:rPr>
            <w:rStyle w:val="Hyperlink"/>
            <w:rFonts w:ascii="Times New Roman" w:hAnsi="Times New Roman"/>
            <w:b/>
            <w:noProof/>
          </w:rPr>
          <w:t>V.</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DESEMPENHO ECONÔMICO-FINANCEIRO CONSOLIDADO</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_Toc478141841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19</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42" w:history="1">
        <w:r w:rsidR="00C2200D" w:rsidRPr="00C2200D">
          <w:rPr>
            <w:rStyle w:val="Hyperlink"/>
            <w:rFonts w:ascii="Times New Roman" w:hAnsi="Times New Roman"/>
            <w:b/>
            <w:noProof/>
          </w:rPr>
          <w:t>VI.</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GESTÃO DE PESSOAS</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_Toc478141842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23</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43" w:history="1">
        <w:r w:rsidR="00C2200D" w:rsidRPr="00C2200D">
          <w:rPr>
            <w:rStyle w:val="Hyperlink"/>
            <w:rFonts w:ascii="Times New Roman" w:hAnsi="Times New Roman"/>
            <w:b/>
            <w:noProof/>
          </w:rPr>
          <w:t>VII.</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RESPONSABILIDADE SOCIOAMBIENTAL</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_Toc478141843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24</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44" w:history="1">
        <w:r w:rsidR="00C2200D" w:rsidRPr="00C2200D">
          <w:rPr>
            <w:rStyle w:val="Hyperlink"/>
            <w:rFonts w:ascii="Times New Roman" w:hAnsi="Times New Roman"/>
            <w:b/>
            <w:noProof/>
          </w:rPr>
          <w:t>VIII.</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PERSPECTIVAS EMPRESARIAIS</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_Toc478141844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26</w:t>
        </w:r>
        <w:r w:rsidR="00C2200D" w:rsidRPr="00C2200D">
          <w:rPr>
            <w:rFonts w:ascii="Times New Roman" w:hAnsi="Times New Roman"/>
            <w:b/>
            <w:noProof/>
            <w:webHidden/>
          </w:rPr>
          <w:fldChar w:fldCharType="end"/>
        </w:r>
      </w:hyperlink>
    </w:p>
    <w:p w:rsidR="00C2200D" w:rsidRPr="00C2200D" w:rsidRDefault="005B7D01" w:rsidP="00C2200D">
      <w:pPr>
        <w:pStyle w:val="Sumrio3"/>
        <w:rPr>
          <w:rFonts w:ascii="Times New Roman" w:eastAsiaTheme="minorEastAsia" w:hAnsi="Times New Roman"/>
          <w:b/>
          <w:noProof/>
          <w:lang w:eastAsia="pt-BR"/>
        </w:rPr>
      </w:pPr>
      <w:hyperlink w:anchor="_Toc478141845" w:history="1">
        <w:r w:rsidR="00C2200D" w:rsidRPr="00C2200D">
          <w:rPr>
            <w:rStyle w:val="Hyperlink"/>
            <w:rFonts w:ascii="Times New Roman" w:hAnsi="Times New Roman"/>
            <w:b/>
            <w:noProof/>
          </w:rPr>
          <w:t>IX.</w:t>
        </w:r>
        <w:r w:rsidR="00C2200D" w:rsidRPr="00C2200D">
          <w:rPr>
            <w:rFonts w:ascii="Times New Roman" w:eastAsiaTheme="minorEastAsia" w:hAnsi="Times New Roman"/>
            <w:b/>
            <w:noProof/>
            <w:lang w:eastAsia="pt-BR"/>
          </w:rPr>
          <w:tab/>
        </w:r>
        <w:r w:rsidR="00C2200D" w:rsidRPr="00C2200D">
          <w:rPr>
            <w:rStyle w:val="Hyperlink"/>
            <w:rFonts w:ascii="Times New Roman" w:hAnsi="Times New Roman"/>
            <w:b/>
            <w:noProof/>
          </w:rPr>
          <w:t>AUDITORES INDEPENDENTES</w:t>
        </w:r>
        <w:r w:rsidR="00C2200D" w:rsidRPr="00C2200D">
          <w:rPr>
            <w:rFonts w:ascii="Times New Roman" w:hAnsi="Times New Roman"/>
            <w:b/>
            <w:noProof/>
            <w:webHidden/>
          </w:rPr>
          <w:tab/>
        </w:r>
        <w:r w:rsidR="00C2200D" w:rsidRPr="00C2200D">
          <w:rPr>
            <w:rFonts w:ascii="Times New Roman" w:hAnsi="Times New Roman"/>
            <w:b/>
            <w:noProof/>
            <w:webHidden/>
          </w:rPr>
          <w:fldChar w:fldCharType="begin"/>
        </w:r>
        <w:r w:rsidR="00C2200D" w:rsidRPr="00C2200D">
          <w:rPr>
            <w:rFonts w:ascii="Times New Roman" w:hAnsi="Times New Roman"/>
            <w:b/>
            <w:noProof/>
            <w:webHidden/>
          </w:rPr>
          <w:instrText xml:space="preserve"> PAGEREF _Toc478141845 \h </w:instrText>
        </w:r>
        <w:r w:rsidR="00C2200D" w:rsidRPr="00C2200D">
          <w:rPr>
            <w:rFonts w:ascii="Times New Roman" w:hAnsi="Times New Roman"/>
            <w:b/>
            <w:noProof/>
            <w:webHidden/>
          </w:rPr>
        </w:r>
        <w:r w:rsidR="00C2200D" w:rsidRPr="00C2200D">
          <w:rPr>
            <w:rFonts w:ascii="Times New Roman" w:hAnsi="Times New Roman"/>
            <w:b/>
            <w:noProof/>
            <w:webHidden/>
          </w:rPr>
          <w:fldChar w:fldCharType="separate"/>
        </w:r>
        <w:r w:rsidR="00C2200D">
          <w:rPr>
            <w:rFonts w:ascii="Times New Roman" w:hAnsi="Times New Roman"/>
            <w:b/>
            <w:noProof/>
            <w:webHidden/>
          </w:rPr>
          <w:t>27</w:t>
        </w:r>
        <w:r w:rsidR="00C2200D" w:rsidRPr="00C2200D">
          <w:rPr>
            <w:rFonts w:ascii="Times New Roman" w:hAnsi="Times New Roman"/>
            <w:b/>
            <w:noProof/>
            <w:webHidden/>
          </w:rPr>
          <w:fldChar w:fldCharType="end"/>
        </w:r>
      </w:hyperlink>
    </w:p>
    <w:p w:rsidR="00A55967" w:rsidRPr="00CF71C6" w:rsidRDefault="00061AA6" w:rsidP="004E2868">
      <w:pPr>
        <w:tabs>
          <w:tab w:val="left" w:pos="1134"/>
        </w:tabs>
        <w:rPr>
          <w:b/>
          <w:bCs/>
          <w:sz w:val="22"/>
          <w:szCs w:val="22"/>
          <w:lang w:val="en-US"/>
        </w:rPr>
      </w:pPr>
      <w:r w:rsidRPr="00C2200D">
        <w:rPr>
          <w:b/>
          <w:bCs/>
          <w:noProof/>
          <w:sz w:val="22"/>
          <w:szCs w:val="22"/>
        </w:rPr>
        <w:fldChar w:fldCharType="end"/>
      </w:r>
      <w:r w:rsidR="00A55967" w:rsidRPr="00CF71C6">
        <w:rPr>
          <w:b/>
          <w:bCs/>
          <w:sz w:val="22"/>
          <w:szCs w:val="22"/>
          <w:lang w:val="en-US"/>
        </w:rPr>
        <w:br w:type="page"/>
      </w:r>
    </w:p>
    <w:p w:rsidR="00A55967" w:rsidRPr="00CF71C6" w:rsidRDefault="00A55967" w:rsidP="007B5EED">
      <w:pPr>
        <w:spacing w:before="120" w:after="120" w:line="360" w:lineRule="auto"/>
        <w:jc w:val="center"/>
        <w:rPr>
          <w:b/>
          <w:sz w:val="28"/>
          <w:szCs w:val="28"/>
        </w:rPr>
      </w:pPr>
      <w:r w:rsidRPr="00CF71C6">
        <w:rPr>
          <w:b/>
          <w:sz w:val="28"/>
          <w:szCs w:val="28"/>
        </w:rPr>
        <w:lastRenderedPageBreak/>
        <w:t>RELATÓRIO DA ADMINISTRAÇÃO</w:t>
      </w:r>
      <w:r w:rsidR="00DD148F" w:rsidRPr="00CF71C6">
        <w:rPr>
          <w:b/>
          <w:sz w:val="28"/>
          <w:szCs w:val="28"/>
        </w:rPr>
        <w:t xml:space="preserve"> – </w:t>
      </w:r>
      <w:r w:rsidRPr="00CF71C6">
        <w:rPr>
          <w:b/>
          <w:sz w:val="28"/>
          <w:szCs w:val="28"/>
        </w:rPr>
        <w:t>201</w:t>
      </w:r>
      <w:r w:rsidR="006260B4" w:rsidRPr="00CF71C6">
        <w:rPr>
          <w:b/>
          <w:sz w:val="28"/>
          <w:szCs w:val="28"/>
        </w:rPr>
        <w:t>6</w:t>
      </w:r>
    </w:p>
    <w:p w:rsidR="006E2981" w:rsidRPr="00F93ACC" w:rsidRDefault="00797C5B" w:rsidP="007B5EED">
      <w:pPr>
        <w:pStyle w:val="Ttulo3"/>
        <w:numPr>
          <w:ilvl w:val="0"/>
          <w:numId w:val="10"/>
        </w:numPr>
        <w:tabs>
          <w:tab w:val="left" w:pos="3402"/>
        </w:tabs>
        <w:spacing w:before="120" w:after="120" w:line="360" w:lineRule="auto"/>
      </w:pPr>
      <w:bookmarkStart w:id="0" w:name="_Toc478141837"/>
      <w:r w:rsidRPr="00F93ACC">
        <w:t>MENSAGEM DA ADMINISTRAÇÃO</w:t>
      </w:r>
      <w:bookmarkEnd w:id="0"/>
    </w:p>
    <w:p w:rsidR="00A66238" w:rsidRPr="008D6E65" w:rsidRDefault="00A66238" w:rsidP="007E7E1D">
      <w:pPr>
        <w:spacing w:before="240" w:after="240" w:line="360" w:lineRule="auto"/>
        <w:rPr>
          <w:sz w:val="22"/>
          <w:szCs w:val="22"/>
        </w:rPr>
      </w:pPr>
      <w:r w:rsidRPr="008D6E65">
        <w:rPr>
          <w:sz w:val="22"/>
          <w:szCs w:val="22"/>
        </w:rPr>
        <w:t>Senhores e Senhoras Acionistas,</w:t>
      </w:r>
    </w:p>
    <w:p w:rsidR="00362BD9" w:rsidRPr="00362BD9" w:rsidRDefault="00362BD9" w:rsidP="00362BD9">
      <w:pPr>
        <w:spacing w:before="240" w:after="240"/>
        <w:jc w:val="both"/>
        <w:rPr>
          <w:sz w:val="22"/>
          <w:szCs w:val="22"/>
        </w:rPr>
      </w:pPr>
      <w:r w:rsidRPr="00362BD9">
        <w:rPr>
          <w:sz w:val="22"/>
          <w:szCs w:val="22"/>
        </w:rPr>
        <w:t>De acordo com a legislação vigente e com as disposições estatutárias, temos a honra de apresentar o Relatório da Administração, as Demonstrações Financeiras Consolidadas da Companhia Energética de Brasília – CEB e os pareceres dos Auditores Independentes e do Conselho Fiscal, relativos ao exercício social findo em 31 de dezembro de 2016.</w:t>
      </w:r>
    </w:p>
    <w:p w:rsidR="00362BD9" w:rsidRPr="00362BD9" w:rsidRDefault="00362BD9" w:rsidP="00362BD9">
      <w:pPr>
        <w:spacing w:before="240" w:after="240"/>
        <w:jc w:val="both"/>
        <w:rPr>
          <w:sz w:val="22"/>
          <w:szCs w:val="22"/>
        </w:rPr>
      </w:pPr>
      <w:r w:rsidRPr="00362BD9">
        <w:rPr>
          <w:sz w:val="22"/>
          <w:szCs w:val="22"/>
        </w:rPr>
        <w:t>O ano de 2016 foi para a Companhia, mais uma vez, um período de grandes desafios e também de oportunidades.</w:t>
      </w:r>
    </w:p>
    <w:p w:rsidR="00362BD9" w:rsidRPr="00362BD9" w:rsidRDefault="00362BD9" w:rsidP="00362BD9">
      <w:pPr>
        <w:spacing w:before="240" w:after="240"/>
        <w:jc w:val="both"/>
        <w:rPr>
          <w:sz w:val="22"/>
          <w:szCs w:val="22"/>
        </w:rPr>
      </w:pPr>
      <w:r w:rsidRPr="00362BD9">
        <w:rPr>
          <w:sz w:val="22"/>
          <w:szCs w:val="22"/>
        </w:rPr>
        <w:t>A CEB ainda é uma organização em pleno processo de transformação. De certa forma, a Companhia está passando por um processo de depuração inevitável, mas construtivo.</w:t>
      </w:r>
    </w:p>
    <w:p w:rsidR="00362BD9" w:rsidRPr="00362BD9" w:rsidRDefault="00362BD9" w:rsidP="00362BD9">
      <w:pPr>
        <w:spacing w:before="240" w:after="240"/>
        <w:jc w:val="both"/>
        <w:rPr>
          <w:sz w:val="22"/>
          <w:szCs w:val="22"/>
        </w:rPr>
      </w:pPr>
      <w:r w:rsidRPr="00362BD9">
        <w:rPr>
          <w:sz w:val="22"/>
          <w:szCs w:val="22"/>
        </w:rPr>
        <w:t>Os principais desafios, em 2016, ainda estiveram relaci</w:t>
      </w:r>
      <w:r w:rsidR="004555FA">
        <w:rPr>
          <w:sz w:val="22"/>
          <w:szCs w:val="22"/>
        </w:rPr>
        <w:t>onados com a CEB Distribuição S.</w:t>
      </w:r>
      <w:r w:rsidRPr="00362BD9">
        <w:rPr>
          <w:sz w:val="22"/>
          <w:szCs w:val="22"/>
        </w:rPr>
        <w:t>A</w:t>
      </w:r>
      <w:r w:rsidR="004555FA">
        <w:rPr>
          <w:sz w:val="22"/>
          <w:szCs w:val="22"/>
        </w:rPr>
        <w:t>.</w:t>
      </w:r>
      <w:r w:rsidRPr="00362BD9">
        <w:rPr>
          <w:sz w:val="22"/>
          <w:szCs w:val="22"/>
        </w:rPr>
        <w:t>, tais como a redução dos custos e despesas operacionais; diminuição da elevada alavancagem; redução das fraudes e ligações clandestinas, buscando elevar a receita de venda de energia; melhoria da Base de Remuneração Regulatória para o 4º Ciclo de Revisão Tarifária que ocorreu em outubro de 2016, garantindo uma tarifa mais adequada e mais justa em relação aos investimentos realizados; além da preparação da Distribuidora para as transformações inexoráveis em termos tecnológicos, bem como para as novas e crescentes mudanças regulatórias.</w:t>
      </w:r>
    </w:p>
    <w:p w:rsidR="00362BD9" w:rsidRPr="00362BD9" w:rsidRDefault="00362BD9" w:rsidP="00362BD9">
      <w:pPr>
        <w:spacing w:before="240" w:after="240"/>
        <w:jc w:val="both"/>
        <w:rPr>
          <w:sz w:val="22"/>
          <w:szCs w:val="22"/>
        </w:rPr>
      </w:pPr>
      <w:r w:rsidRPr="00362BD9">
        <w:rPr>
          <w:sz w:val="22"/>
          <w:szCs w:val="22"/>
        </w:rPr>
        <w:t>Outra conquista importante foi conviver e superar um contexto macroeconômico hostil. De fato, o PIB atingiu apenas 0,5% em 2014, seguido de retrações correspondentes a -3,8% em 2015 e -</w:t>
      </w:r>
      <w:r w:rsidR="003F3877">
        <w:rPr>
          <w:sz w:val="22"/>
          <w:szCs w:val="22"/>
        </w:rPr>
        <w:t>3</w:t>
      </w:r>
      <w:r w:rsidRPr="00362BD9">
        <w:rPr>
          <w:sz w:val="22"/>
          <w:szCs w:val="22"/>
        </w:rPr>
        <w:t>,</w:t>
      </w:r>
      <w:r w:rsidR="003F3877">
        <w:rPr>
          <w:sz w:val="22"/>
          <w:szCs w:val="22"/>
        </w:rPr>
        <w:t>6</w:t>
      </w:r>
      <w:r w:rsidRPr="00362BD9">
        <w:rPr>
          <w:sz w:val="22"/>
          <w:szCs w:val="22"/>
        </w:rPr>
        <w:t xml:space="preserve">% em 2016, levando o Brasil a conviver com mais de 12 milhões de desempregados. Essa combinação de recessão com inflação elimina empregos e corrói o poder de compra, o que aumenta, inclusive, o número de pessoas que vive na miséria. </w:t>
      </w:r>
    </w:p>
    <w:p w:rsidR="00362BD9" w:rsidRPr="00362BD9" w:rsidRDefault="00362BD9" w:rsidP="00362BD9">
      <w:pPr>
        <w:spacing w:before="240" w:after="240"/>
        <w:jc w:val="both"/>
        <w:rPr>
          <w:sz w:val="22"/>
          <w:szCs w:val="22"/>
        </w:rPr>
      </w:pPr>
      <w:r w:rsidRPr="00362BD9">
        <w:rPr>
          <w:sz w:val="22"/>
          <w:szCs w:val="22"/>
        </w:rPr>
        <w:t>A crise, em última instância, se disseminou por todos setores: na segurança; na educação; na saúde; e nas contas públicas dos três níveis de governo.</w:t>
      </w:r>
    </w:p>
    <w:p w:rsidR="00362BD9" w:rsidRPr="00362BD9" w:rsidRDefault="00362BD9" w:rsidP="00362BD9">
      <w:pPr>
        <w:spacing w:before="240" w:after="240"/>
        <w:jc w:val="both"/>
        <w:rPr>
          <w:sz w:val="22"/>
          <w:szCs w:val="22"/>
        </w:rPr>
      </w:pPr>
      <w:r w:rsidRPr="00362BD9">
        <w:rPr>
          <w:sz w:val="22"/>
          <w:szCs w:val="22"/>
        </w:rPr>
        <w:t>A consequência mais dire</w:t>
      </w:r>
      <w:r w:rsidR="00D21832">
        <w:rPr>
          <w:sz w:val="22"/>
          <w:szCs w:val="22"/>
        </w:rPr>
        <w:t>ta deste cenário macroeconômico</w:t>
      </w:r>
      <w:r w:rsidRPr="00362BD9">
        <w:rPr>
          <w:sz w:val="22"/>
          <w:szCs w:val="22"/>
        </w:rPr>
        <w:t xml:space="preserve"> pa</w:t>
      </w:r>
      <w:r w:rsidR="004555FA">
        <w:rPr>
          <w:sz w:val="22"/>
          <w:szCs w:val="22"/>
        </w:rPr>
        <w:t>ra o negócio CEB Distribuição S.</w:t>
      </w:r>
      <w:r w:rsidRPr="00362BD9">
        <w:rPr>
          <w:sz w:val="22"/>
          <w:szCs w:val="22"/>
        </w:rPr>
        <w:t>A</w:t>
      </w:r>
      <w:r w:rsidR="004555FA">
        <w:rPr>
          <w:sz w:val="22"/>
          <w:szCs w:val="22"/>
        </w:rPr>
        <w:t>.</w:t>
      </w:r>
      <w:r w:rsidRPr="00362BD9">
        <w:rPr>
          <w:sz w:val="22"/>
          <w:szCs w:val="22"/>
        </w:rPr>
        <w:t xml:space="preserve"> foi a redução no consumo de energia na sua área de concessão, ao diminuir de 6.084 GWh em 2015, para 6.046 GWh em 2016. Essa queda só não foi maior porque o número de unidades consumidoras aumentou 1,4% em 2016.</w:t>
      </w:r>
    </w:p>
    <w:p w:rsidR="00362BD9" w:rsidRPr="00362BD9" w:rsidRDefault="00362BD9" w:rsidP="00362BD9">
      <w:pPr>
        <w:spacing w:before="240" w:after="240"/>
        <w:jc w:val="both"/>
        <w:rPr>
          <w:sz w:val="22"/>
          <w:szCs w:val="22"/>
        </w:rPr>
      </w:pPr>
      <w:r w:rsidRPr="00362BD9">
        <w:rPr>
          <w:sz w:val="22"/>
          <w:szCs w:val="22"/>
        </w:rPr>
        <w:t>Em termos de oportunidades, a Distribuidora conseguiu registrar melhorias importantes, sobretudo na qualidade do serviço, no relacionamento com o seu consumidor e na situação econômico-financeira.</w:t>
      </w:r>
    </w:p>
    <w:p w:rsidR="00362BD9" w:rsidRPr="00362BD9" w:rsidRDefault="00362BD9" w:rsidP="00362BD9">
      <w:pPr>
        <w:spacing w:before="240" w:after="240"/>
        <w:jc w:val="both"/>
        <w:rPr>
          <w:sz w:val="22"/>
          <w:szCs w:val="22"/>
        </w:rPr>
      </w:pPr>
      <w:r w:rsidRPr="00362BD9">
        <w:rPr>
          <w:sz w:val="22"/>
          <w:szCs w:val="22"/>
        </w:rPr>
        <w:t>A qualidade do fornecimento do serviço de energia elétrica é mensurada e monitorada pela ANEEL por meio de dois principais indicadores: o DEC – Duração Equivalente de Interrupção por Unidades Consumidoras e o FEC – Frequência Equivalente de Interrupção por Unidades Consumidoras. O primeiro indica o número de horas que um consumidor fica sem energia elétrica e, o segundo, quantas vezes houve interrupção de energia elétrica para a unidade consumidora.</w:t>
      </w:r>
    </w:p>
    <w:p w:rsidR="00362BD9" w:rsidRPr="00362BD9" w:rsidRDefault="00362BD9" w:rsidP="00362BD9">
      <w:pPr>
        <w:spacing w:before="240" w:after="240"/>
        <w:jc w:val="both"/>
        <w:rPr>
          <w:sz w:val="22"/>
          <w:szCs w:val="22"/>
        </w:rPr>
      </w:pPr>
      <w:r w:rsidRPr="00362BD9">
        <w:rPr>
          <w:sz w:val="22"/>
          <w:szCs w:val="22"/>
        </w:rPr>
        <w:t xml:space="preserve">Tanto para o DEC como para o FEC, </w:t>
      </w:r>
      <w:proofErr w:type="spellStart"/>
      <w:r w:rsidRPr="00362BD9">
        <w:rPr>
          <w:sz w:val="22"/>
          <w:szCs w:val="22"/>
        </w:rPr>
        <w:t>concluimos</w:t>
      </w:r>
      <w:proofErr w:type="spellEnd"/>
      <w:r w:rsidRPr="00362BD9">
        <w:rPr>
          <w:sz w:val="22"/>
          <w:szCs w:val="22"/>
        </w:rPr>
        <w:t xml:space="preserve"> o ano de 2016 atendendo os limites estabelecidos pelo Regulador e com os melhores resultados obtidos desde que os indicadores em consideração foram criados em 2001. Trata-se de um fato inédito!</w:t>
      </w:r>
    </w:p>
    <w:p w:rsidR="00362BD9" w:rsidRPr="00362BD9" w:rsidRDefault="00362BD9" w:rsidP="00362BD9">
      <w:pPr>
        <w:spacing w:before="240" w:after="240"/>
        <w:jc w:val="both"/>
        <w:rPr>
          <w:sz w:val="22"/>
          <w:szCs w:val="22"/>
        </w:rPr>
      </w:pPr>
    </w:p>
    <w:p w:rsidR="006C7BA4" w:rsidRDefault="006C7BA4" w:rsidP="00362BD9">
      <w:pPr>
        <w:spacing w:before="240" w:after="240"/>
        <w:jc w:val="both"/>
        <w:rPr>
          <w:sz w:val="22"/>
          <w:szCs w:val="22"/>
        </w:rPr>
        <w:sectPr w:rsidR="006C7BA4" w:rsidSect="00932E2E">
          <w:headerReference w:type="default" r:id="rId21"/>
          <w:pgSz w:w="11907" w:h="16840" w:code="9"/>
          <w:pgMar w:top="1134" w:right="851" w:bottom="1134" w:left="1134" w:header="227" w:footer="776" w:gutter="0"/>
          <w:cols w:space="720"/>
          <w:docGrid w:linePitch="272"/>
        </w:sectPr>
      </w:pPr>
    </w:p>
    <w:p w:rsidR="00362BD9" w:rsidRPr="00362BD9" w:rsidRDefault="00362BD9" w:rsidP="00362BD9">
      <w:pPr>
        <w:spacing w:before="240" w:after="240"/>
        <w:jc w:val="both"/>
        <w:rPr>
          <w:sz w:val="22"/>
          <w:szCs w:val="22"/>
        </w:rPr>
      </w:pPr>
      <w:r w:rsidRPr="00362BD9">
        <w:rPr>
          <w:sz w:val="22"/>
          <w:szCs w:val="22"/>
        </w:rPr>
        <w:lastRenderedPageBreak/>
        <w:t>Os gráficos seguintes mostram a evolução destes indicadores nos últimos 16 anos:</w:t>
      </w:r>
    </w:p>
    <w:p w:rsidR="0045244D" w:rsidRPr="0045244D" w:rsidRDefault="001A3717" w:rsidP="0045244D">
      <w:pPr>
        <w:spacing w:before="240" w:after="240"/>
        <w:jc w:val="both"/>
        <w:rPr>
          <w:sz w:val="22"/>
          <w:szCs w:val="22"/>
        </w:rPr>
      </w:pPr>
      <w:r w:rsidRPr="001A3717">
        <w:rPr>
          <w:noProof/>
          <w:sz w:val="22"/>
          <w:szCs w:val="22"/>
        </w:rPr>
        <w:drawing>
          <wp:inline distT="0" distB="0" distL="0" distR="0">
            <wp:extent cx="3057287" cy="211377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4597" cy="2118827"/>
                    </a:xfrm>
                    <a:prstGeom prst="rect">
                      <a:avLst/>
                    </a:prstGeom>
                    <a:noFill/>
                  </pic:spPr>
                </pic:pic>
              </a:graphicData>
            </a:graphic>
          </wp:inline>
        </w:drawing>
      </w:r>
      <w:r>
        <w:rPr>
          <w:sz w:val="22"/>
          <w:szCs w:val="22"/>
        </w:rPr>
        <w:t xml:space="preserve"> </w:t>
      </w:r>
      <w:r w:rsidRPr="001A3717">
        <w:rPr>
          <w:noProof/>
          <w:sz w:val="22"/>
          <w:szCs w:val="22"/>
        </w:rPr>
        <w:drawing>
          <wp:inline distT="0" distB="0" distL="0" distR="0">
            <wp:extent cx="3045349" cy="2105520"/>
            <wp:effectExtent l="0" t="0" r="0" b="0"/>
            <wp:docPr id="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583" cy="2104990"/>
                    </a:xfrm>
                    <a:prstGeom prst="rect">
                      <a:avLst/>
                    </a:prstGeom>
                    <a:noFill/>
                  </pic:spPr>
                </pic:pic>
              </a:graphicData>
            </a:graphic>
          </wp:inline>
        </w:drawing>
      </w:r>
    </w:p>
    <w:p w:rsidR="00362BD9" w:rsidRPr="00362BD9" w:rsidRDefault="006E0103" w:rsidP="00362BD9">
      <w:pPr>
        <w:spacing w:before="240" w:after="240"/>
        <w:jc w:val="both"/>
        <w:rPr>
          <w:sz w:val="22"/>
          <w:szCs w:val="22"/>
        </w:rPr>
      </w:pPr>
      <w:r>
        <w:rPr>
          <w:sz w:val="22"/>
          <w:szCs w:val="22"/>
        </w:rPr>
        <w:t>Por outro lado, o</w:t>
      </w:r>
      <w:r w:rsidR="00362BD9" w:rsidRPr="00362BD9">
        <w:rPr>
          <w:sz w:val="22"/>
          <w:szCs w:val="22"/>
        </w:rPr>
        <w:t xml:space="preserve"> foco no relacionamento com o cliente foi um dos principais pilares que direcionaram as ações transf</w:t>
      </w:r>
      <w:r w:rsidR="004555FA">
        <w:rPr>
          <w:sz w:val="22"/>
          <w:szCs w:val="22"/>
        </w:rPr>
        <w:t>ormadoras da CEB Distribuição S.</w:t>
      </w:r>
      <w:r w:rsidR="00362BD9" w:rsidRPr="00362BD9">
        <w:rPr>
          <w:sz w:val="22"/>
          <w:szCs w:val="22"/>
        </w:rPr>
        <w:t>A</w:t>
      </w:r>
      <w:r w:rsidR="004555FA">
        <w:rPr>
          <w:sz w:val="22"/>
          <w:szCs w:val="22"/>
        </w:rPr>
        <w:t>.</w:t>
      </w:r>
      <w:r w:rsidR="00362BD9" w:rsidRPr="00362BD9">
        <w:rPr>
          <w:sz w:val="22"/>
          <w:szCs w:val="22"/>
        </w:rPr>
        <w:t xml:space="preserve">. Nesse sentido, a Empresa investiu na otimização do atendimento prestado pelos empregados que lidam diretamente com o consumidor. Palestras de sensibilização, treinamentos específicos e provas de conhecimento foram realizadas com os atendentes do </w:t>
      </w:r>
      <w:r w:rsidR="00362BD9" w:rsidRPr="00362BD9">
        <w:rPr>
          <w:i/>
          <w:sz w:val="22"/>
          <w:szCs w:val="22"/>
        </w:rPr>
        <w:t>Call Center</w:t>
      </w:r>
      <w:r w:rsidR="00362BD9" w:rsidRPr="00362BD9">
        <w:rPr>
          <w:sz w:val="22"/>
          <w:szCs w:val="22"/>
        </w:rPr>
        <w:t xml:space="preserve"> visando a eliminação de imperfeições no atendimento por meio de telefone, tornando o processo mais ágil, cortês e eficiente.</w:t>
      </w:r>
    </w:p>
    <w:p w:rsidR="00362BD9" w:rsidRPr="00362BD9" w:rsidRDefault="00362BD9" w:rsidP="00362BD9">
      <w:pPr>
        <w:spacing w:before="240" w:after="240"/>
        <w:jc w:val="both"/>
        <w:rPr>
          <w:sz w:val="22"/>
          <w:szCs w:val="22"/>
        </w:rPr>
      </w:pPr>
      <w:r w:rsidRPr="00362BD9">
        <w:rPr>
          <w:sz w:val="22"/>
          <w:szCs w:val="22"/>
        </w:rPr>
        <w:t>Essas melhorias foram percebidas pelos nossos consumidores e provocaram uma redução substancial do volume de reclamações encaminhadas aos vários níveis de atendimentos disponibilizados pela Distribuidora e, inclusive, na Ouvidoria da ANEEL.</w:t>
      </w:r>
    </w:p>
    <w:p w:rsidR="00362BD9" w:rsidRPr="00362BD9" w:rsidRDefault="00362BD9" w:rsidP="00362BD9">
      <w:pPr>
        <w:spacing w:before="240" w:after="240"/>
        <w:jc w:val="both"/>
        <w:rPr>
          <w:sz w:val="22"/>
          <w:szCs w:val="22"/>
        </w:rPr>
      </w:pPr>
      <w:r w:rsidRPr="00362BD9">
        <w:rPr>
          <w:sz w:val="22"/>
          <w:szCs w:val="22"/>
        </w:rPr>
        <w:t>Isso mostra que o consumidor quando procura nosso teleatendimento resolve, de fato, sua demanda. É também um indicador que mostra o grau de confiabilidade, de segurança e de maturidade do nosso atendimento. O consumidor, por sua vez, confia que o seu problema será resolvido.</w:t>
      </w:r>
    </w:p>
    <w:p w:rsidR="00362BD9" w:rsidRDefault="00362BD9" w:rsidP="00362BD9">
      <w:pPr>
        <w:spacing w:before="240" w:after="240"/>
        <w:jc w:val="both"/>
        <w:rPr>
          <w:sz w:val="22"/>
          <w:szCs w:val="22"/>
        </w:rPr>
      </w:pPr>
      <w:r w:rsidRPr="00362BD9">
        <w:rPr>
          <w:sz w:val="22"/>
          <w:szCs w:val="22"/>
        </w:rPr>
        <w:t>Como se pode observar, não obstante as dificuldades decorrentes do contexto macroeconômico, a Administração não mediu esforços para dar nova dimensão à Companhia buscando, assim, o melhor d</w:t>
      </w:r>
      <w:r w:rsidR="00345D9B">
        <w:rPr>
          <w:sz w:val="22"/>
          <w:szCs w:val="22"/>
        </w:rPr>
        <w:t>esempenho na CEB Distribuição S.</w:t>
      </w:r>
      <w:r w:rsidRPr="00362BD9">
        <w:rPr>
          <w:sz w:val="22"/>
          <w:szCs w:val="22"/>
        </w:rPr>
        <w:t>A</w:t>
      </w:r>
      <w:r w:rsidR="00345D9B">
        <w:rPr>
          <w:sz w:val="22"/>
          <w:szCs w:val="22"/>
        </w:rPr>
        <w:t>.</w:t>
      </w:r>
      <w:r w:rsidRPr="00362BD9">
        <w:rPr>
          <w:sz w:val="22"/>
          <w:szCs w:val="22"/>
        </w:rPr>
        <w:t xml:space="preserve"> mas, também, em todos os seus negócios.</w:t>
      </w:r>
    </w:p>
    <w:p w:rsidR="00D8097C" w:rsidRPr="00A172AD" w:rsidRDefault="00D8097C" w:rsidP="00D8097C">
      <w:pPr>
        <w:spacing w:before="240" w:after="240"/>
        <w:jc w:val="both"/>
        <w:rPr>
          <w:sz w:val="22"/>
          <w:szCs w:val="22"/>
        </w:rPr>
      </w:pPr>
      <w:r w:rsidRPr="00A172AD">
        <w:rPr>
          <w:sz w:val="22"/>
          <w:szCs w:val="22"/>
        </w:rPr>
        <w:t xml:space="preserve">Nesse contexto, é relevante destacar </w:t>
      </w:r>
      <w:r w:rsidR="00555C19" w:rsidRPr="00A172AD">
        <w:rPr>
          <w:sz w:val="22"/>
          <w:szCs w:val="22"/>
        </w:rPr>
        <w:t>que em 2016 mais de 75% das distribuidoras apresentaram algum nível de sobrecontratação de energia. A CEB Distribuição S.A. foi uma das mais sobrecontratadas.</w:t>
      </w:r>
    </w:p>
    <w:p w:rsidR="00D8097C" w:rsidRPr="00A172AD" w:rsidRDefault="00555C19" w:rsidP="00D8097C">
      <w:pPr>
        <w:spacing w:before="240" w:after="240"/>
        <w:jc w:val="both"/>
        <w:rPr>
          <w:sz w:val="22"/>
          <w:szCs w:val="22"/>
        </w:rPr>
      </w:pPr>
      <w:r w:rsidRPr="00A172AD">
        <w:rPr>
          <w:sz w:val="22"/>
          <w:szCs w:val="22"/>
        </w:rPr>
        <w:t>Dentre as causas que produziram tal situação</w:t>
      </w:r>
      <w:r w:rsidR="00A172AD" w:rsidRPr="00A172AD">
        <w:rPr>
          <w:sz w:val="22"/>
          <w:szCs w:val="22"/>
        </w:rPr>
        <w:t xml:space="preserve"> destacam-se a</w:t>
      </w:r>
      <w:r w:rsidR="00D8097C" w:rsidRPr="00A172AD">
        <w:rPr>
          <w:sz w:val="22"/>
          <w:szCs w:val="22"/>
        </w:rPr>
        <w:t xml:space="preserve"> retração econômica e os aumentos tarifários ocorridos em 2015 para compensar as perdas ocasionadas pela redução artificial das tarifas promovida pela Medida Provisória nº 579/2012, caus</w:t>
      </w:r>
      <w:r w:rsidR="00A172AD" w:rsidRPr="00A172AD">
        <w:rPr>
          <w:sz w:val="22"/>
          <w:szCs w:val="22"/>
        </w:rPr>
        <w:t>ando</w:t>
      </w:r>
      <w:r w:rsidR="00D8097C" w:rsidRPr="00A172AD">
        <w:rPr>
          <w:sz w:val="22"/>
          <w:szCs w:val="22"/>
        </w:rPr>
        <w:t xml:space="preserve"> uma forte diminuição no consumo de energia elétrica nos mercados das distribuidoras em geral, assim como na CEB Distribuição </w:t>
      </w:r>
      <w:proofErr w:type="gramStart"/>
      <w:r w:rsidR="00D8097C" w:rsidRPr="00A172AD">
        <w:rPr>
          <w:sz w:val="22"/>
          <w:szCs w:val="22"/>
        </w:rPr>
        <w:t>S.A..</w:t>
      </w:r>
      <w:proofErr w:type="gramEnd"/>
    </w:p>
    <w:p w:rsidR="00D8097C" w:rsidRPr="00A172AD" w:rsidRDefault="00D8097C" w:rsidP="00D8097C">
      <w:pPr>
        <w:spacing w:before="240" w:after="240"/>
        <w:jc w:val="both"/>
        <w:rPr>
          <w:sz w:val="22"/>
          <w:szCs w:val="22"/>
        </w:rPr>
      </w:pPr>
      <w:r w:rsidRPr="00A172AD">
        <w:rPr>
          <w:sz w:val="22"/>
          <w:szCs w:val="22"/>
        </w:rPr>
        <w:t>Tal redução no consumo, já em 2015 e com agravamento em 2016, causou os excedentes de energia contratadas pelas distribuidoras, superando o limite regulatório de 5% de sobrecontratação, para o qual há mecanismos de compensação.</w:t>
      </w:r>
    </w:p>
    <w:p w:rsidR="00D8097C" w:rsidRPr="00A172AD" w:rsidRDefault="00D8097C" w:rsidP="00D8097C">
      <w:pPr>
        <w:spacing w:before="240" w:after="240"/>
        <w:jc w:val="both"/>
        <w:rPr>
          <w:sz w:val="22"/>
          <w:szCs w:val="22"/>
        </w:rPr>
      </w:pPr>
      <w:r w:rsidRPr="00A172AD">
        <w:rPr>
          <w:sz w:val="22"/>
          <w:szCs w:val="22"/>
        </w:rPr>
        <w:t>De fato, as sobras de energia da CEB Distribuição S.A. em 2016 foram de 16,27% em relação</w:t>
      </w:r>
      <w:r w:rsidR="004E0DF4" w:rsidRPr="00A172AD">
        <w:rPr>
          <w:sz w:val="22"/>
          <w:szCs w:val="22"/>
        </w:rPr>
        <w:t xml:space="preserve"> ao total de energia contratada</w:t>
      </w:r>
      <w:r w:rsidRPr="00A172AD">
        <w:rPr>
          <w:sz w:val="22"/>
          <w:szCs w:val="22"/>
        </w:rPr>
        <w:t xml:space="preserve"> que</w:t>
      </w:r>
      <w:r w:rsidR="004E0DF4" w:rsidRPr="00A172AD">
        <w:rPr>
          <w:sz w:val="22"/>
          <w:szCs w:val="22"/>
        </w:rPr>
        <w:t>,</w:t>
      </w:r>
      <w:r w:rsidRPr="00A172AD">
        <w:rPr>
          <w:sz w:val="22"/>
          <w:szCs w:val="22"/>
        </w:rPr>
        <w:t xml:space="preserve"> após o desconto do limite regulatório</w:t>
      </w:r>
      <w:r w:rsidR="004E0DF4" w:rsidRPr="00A172AD">
        <w:rPr>
          <w:sz w:val="22"/>
          <w:szCs w:val="22"/>
        </w:rPr>
        <w:t xml:space="preserve"> (</w:t>
      </w:r>
      <w:r w:rsidRPr="00A172AD">
        <w:rPr>
          <w:sz w:val="22"/>
          <w:szCs w:val="22"/>
        </w:rPr>
        <w:t>5%</w:t>
      </w:r>
      <w:r w:rsidR="004E0DF4" w:rsidRPr="00A172AD">
        <w:rPr>
          <w:sz w:val="22"/>
          <w:szCs w:val="22"/>
        </w:rPr>
        <w:t xml:space="preserve"> </w:t>
      </w:r>
      <w:r w:rsidRPr="00A172AD">
        <w:rPr>
          <w:sz w:val="22"/>
          <w:szCs w:val="22"/>
        </w:rPr>
        <w:t xml:space="preserve">do mercado verificado), resultou na sobrecontratação de 1.020 GWh, representando 12,1% da energia contratada pela </w:t>
      </w:r>
      <w:r w:rsidR="00F325D3" w:rsidRPr="00A172AD">
        <w:rPr>
          <w:sz w:val="22"/>
          <w:szCs w:val="22"/>
        </w:rPr>
        <w:t>D</w:t>
      </w:r>
      <w:r w:rsidRPr="00A172AD">
        <w:rPr>
          <w:sz w:val="22"/>
          <w:szCs w:val="22"/>
        </w:rPr>
        <w:t xml:space="preserve">istribuidora. Após as ações gerenciais </w:t>
      </w:r>
      <w:r w:rsidR="00F325D3" w:rsidRPr="00A172AD">
        <w:rPr>
          <w:sz w:val="22"/>
          <w:szCs w:val="22"/>
        </w:rPr>
        <w:t>implementadas</w:t>
      </w:r>
      <w:r w:rsidRPr="00A172AD">
        <w:rPr>
          <w:sz w:val="22"/>
          <w:szCs w:val="22"/>
        </w:rPr>
        <w:t xml:space="preserve"> em 2016</w:t>
      </w:r>
      <w:r w:rsidR="00F325D3" w:rsidRPr="00A172AD">
        <w:rPr>
          <w:sz w:val="22"/>
          <w:szCs w:val="22"/>
        </w:rPr>
        <w:t>,</w:t>
      </w:r>
      <w:r w:rsidRPr="00A172AD">
        <w:rPr>
          <w:sz w:val="22"/>
          <w:szCs w:val="22"/>
        </w:rPr>
        <w:t xml:space="preserve"> este percentual de sobrecontratação foi reduzido para 9,5%.</w:t>
      </w:r>
    </w:p>
    <w:p w:rsidR="00D8097C" w:rsidRDefault="002D372C" w:rsidP="00D8097C">
      <w:pPr>
        <w:spacing w:before="240" w:after="240"/>
        <w:jc w:val="both"/>
        <w:rPr>
          <w:sz w:val="22"/>
          <w:szCs w:val="22"/>
        </w:rPr>
      </w:pPr>
      <w:r w:rsidRPr="002D372C">
        <w:rPr>
          <w:sz w:val="22"/>
          <w:szCs w:val="22"/>
        </w:rPr>
        <w:t>N</w:t>
      </w:r>
      <w:r w:rsidR="00D8097C" w:rsidRPr="002D372C">
        <w:rPr>
          <w:sz w:val="22"/>
          <w:szCs w:val="22"/>
        </w:rPr>
        <w:t>o processo d</w:t>
      </w:r>
      <w:r w:rsidR="00F325D3" w:rsidRPr="002D372C">
        <w:rPr>
          <w:sz w:val="22"/>
          <w:szCs w:val="22"/>
        </w:rPr>
        <w:t>o</w:t>
      </w:r>
      <w:r w:rsidR="00D8097C" w:rsidRPr="002D372C">
        <w:rPr>
          <w:sz w:val="22"/>
          <w:szCs w:val="22"/>
        </w:rPr>
        <w:t xml:space="preserve"> 4</w:t>
      </w:r>
      <w:r w:rsidR="00F325D3" w:rsidRPr="002D372C">
        <w:rPr>
          <w:sz w:val="22"/>
          <w:szCs w:val="22"/>
        </w:rPr>
        <w:t>º</w:t>
      </w:r>
      <w:r w:rsidR="00D8097C" w:rsidRPr="002D372C">
        <w:rPr>
          <w:sz w:val="22"/>
          <w:szCs w:val="22"/>
        </w:rPr>
        <w:t xml:space="preserve"> </w:t>
      </w:r>
      <w:r w:rsidR="00F325D3" w:rsidRPr="002D372C">
        <w:rPr>
          <w:sz w:val="22"/>
          <w:szCs w:val="22"/>
        </w:rPr>
        <w:t>Ciclo de R</w:t>
      </w:r>
      <w:r w:rsidR="00D8097C" w:rsidRPr="002D372C">
        <w:rPr>
          <w:sz w:val="22"/>
          <w:szCs w:val="22"/>
        </w:rPr>
        <w:t xml:space="preserve">evisão </w:t>
      </w:r>
      <w:r w:rsidR="00F325D3" w:rsidRPr="002D372C">
        <w:rPr>
          <w:sz w:val="22"/>
          <w:szCs w:val="22"/>
        </w:rPr>
        <w:t>T</w:t>
      </w:r>
      <w:r w:rsidR="00D8097C" w:rsidRPr="002D372C">
        <w:rPr>
          <w:sz w:val="22"/>
          <w:szCs w:val="22"/>
        </w:rPr>
        <w:t xml:space="preserve">arifária </w:t>
      </w:r>
      <w:r w:rsidR="00F325D3" w:rsidRPr="002D372C">
        <w:rPr>
          <w:sz w:val="22"/>
          <w:szCs w:val="22"/>
        </w:rPr>
        <w:t>P</w:t>
      </w:r>
      <w:r w:rsidR="00D8097C" w:rsidRPr="002D372C">
        <w:rPr>
          <w:sz w:val="22"/>
          <w:szCs w:val="22"/>
        </w:rPr>
        <w:t xml:space="preserve">eriódica </w:t>
      </w:r>
      <w:r w:rsidR="00F325D3" w:rsidRPr="002D372C">
        <w:rPr>
          <w:sz w:val="22"/>
          <w:szCs w:val="22"/>
        </w:rPr>
        <w:t>ocorrido em</w:t>
      </w:r>
      <w:r w:rsidR="00D8097C" w:rsidRPr="002D372C">
        <w:rPr>
          <w:sz w:val="22"/>
          <w:szCs w:val="22"/>
        </w:rPr>
        <w:t xml:space="preserve"> 2016</w:t>
      </w:r>
      <w:r w:rsidRPr="002D372C">
        <w:rPr>
          <w:sz w:val="22"/>
          <w:szCs w:val="22"/>
        </w:rPr>
        <w:t>,</w:t>
      </w:r>
      <w:r w:rsidR="00D8097C" w:rsidRPr="002D372C">
        <w:rPr>
          <w:sz w:val="22"/>
          <w:szCs w:val="22"/>
        </w:rPr>
        <w:t xml:space="preserve"> </w:t>
      </w:r>
      <w:r w:rsidR="00F325D3" w:rsidRPr="002D372C">
        <w:rPr>
          <w:sz w:val="22"/>
          <w:szCs w:val="22"/>
        </w:rPr>
        <w:t>o Órgão Regulador</w:t>
      </w:r>
      <w:r w:rsidR="00D8097C" w:rsidRPr="002D372C">
        <w:rPr>
          <w:sz w:val="22"/>
          <w:szCs w:val="22"/>
        </w:rPr>
        <w:t xml:space="preserve"> consider</w:t>
      </w:r>
      <w:r w:rsidRPr="002D372C">
        <w:rPr>
          <w:sz w:val="22"/>
          <w:szCs w:val="22"/>
        </w:rPr>
        <w:t>ou</w:t>
      </w:r>
      <w:r w:rsidR="00D8097C" w:rsidRPr="002D372C">
        <w:rPr>
          <w:sz w:val="22"/>
          <w:szCs w:val="22"/>
        </w:rPr>
        <w:t xml:space="preserve"> </w:t>
      </w:r>
      <w:r w:rsidRPr="002D372C">
        <w:rPr>
          <w:sz w:val="22"/>
          <w:szCs w:val="22"/>
        </w:rPr>
        <w:t>toda sobrecontratação no cálculo das tarifas. Parte destas, relativa ao excedente de 5%, n</w:t>
      </w:r>
      <w:r w:rsidR="00D8097C" w:rsidRPr="002D372C">
        <w:rPr>
          <w:sz w:val="22"/>
          <w:szCs w:val="22"/>
        </w:rPr>
        <w:t>o valor de R$ 65,2 milhões</w:t>
      </w:r>
      <w:r w:rsidRPr="002D372C">
        <w:rPr>
          <w:sz w:val="22"/>
          <w:szCs w:val="22"/>
        </w:rPr>
        <w:t>,</w:t>
      </w:r>
      <w:r w:rsidR="00D8097C" w:rsidRPr="002D372C">
        <w:rPr>
          <w:sz w:val="22"/>
          <w:szCs w:val="22"/>
        </w:rPr>
        <w:t xml:space="preserve"> </w:t>
      </w:r>
      <w:r w:rsidRPr="002D372C">
        <w:rPr>
          <w:sz w:val="22"/>
          <w:szCs w:val="22"/>
        </w:rPr>
        <w:lastRenderedPageBreak/>
        <w:t>foi</w:t>
      </w:r>
      <w:r w:rsidR="00D8097C" w:rsidRPr="002D372C">
        <w:rPr>
          <w:sz w:val="22"/>
          <w:szCs w:val="22"/>
        </w:rPr>
        <w:t xml:space="preserve"> provisionado como Passivo Financeiro </w:t>
      </w:r>
      <w:r w:rsidR="00F325D3" w:rsidRPr="002D372C">
        <w:rPr>
          <w:sz w:val="22"/>
          <w:szCs w:val="22"/>
        </w:rPr>
        <w:t>–</w:t>
      </w:r>
      <w:r w:rsidR="00D8097C" w:rsidRPr="002D372C">
        <w:rPr>
          <w:sz w:val="22"/>
          <w:szCs w:val="22"/>
        </w:rPr>
        <w:t xml:space="preserve"> Sobrecontratação, em função das incertezas sobre o acolhimento da alegação de involuntariedade </w:t>
      </w:r>
      <w:r w:rsidRPr="002D372C">
        <w:rPr>
          <w:sz w:val="22"/>
          <w:szCs w:val="22"/>
        </w:rPr>
        <w:t>pela</w:t>
      </w:r>
      <w:r w:rsidR="00D8097C" w:rsidRPr="002D372C">
        <w:rPr>
          <w:sz w:val="22"/>
          <w:szCs w:val="22"/>
        </w:rPr>
        <w:t xml:space="preserve"> ANEEL, </w:t>
      </w:r>
      <w:r w:rsidR="004E0DF4" w:rsidRPr="002D372C">
        <w:rPr>
          <w:sz w:val="22"/>
          <w:szCs w:val="22"/>
        </w:rPr>
        <w:t>cuj</w:t>
      </w:r>
      <w:r w:rsidRPr="002D372C">
        <w:rPr>
          <w:sz w:val="22"/>
          <w:szCs w:val="22"/>
        </w:rPr>
        <w:t xml:space="preserve">a decisão ocorrerá em </w:t>
      </w:r>
      <w:r w:rsidR="00D8097C" w:rsidRPr="002D372C">
        <w:rPr>
          <w:sz w:val="22"/>
          <w:szCs w:val="22"/>
        </w:rPr>
        <w:t>2017.</w:t>
      </w:r>
      <w:r w:rsidR="00D8097C" w:rsidRPr="00D8097C">
        <w:rPr>
          <w:sz w:val="22"/>
          <w:szCs w:val="22"/>
        </w:rPr>
        <w:t xml:space="preserve"> </w:t>
      </w:r>
    </w:p>
    <w:p w:rsidR="00D8097C" w:rsidRPr="00D8097C" w:rsidRDefault="00D8097C" w:rsidP="00D8097C">
      <w:pPr>
        <w:spacing w:before="240" w:after="240"/>
        <w:jc w:val="both"/>
        <w:rPr>
          <w:sz w:val="22"/>
          <w:szCs w:val="22"/>
        </w:rPr>
      </w:pPr>
    </w:p>
    <w:p w:rsidR="00362BD9" w:rsidRPr="00362BD9" w:rsidRDefault="004E0DF4" w:rsidP="00362BD9">
      <w:pPr>
        <w:spacing w:before="240" w:after="240"/>
        <w:jc w:val="both"/>
        <w:rPr>
          <w:sz w:val="22"/>
          <w:szCs w:val="22"/>
        </w:rPr>
      </w:pPr>
      <w:r>
        <w:rPr>
          <w:sz w:val="22"/>
          <w:szCs w:val="22"/>
        </w:rPr>
        <w:t>Ainda assim</w:t>
      </w:r>
      <w:r w:rsidR="00D8097C">
        <w:rPr>
          <w:sz w:val="22"/>
          <w:szCs w:val="22"/>
        </w:rPr>
        <w:t>, c</w:t>
      </w:r>
      <w:r w:rsidR="00362BD9" w:rsidRPr="00362BD9">
        <w:rPr>
          <w:sz w:val="22"/>
          <w:szCs w:val="22"/>
        </w:rPr>
        <w:t xml:space="preserve">oncluímos o </w:t>
      </w:r>
      <w:r w:rsidR="007E234A">
        <w:rPr>
          <w:sz w:val="22"/>
          <w:szCs w:val="22"/>
        </w:rPr>
        <w:t>ano</w:t>
      </w:r>
      <w:r w:rsidR="00362BD9" w:rsidRPr="00362BD9">
        <w:rPr>
          <w:sz w:val="22"/>
          <w:szCs w:val="22"/>
        </w:rPr>
        <w:t xml:space="preserve"> de 2016 com a certeza e a plena convicção de que fizemos o máximo para contornar o contexto empresarial desfavorável. </w:t>
      </w:r>
      <w:r w:rsidR="007E234A">
        <w:rPr>
          <w:sz w:val="22"/>
          <w:szCs w:val="22"/>
        </w:rPr>
        <w:t>A</w:t>
      </w:r>
      <w:r w:rsidR="00362BD9" w:rsidRPr="00362BD9">
        <w:rPr>
          <w:sz w:val="22"/>
          <w:szCs w:val="22"/>
        </w:rPr>
        <w:t xml:space="preserve"> tabela subsequente </w:t>
      </w:r>
      <w:r w:rsidR="007E234A">
        <w:rPr>
          <w:sz w:val="22"/>
          <w:szCs w:val="22"/>
        </w:rPr>
        <w:t>mostra o EBTIDA (LAJIDA</w:t>
      </w:r>
      <w:r w:rsidR="00C2200D">
        <w:rPr>
          <w:sz w:val="22"/>
          <w:szCs w:val="22"/>
        </w:rPr>
        <w:t>) alcançado</w:t>
      </w:r>
      <w:r w:rsidR="007E234A">
        <w:rPr>
          <w:sz w:val="22"/>
          <w:szCs w:val="22"/>
        </w:rPr>
        <w:t xml:space="preserve"> nos exercícios de </w:t>
      </w:r>
      <w:r w:rsidR="00B37F5B">
        <w:rPr>
          <w:sz w:val="22"/>
          <w:szCs w:val="22"/>
        </w:rPr>
        <w:t xml:space="preserve">2014, </w:t>
      </w:r>
      <w:r w:rsidR="007E234A">
        <w:rPr>
          <w:sz w:val="22"/>
          <w:szCs w:val="22"/>
        </w:rPr>
        <w:t>2015 e 2016</w:t>
      </w:r>
      <w:r w:rsidR="00362BD9" w:rsidRPr="00362BD9">
        <w:rPr>
          <w:sz w:val="22"/>
          <w:szCs w:val="22"/>
        </w:rPr>
        <w:t>:</w:t>
      </w:r>
    </w:p>
    <w:tbl>
      <w:tblPr>
        <w:tblW w:w="5000" w:type="pct"/>
        <w:tblCellMar>
          <w:left w:w="0" w:type="dxa"/>
          <w:right w:w="0" w:type="dxa"/>
        </w:tblCellMar>
        <w:tblLook w:val="04A0" w:firstRow="1" w:lastRow="0" w:firstColumn="1" w:lastColumn="0" w:noHBand="0" w:noVBand="1"/>
      </w:tblPr>
      <w:tblGrid>
        <w:gridCol w:w="4511"/>
        <w:gridCol w:w="1529"/>
        <w:gridCol w:w="1543"/>
        <w:gridCol w:w="1300"/>
        <w:gridCol w:w="1255"/>
      </w:tblGrid>
      <w:tr w:rsidR="006C7BA4" w:rsidTr="00690BCF">
        <w:trPr>
          <w:trHeight w:val="170"/>
        </w:trPr>
        <w:tc>
          <w:tcPr>
            <w:tcW w:w="2225" w:type="pct"/>
            <w:tcBorders>
              <w:top w:val="single" w:sz="8" w:space="0" w:color="4F81BD"/>
              <w:left w:val="single" w:sz="8" w:space="0" w:color="4F81BD"/>
              <w:bottom w:val="nil"/>
              <w:right w:val="nil"/>
            </w:tcBorders>
            <w:shd w:val="clear" w:color="auto" w:fill="0070C0"/>
            <w:tcMar>
              <w:top w:w="0" w:type="dxa"/>
              <w:left w:w="108" w:type="dxa"/>
              <w:bottom w:w="0" w:type="dxa"/>
              <w:right w:w="108" w:type="dxa"/>
            </w:tcMar>
            <w:vAlign w:val="center"/>
            <w:hideMark/>
          </w:tcPr>
          <w:p w:rsidR="006C7BA4" w:rsidRDefault="006C7BA4">
            <w:pPr>
              <w:spacing w:line="170" w:lineRule="atLeast"/>
              <w:ind w:right="-1"/>
              <w:jc w:val="center"/>
              <w:rPr>
                <w:rFonts w:eastAsiaTheme="minorHAnsi"/>
                <w:sz w:val="22"/>
                <w:szCs w:val="22"/>
              </w:rPr>
            </w:pPr>
            <w:r>
              <w:rPr>
                <w:b/>
                <w:bCs/>
                <w:snapToGrid w:val="0"/>
                <w:color w:val="FFFFFF"/>
              </w:rPr>
              <w:t>R$ (Mil)</w:t>
            </w:r>
          </w:p>
        </w:tc>
        <w:tc>
          <w:tcPr>
            <w:tcW w:w="754" w:type="pct"/>
            <w:tcBorders>
              <w:top w:val="single" w:sz="8" w:space="0" w:color="4F81BD"/>
              <w:left w:val="nil"/>
              <w:bottom w:val="nil"/>
              <w:right w:val="nil"/>
            </w:tcBorders>
            <w:shd w:val="clear" w:color="auto" w:fill="0070C0"/>
            <w:tcMar>
              <w:top w:w="0" w:type="dxa"/>
              <w:left w:w="108" w:type="dxa"/>
              <w:bottom w:w="0" w:type="dxa"/>
              <w:right w:w="108" w:type="dxa"/>
            </w:tcMar>
            <w:vAlign w:val="center"/>
            <w:hideMark/>
          </w:tcPr>
          <w:p w:rsidR="006C7BA4" w:rsidRDefault="006C7BA4">
            <w:pPr>
              <w:ind w:right="34"/>
              <w:jc w:val="center"/>
              <w:rPr>
                <w:rFonts w:ascii="Calibri" w:eastAsiaTheme="minorHAnsi" w:hAnsi="Calibri"/>
              </w:rPr>
            </w:pPr>
            <w:r>
              <w:rPr>
                <w:b/>
                <w:bCs/>
                <w:snapToGrid w:val="0"/>
                <w:color w:val="FFFFFF"/>
              </w:rPr>
              <w:t>2014</w:t>
            </w:r>
          </w:p>
          <w:p w:rsidR="006C7BA4" w:rsidRDefault="006C7BA4">
            <w:pPr>
              <w:spacing w:line="170" w:lineRule="atLeast"/>
              <w:ind w:right="34"/>
              <w:jc w:val="center"/>
              <w:rPr>
                <w:rFonts w:eastAsiaTheme="minorHAnsi"/>
                <w:sz w:val="22"/>
                <w:szCs w:val="22"/>
              </w:rPr>
            </w:pPr>
            <w:r>
              <w:rPr>
                <w:b/>
                <w:bCs/>
                <w:snapToGrid w:val="0"/>
                <w:color w:val="FFFFFF"/>
              </w:rPr>
              <w:t>Reapresentado</w:t>
            </w:r>
          </w:p>
        </w:tc>
        <w:tc>
          <w:tcPr>
            <w:tcW w:w="761" w:type="pct"/>
            <w:tcBorders>
              <w:top w:val="single" w:sz="8" w:space="0" w:color="4F81BD"/>
              <w:left w:val="nil"/>
              <w:bottom w:val="nil"/>
              <w:right w:val="nil"/>
            </w:tcBorders>
            <w:shd w:val="clear" w:color="auto" w:fill="0070C0"/>
            <w:tcMar>
              <w:top w:w="0" w:type="dxa"/>
              <w:left w:w="108" w:type="dxa"/>
              <w:bottom w:w="0" w:type="dxa"/>
              <w:right w:w="108" w:type="dxa"/>
            </w:tcMar>
            <w:vAlign w:val="center"/>
            <w:hideMark/>
          </w:tcPr>
          <w:p w:rsidR="006C7BA4" w:rsidRDefault="006C7BA4">
            <w:pPr>
              <w:ind w:right="34"/>
              <w:jc w:val="center"/>
              <w:rPr>
                <w:rFonts w:ascii="Calibri" w:eastAsiaTheme="minorHAnsi" w:hAnsi="Calibri"/>
              </w:rPr>
            </w:pPr>
            <w:r>
              <w:rPr>
                <w:b/>
                <w:bCs/>
                <w:snapToGrid w:val="0"/>
                <w:color w:val="FFFFFF"/>
              </w:rPr>
              <w:t>2015</w:t>
            </w:r>
          </w:p>
          <w:p w:rsidR="006C7BA4" w:rsidRDefault="006C7BA4">
            <w:pPr>
              <w:spacing w:line="170" w:lineRule="atLeast"/>
              <w:ind w:right="-1"/>
              <w:jc w:val="center"/>
              <w:rPr>
                <w:rFonts w:eastAsiaTheme="minorHAnsi"/>
                <w:sz w:val="22"/>
                <w:szCs w:val="22"/>
              </w:rPr>
            </w:pPr>
            <w:r>
              <w:rPr>
                <w:b/>
                <w:bCs/>
                <w:snapToGrid w:val="0"/>
                <w:color w:val="FFFFFF"/>
              </w:rPr>
              <w:t>Reapresentado</w:t>
            </w:r>
          </w:p>
        </w:tc>
        <w:tc>
          <w:tcPr>
            <w:tcW w:w="641" w:type="pct"/>
            <w:tcBorders>
              <w:top w:val="single" w:sz="8" w:space="0" w:color="4F81BD"/>
              <w:left w:val="nil"/>
              <w:bottom w:val="nil"/>
              <w:right w:val="nil"/>
            </w:tcBorders>
            <w:shd w:val="clear" w:color="auto" w:fill="0070C0"/>
            <w:tcMar>
              <w:top w:w="0" w:type="dxa"/>
              <w:left w:w="108" w:type="dxa"/>
              <w:bottom w:w="0" w:type="dxa"/>
              <w:right w:w="108" w:type="dxa"/>
            </w:tcMar>
            <w:vAlign w:val="center"/>
            <w:hideMark/>
          </w:tcPr>
          <w:p w:rsidR="006C7BA4" w:rsidRDefault="006C7BA4">
            <w:pPr>
              <w:spacing w:line="170" w:lineRule="atLeast"/>
              <w:ind w:right="34"/>
              <w:jc w:val="center"/>
              <w:rPr>
                <w:rFonts w:eastAsiaTheme="minorHAnsi"/>
                <w:sz w:val="22"/>
                <w:szCs w:val="22"/>
              </w:rPr>
            </w:pPr>
            <w:r>
              <w:rPr>
                <w:b/>
                <w:bCs/>
                <w:snapToGrid w:val="0"/>
                <w:color w:val="FFFFFF"/>
              </w:rPr>
              <w:t>2016</w:t>
            </w:r>
          </w:p>
        </w:tc>
        <w:tc>
          <w:tcPr>
            <w:tcW w:w="619" w:type="pct"/>
            <w:tcBorders>
              <w:top w:val="single" w:sz="8" w:space="0" w:color="4F81BD"/>
              <w:left w:val="nil"/>
              <w:bottom w:val="nil"/>
              <w:right w:val="single" w:sz="8" w:space="0" w:color="4F81BD"/>
            </w:tcBorders>
            <w:shd w:val="clear" w:color="auto" w:fill="0070C0"/>
            <w:tcMar>
              <w:top w:w="0" w:type="dxa"/>
              <w:left w:w="108" w:type="dxa"/>
              <w:bottom w:w="0" w:type="dxa"/>
              <w:right w:w="108" w:type="dxa"/>
            </w:tcMar>
            <w:vAlign w:val="center"/>
            <w:hideMark/>
          </w:tcPr>
          <w:p w:rsidR="006C7BA4" w:rsidRDefault="006C7BA4" w:rsidP="00B37F5B">
            <w:pPr>
              <w:spacing w:line="170" w:lineRule="atLeast"/>
              <w:ind w:right="-1"/>
              <w:jc w:val="center"/>
              <w:rPr>
                <w:rFonts w:eastAsiaTheme="minorHAnsi"/>
                <w:sz w:val="22"/>
                <w:szCs w:val="22"/>
              </w:rPr>
            </w:pPr>
            <w:r>
              <w:rPr>
                <w:b/>
                <w:bCs/>
                <w:snapToGrid w:val="0"/>
                <w:color w:val="FFFFFF"/>
              </w:rPr>
              <w:t xml:space="preserve">Δ </w:t>
            </w:r>
            <w:r w:rsidR="00B37F5B">
              <w:rPr>
                <w:b/>
                <w:bCs/>
                <w:snapToGrid w:val="0"/>
                <w:color w:val="FFFFFF"/>
              </w:rPr>
              <w:t xml:space="preserve">(2016/2015) </w:t>
            </w:r>
            <w:r>
              <w:rPr>
                <w:b/>
                <w:bCs/>
                <w:snapToGrid w:val="0"/>
                <w:color w:val="FFFFFF"/>
              </w:rPr>
              <w:t>(R$)</w:t>
            </w:r>
          </w:p>
        </w:tc>
      </w:tr>
      <w:tr w:rsidR="006C7BA4" w:rsidTr="00690BCF">
        <w:trPr>
          <w:trHeight w:val="170"/>
        </w:trPr>
        <w:tc>
          <w:tcPr>
            <w:tcW w:w="2225" w:type="pct"/>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rsidR="006C7BA4" w:rsidRDefault="006C7BA4">
            <w:pPr>
              <w:spacing w:line="170" w:lineRule="atLeast"/>
              <w:ind w:firstLine="264"/>
              <w:rPr>
                <w:rFonts w:eastAsiaTheme="minorHAnsi"/>
                <w:sz w:val="22"/>
                <w:szCs w:val="22"/>
              </w:rPr>
            </w:pPr>
            <w:r>
              <w:rPr>
                <w:b/>
                <w:bCs/>
                <w:snapToGrid w:val="0"/>
              </w:rPr>
              <w:t>Receita Operacional Líquida</w:t>
            </w:r>
          </w:p>
        </w:tc>
        <w:tc>
          <w:tcPr>
            <w:tcW w:w="754"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1.993.488</w:t>
            </w:r>
          </w:p>
        </w:tc>
        <w:tc>
          <w:tcPr>
            <w:tcW w:w="761"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2.396.004</w:t>
            </w:r>
          </w:p>
        </w:tc>
        <w:tc>
          <w:tcPr>
            <w:tcW w:w="641"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2.110.343</w:t>
            </w:r>
          </w:p>
        </w:tc>
        <w:tc>
          <w:tcPr>
            <w:tcW w:w="619" w:type="pct"/>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(316.860)</w:t>
            </w:r>
          </w:p>
        </w:tc>
      </w:tr>
      <w:tr w:rsidR="006C7BA4" w:rsidTr="00690BCF">
        <w:trPr>
          <w:trHeight w:val="170"/>
        </w:trPr>
        <w:tc>
          <w:tcPr>
            <w:tcW w:w="2225" w:type="pct"/>
            <w:tcBorders>
              <w:top w:val="nil"/>
              <w:left w:val="single" w:sz="8" w:space="0" w:color="4F81BD"/>
              <w:bottom w:val="nil"/>
              <w:right w:val="nil"/>
            </w:tcBorders>
            <w:tcMar>
              <w:top w:w="0" w:type="dxa"/>
              <w:left w:w="108" w:type="dxa"/>
              <w:bottom w:w="0" w:type="dxa"/>
              <w:right w:w="108" w:type="dxa"/>
            </w:tcMar>
            <w:hideMark/>
          </w:tcPr>
          <w:p w:rsidR="006C7BA4" w:rsidRDefault="006C7BA4">
            <w:pPr>
              <w:spacing w:line="170" w:lineRule="atLeast"/>
              <w:ind w:firstLine="264"/>
              <w:rPr>
                <w:rFonts w:eastAsiaTheme="minorHAnsi"/>
                <w:sz w:val="22"/>
                <w:szCs w:val="22"/>
              </w:rPr>
            </w:pPr>
            <w:r>
              <w:rPr>
                <w:b/>
                <w:bCs/>
                <w:snapToGrid w:val="0"/>
              </w:rPr>
              <w:t>Custo/Despesa Operacional</w:t>
            </w:r>
          </w:p>
        </w:tc>
        <w:tc>
          <w:tcPr>
            <w:tcW w:w="754" w:type="pct"/>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1.997.709</w:t>
            </w:r>
          </w:p>
        </w:tc>
        <w:tc>
          <w:tcPr>
            <w:tcW w:w="761" w:type="pct"/>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2.106.025</w:t>
            </w:r>
          </w:p>
        </w:tc>
        <w:tc>
          <w:tcPr>
            <w:tcW w:w="641" w:type="pct"/>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1.920.051</w:t>
            </w:r>
          </w:p>
        </w:tc>
        <w:tc>
          <w:tcPr>
            <w:tcW w:w="619" w:type="pct"/>
            <w:tcBorders>
              <w:top w:val="nil"/>
              <w:left w:val="nil"/>
              <w:bottom w:val="nil"/>
              <w:right w:val="single" w:sz="8" w:space="0" w:color="4F81BD"/>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(185.974)</w:t>
            </w:r>
          </w:p>
        </w:tc>
      </w:tr>
      <w:tr w:rsidR="006C7BA4" w:rsidTr="00690BCF">
        <w:trPr>
          <w:trHeight w:val="170"/>
        </w:trPr>
        <w:tc>
          <w:tcPr>
            <w:tcW w:w="2225" w:type="pct"/>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rsidR="006C7BA4" w:rsidRDefault="006C7BA4">
            <w:pPr>
              <w:spacing w:line="170" w:lineRule="atLeast"/>
              <w:ind w:firstLine="264"/>
              <w:rPr>
                <w:rFonts w:eastAsiaTheme="minorHAnsi"/>
                <w:sz w:val="22"/>
                <w:szCs w:val="22"/>
              </w:rPr>
            </w:pPr>
            <w:r>
              <w:rPr>
                <w:b/>
                <w:bCs/>
                <w:snapToGrid w:val="0"/>
              </w:rPr>
              <w:t>EBITDA</w:t>
            </w:r>
          </w:p>
        </w:tc>
        <w:tc>
          <w:tcPr>
            <w:tcW w:w="754"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(17.815)</w:t>
            </w:r>
          </w:p>
        </w:tc>
        <w:tc>
          <w:tcPr>
            <w:tcW w:w="761"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289.979</w:t>
            </w:r>
          </w:p>
        </w:tc>
        <w:tc>
          <w:tcPr>
            <w:tcW w:w="641"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190.292</w:t>
            </w:r>
          </w:p>
        </w:tc>
        <w:tc>
          <w:tcPr>
            <w:tcW w:w="619" w:type="pct"/>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rsidR="006C7BA4" w:rsidRDefault="00B37F5B">
            <w:pPr>
              <w:spacing w:line="170" w:lineRule="atLeast"/>
              <w:jc w:val="right"/>
              <w:rPr>
                <w:rFonts w:eastAsiaTheme="minorHAnsi"/>
                <w:sz w:val="22"/>
                <w:szCs w:val="22"/>
              </w:rPr>
            </w:pPr>
            <w:r>
              <w:rPr>
                <w:b/>
                <w:bCs/>
                <w:snapToGrid w:val="0"/>
              </w:rPr>
              <w:t>(</w:t>
            </w:r>
            <w:r w:rsidR="006C7BA4">
              <w:rPr>
                <w:b/>
                <w:bCs/>
                <w:snapToGrid w:val="0"/>
              </w:rPr>
              <w:t>99.686</w:t>
            </w:r>
            <w:r>
              <w:rPr>
                <w:b/>
                <w:bCs/>
                <w:snapToGrid w:val="0"/>
              </w:rPr>
              <w:t>)</w:t>
            </w:r>
          </w:p>
        </w:tc>
      </w:tr>
      <w:tr w:rsidR="006C7BA4" w:rsidTr="00690BCF">
        <w:trPr>
          <w:trHeight w:val="170"/>
        </w:trPr>
        <w:tc>
          <w:tcPr>
            <w:tcW w:w="2225" w:type="pct"/>
            <w:tcBorders>
              <w:top w:val="nil"/>
              <w:left w:val="single" w:sz="8" w:space="0" w:color="4F81BD"/>
              <w:bottom w:val="nil"/>
              <w:right w:val="nil"/>
            </w:tcBorders>
            <w:tcMar>
              <w:top w:w="0" w:type="dxa"/>
              <w:left w:w="108" w:type="dxa"/>
              <w:bottom w:w="0" w:type="dxa"/>
              <w:right w:w="108" w:type="dxa"/>
            </w:tcMar>
            <w:hideMark/>
          </w:tcPr>
          <w:p w:rsidR="006C7BA4" w:rsidRDefault="006C7BA4">
            <w:pPr>
              <w:spacing w:line="170" w:lineRule="atLeast"/>
              <w:ind w:left="284"/>
              <w:rPr>
                <w:rFonts w:eastAsiaTheme="minorHAnsi"/>
                <w:sz w:val="22"/>
                <w:szCs w:val="22"/>
              </w:rPr>
            </w:pPr>
            <w:r>
              <w:rPr>
                <w:b/>
                <w:bCs/>
                <w:snapToGrid w:val="0"/>
              </w:rPr>
              <w:t>Lucro Líquido/Prejuízo Consolidado</w:t>
            </w:r>
          </w:p>
        </w:tc>
        <w:tc>
          <w:tcPr>
            <w:tcW w:w="754" w:type="pct"/>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(150.080)</w:t>
            </w:r>
          </w:p>
        </w:tc>
        <w:tc>
          <w:tcPr>
            <w:tcW w:w="761" w:type="pct"/>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49.300</w:t>
            </w:r>
          </w:p>
        </w:tc>
        <w:tc>
          <w:tcPr>
            <w:tcW w:w="641" w:type="pct"/>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133.693</w:t>
            </w:r>
          </w:p>
        </w:tc>
        <w:tc>
          <w:tcPr>
            <w:tcW w:w="619" w:type="pct"/>
            <w:tcBorders>
              <w:top w:val="nil"/>
              <w:left w:val="nil"/>
              <w:bottom w:val="nil"/>
              <w:right w:val="single" w:sz="8" w:space="0" w:color="4F81BD"/>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84.393</w:t>
            </w:r>
          </w:p>
        </w:tc>
      </w:tr>
      <w:tr w:rsidR="006C7BA4" w:rsidTr="00690BCF">
        <w:trPr>
          <w:trHeight w:val="170"/>
        </w:trPr>
        <w:tc>
          <w:tcPr>
            <w:tcW w:w="2225" w:type="pct"/>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rsidR="006C7BA4" w:rsidRDefault="006C7BA4">
            <w:pPr>
              <w:spacing w:line="170" w:lineRule="atLeast"/>
              <w:ind w:firstLine="264"/>
              <w:rPr>
                <w:rFonts w:eastAsiaTheme="minorHAnsi"/>
                <w:sz w:val="22"/>
                <w:szCs w:val="22"/>
              </w:rPr>
            </w:pPr>
            <w:r>
              <w:rPr>
                <w:b/>
                <w:bCs/>
                <w:snapToGrid w:val="0"/>
              </w:rPr>
              <w:t>Investimentos</w:t>
            </w:r>
          </w:p>
        </w:tc>
        <w:tc>
          <w:tcPr>
            <w:tcW w:w="754"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80.179</w:t>
            </w:r>
          </w:p>
        </w:tc>
        <w:tc>
          <w:tcPr>
            <w:tcW w:w="761"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78.676</w:t>
            </w:r>
          </w:p>
        </w:tc>
        <w:tc>
          <w:tcPr>
            <w:tcW w:w="641" w:type="pct"/>
            <w:tcBorders>
              <w:top w:val="single" w:sz="8" w:space="0" w:color="4F81BD"/>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88.341</w:t>
            </w:r>
          </w:p>
        </w:tc>
        <w:tc>
          <w:tcPr>
            <w:tcW w:w="619" w:type="pct"/>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9.665</w:t>
            </w:r>
          </w:p>
        </w:tc>
      </w:tr>
      <w:tr w:rsidR="006C7BA4" w:rsidTr="00690BCF">
        <w:trPr>
          <w:trHeight w:val="170"/>
        </w:trPr>
        <w:tc>
          <w:tcPr>
            <w:tcW w:w="2225" w:type="pct"/>
            <w:tcBorders>
              <w:top w:val="nil"/>
              <w:left w:val="single" w:sz="8" w:space="0" w:color="4F81BD"/>
              <w:bottom w:val="single" w:sz="8" w:space="0" w:color="4F81BD"/>
              <w:right w:val="nil"/>
            </w:tcBorders>
            <w:tcMar>
              <w:top w:w="0" w:type="dxa"/>
              <w:left w:w="108" w:type="dxa"/>
              <w:bottom w:w="0" w:type="dxa"/>
              <w:right w:w="108" w:type="dxa"/>
            </w:tcMar>
            <w:hideMark/>
          </w:tcPr>
          <w:p w:rsidR="006C7BA4" w:rsidRDefault="006C7BA4">
            <w:pPr>
              <w:spacing w:line="170" w:lineRule="atLeast"/>
              <w:ind w:firstLine="264"/>
              <w:rPr>
                <w:rFonts w:eastAsiaTheme="minorHAnsi"/>
                <w:sz w:val="22"/>
                <w:szCs w:val="22"/>
              </w:rPr>
            </w:pPr>
            <w:r>
              <w:rPr>
                <w:b/>
                <w:bCs/>
                <w:snapToGrid w:val="0"/>
              </w:rPr>
              <w:t>Patrimônio Líquido</w:t>
            </w:r>
          </w:p>
        </w:tc>
        <w:tc>
          <w:tcPr>
            <w:tcW w:w="754" w:type="pct"/>
            <w:tcBorders>
              <w:top w:val="nil"/>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snapToGrid w:val="0"/>
              </w:rPr>
              <w:t>348.382</w:t>
            </w:r>
          </w:p>
        </w:tc>
        <w:tc>
          <w:tcPr>
            <w:tcW w:w="761" w:type="pct"/>
            <w:tcBorders>
              <w:top w:val="nil"/>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781.603</w:t>
            </w:r>
          </w:p>
        </w:tc>
        <w:tc>
          <w:tcPr>
            <w:tcW w:w="641" w:type="pct"/>
            <w:tcBorders>
              <w:top w:val="nil"/>
              <w:left w:val="nil"/>
              <w:bottom w:val="single" w:sz="8" w:space="0" w:color="4F81BD"/>
              <w:right w:val="nil"/>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846.476</w:t>
            </w:r>
          </w:p>
        </w:tc>
        <w:tc>
          <w:tcPr>
            <w:tcW w:w="619" w:type="pct"/>
            <w:tcBorders>
              <w:top w:val="nil"/>
              <w:left w:val="nil"/>
              <w:bottom w:val="single" w:sz="8" w:space="0" w:color="4F81BD"/>
              <w:right w:val="single" w:sz="8" w:space="0" w:color="4F81BD"/>
            </w:tcBorders>
            <w:tcMar>
              <w:top w:w="0" w:type="dxa"/>
              <w:left w:w="108" w:type="dxa"/>
              <w:bottom w:w="0" w:type="dxa"/>
              <w:right w:w="108" w:type="dxa"/>
            </w:tcMar>
            <w:hideMark/>
          </w:tcPr>
          <w:p w:rsidR="006C7BA4" w:rsidRDefault="006C7BA4">
            <w:pPr>
              <w:spacing w:line="170" w:lineRule="atLeast"/>
              <w:jc w:val="right"/>
              <w:rPr>
                <w:rFonts w:eastAsiaTheme="minorHAnsi"/>
                <w:sz w:val="22"/>
                <w:szCs w:val="22"/>
              </w:rPr>
            </w:pPr>
            <w:r>
              <w:rPr>
                <w:b/>
                <w:bCs/>
                <w:color w:val="000000"/>
              </w:rPr>
              <w:t>64.873</w:t>
            </w:r>
          </w:p>
        </w:tc>
      </w:tr>
    </w:tbl>
    <w:p w:rsidR="00A172AD" w:rsidRDefault="00A172AD" w:rsidP="00362BD9">
      <w:pPr>
        <w:spacing w:before="240" w:after="240"/>
        <w:jc w:val="both"/>
        <w:rPr>
          <w:sz w:val="22"/>
          <w:szCs w:val="22"/>
        </w:rPr>
      </w:pPr>
      <w:r>
        <w:rPr>
          <w:sz w:val="22"/>
          <w:szCs w:val="22"/>
        </w:rPr>
        <w:t>Apesar do exercício de 2016 ter sido iniciado sob o signo da incerteza e de grandes transformações no setor de energia elétrica – Mercado Livre; Geração Distribuída; Sobrecontratação; 4º Ciclo de Revisão Tarifária Periódica</w:t>
      </w:r>
      <w:r w:rsidR="00CE1012">
        <w:rPr>
          <w:sz w:val="22"/>
          <w:szCs w:val="22"/>
        </w:rPr>
        <w:t xml:space="preserve">; e outros – a Distribuidora conseguiu registrar uma boa </w:t>
      </w:r>
      <w:r w:rsidR="00CE1012" w:rsidRPr="00CE1012">
        <w:rPr>
          <w:i/>
          <w:sz w:val="22"/>
          <w:szCs w:val="22"/>
        </w:rPr>
        <w:t>performance</w:t>
      </w:r>
      <w:r w:rsidR="00CE1012">
        <w:rPr>
          <w:sz w:val="22"/>
          <w:szCs w:val="22"/>
        </w:rPr>
        <w:t xml:space="preserve"> empresarial. Assim, foram alcançados resultados expressivos nas áreas de qualidade e atendimento ao consumidor, bem como do ponto de vista econômico-financeiro.</w:t>
      </w:r>
    </w:p>
    <w:p w:rsidR="00362BD9" w:rsidRPr="00362BD9" w:rsidRDefault="00362BD9" w:rsidP="00362BD9">
      <w:pPr>
        <w:spacing w:before="240" w:after="240"/>
        <w:jc w:val="both"/>
        <w:rPr>
          <w:sz w:val="22"/>
          <w:szCs w:val="22"/>
        </w:rPr>
      </w:pPr>
      <w:r w:rsidRPr="00362BD9">
        <w:rPr>
          <w:sz w:val="22"/>
          <w:szCs w:val="22"/>
        </w:rPr>
        <w:t>Embora se verifiquem evidências inequívocas de melhorias operacionais e econômico-financeiras, ainda temos muito o que evoluir nos próximos anos. E serão continuamente melhorados!</w:t>
      </w:r>
    </w:p>
    <w:p w:rsidR="00362BD9" w:rsidRPr="00362BD9" w:rsidRDefault="00362BD9" w:rsidP="00362BD9">
      <w:pPr>
        <w:spacing w:before="240" w:after="240"/>
        <w:jc w:val="both"/>
        <w:rPr>
          <w:sz w:val="22"/>
          <w:szCs w:val="22"/>
        </w:rPr>
      </w:pPr>
      <w:r w:rsidRPr="009D1B74">
        <w:rPr>
          <w:sz w:val="22"/>
          <w:szCs w:val="22"/>
        </w:rPr>
        <w:t xml:space="preserve">As expectativas para o ano de 2017 são positivas pelos seguintes razões principais: a </w:t>
      </w:r>
      <w:r w:rsidR="006A0540" w:rsidRPr="009D1B74">
        <w:rPr>
          <w:sz w:val="22"/>
          <w:szCs w:val="22"/>
        </w:rPr>
        <w:t>melhoria</w:t>
      </w:r>
      <w:r w:rsidRPr="009D1B74">
        <w:rPr>
          <w:sz w:val="22"/>
          <w:szCs w:val="22"/>
        </w:rPr>
        <w:t xml:space="preserve"> do deficit fiscal, receitas maiores que os custos e despesas operacionais começa, de fato, a acontecer ao longo de 2017, em função das decisões que vêm sendo tomadas; injeção de capital com a venda de participações societárias detidas pela CEB </w:t>
      </w:r>
      <w:r w:rsidRPr="009D1B74">
        <w:rPr>
          <w:i/>
          <w:sz w:val="22"/>
          <w:szCs w:val="22"/>
        </w:rPr>
        <w:t xml:space="preserve">Holding </w:t>
      </w:r>
      <w:r w:rsidRPr="009D1B74">
        <w:rPr>
          <w:sz w:val="22"/>
          <w:szCs w:val="22"/>
        </w:rPr>
        <w:t>em empresas de geração de energia elétrica, autorizadas pela Lei Distrital nº 5.577/2015; cumprimento rigoroso dos compromissos e obrigações do Quarto Termo Aditivo ao Contrato de Concessão</w:t>
      </w:r>
      <w:r w:rsidRPr="00362BD9">
        <w:rPr>
          <w:sz w:val="22"/>
          <w:szCs w:val="22"/>
        </w:rPr>
        <w:t xml:space="preserve"> </w:t>
      </w:r>
      <w:r w:rsidR="00D02103">
        <w:rPr>
          <w:sz w:val="22"/>
          <w:szCs w:val="22"/>
        </w:rPr>
        <w:t xml:space="preserve">     </w:t>
      </w:r>
      <w:r w:rsidRPr="00362BD9">
        <w:rPr>
          <w:sz w:val="22"/>
          <w:szCs w:val="22"/>
        </w:rPr>
        <w:t xml:space="preserve">nº 066/1999 – ANEEL, prorrogado em dezembro de 2015; criação de condições para o atendimento das metas de DEC e FEC, bem como as de sustentabilidade econômico-financeira; realização de investimentos no volume necessário para eliminar o </w:t>
      </w:r>
      <w:r w:rsidRPr="00362BD9">
        <w:rPr>
          <w:i/>
          <w:sz w:val="22"/>
          <w:szCs w:val="22"/>
        </w:rPr>
        <w:t>gap</w:t>
      </w:r>
      <w:r w:rsidRPr="00362BD9">
        <w:rPr>
          <w:sz w:val="22"/>
          <w:szCs w:val="22"/>
        </w:rPr>
        <w:t xml:space="preserve"> existente; e, ainda, a redução do serviço da dívida que é muito elevado.</w:t>
      </w:r>
    </w:p>
    <w:p w:rsidR="00362BD9" w:rsidRPr="00362BD9" w:rsidRDefault="00362BD9" w:rsidP="00362BD9">
      <w:pPr>
        <w:spacing w:before="240" w:after="240"/>
        <w:jc w:val="both"/>
        <w:rPr>
          <w:sz w:val="22"/>
          <w:szCs w:val="22"/>
        </w:rPr>
      </w:pPr>
      <w:r w:rsidRPr="00362BD9">
        <w:rPr>
          <w:sz w:val="22"/>
          <w:szCs w:val="22"/>
        </w:rPr>
        <w:t>Finalmente, a Companhia Energética de Brasília – CEB não poderia deixar de agradecer aos seus consumidores, fornecedores, acionistas, colaboradores, entidades de classe e à população do Distrito Federal pela confiança depositada em sua gestão, ao tempo que reafirma seu compromisso de continuar prestando os serviços de energia elétrica com qualidade e confiabilidade, tarifas justas, inovação tecnológica, ética e transparência.</w:t>
      </w:r>
    </w:p>
    <w:p w:rsidR="00362BD9" w:rsidRPr="00362BD9" w:rsidRDefault="00362BD9" w:rsidP="00362BD9">
      <w:pPr>
        <w:spacing w:before="240" w:after="240"/>
        <w:jc w:val="both"/>
        <w:rPr>
          <w:b/>
          <w:sz w:val="22"/>
          <w:szCs w:val="22"/>
        </w:rPr>
      </w:pPr>
    </w:p>
    <w:p w:rsidR="00362BD9" w:rsidRPr="00362BD9" w:rsidRDefault="00362BD9" w:rsidP="00362BD9">
      <w:pPr>
        <w:spacing w:before="240" w:after="240"/>
        <w:jc w:val="center"/>
        <w:rPr>
          <w:b/>
          <w:sz w:val="22"/>
          <w:szCs w:val="22"/>
        </w:rPr>
      </w:pPr>
      <w:r w:rsidRPr="00362BD9">
        <w:rPr>
          <w:b/>
          <w:sz w:val="22"/>
          <w:szCs w:val="22"/>
        </w:rPr>
        <w:t>ARI JOAQUIM DA SILVA – Presidente da Companhia Energética de Brasília – CEB</w:t>
      </w:r>
    </w:p>
    <w:p w:rsidR="00362BD9" w:rsidRPr="00362BD9" w:rsidRDefault="00362BD9" w:rsidP="00362BD9">
      <w:pPr>
        <w:spacing w:before="240" w:after="240"/>
        <w:jc w:val="center"/>
        <w:rPr>
          <w:b/>
          <w:sz w:val="22"/>
          <w:szCs w:val="22"/>
        </w:rPr>
      </w:pPr>
      <w:r w:rsidRPr="00362BD9">
        <w:rPr>
          <w:b/>
          <w:sz w:val="22"/>
          <w:szCs w:val="22"/>
        </w:rPr>
        <w:t>FRANCISCO AURÉLIO SAMPAIO SANTIAGO – Presidente do Conselho de Administração</w:t>
      </w:r>
    </w:p>
    <w:p w:rsidR="00690BCF" w:rsidRDefault="00690BCF">
      <w:pPr>
        <w:rPr>
          <w:sz w:val="22"/>
          <w:szCs w:val="22"/>
        </w:rPr>
      </w:pPr>
      <w:r>
        <w:rPr>
          <w:sz w:val="22"/>
          <w:szCs w:val="22"/>
        </w:rPr>
        <w:br w:type="page"/>
      </w:r>
    </w:p>
    <w:p w:rsidR="006E2981" w:rsidRPr="007E7E1D" w:rsidRDefault="00797C5B" w:rsidP="004E0DF4">
      <w:pPr>
        <w:pStyle w:val="Ttulo3"/>
        <w:numPr>
          <w:ilvl w:val="0"/>
          <w:numId w:val="10"/>
        </w:numPr>
        <w:spacing w:before="240" w:after="240"/>
      </w:pPr>
      <w:bookmarkStart w:id="1" w:name="_Toc478141838"/>
      <w:r w:rsidRPr="007E7E1D">
        <w:lastRenderedPageBreak/>
        <w:t>CENÁRIO MACROECONÔMICO</w:t>
      </w:r>
      <w:bookmarkEnd w:id="1"/>
    </w:p>
    <w:p w:rsidR="00362BD9" w:rsidRPr="00362BD9" w:rsidRDefault="00362BD9" w:rsidP="00362BD9">
      <w:pPr>
        <w:spacing w:before="240" w:after="240"/>
        <w:jc w:val="both"/>
        <w:rPr>
          <w:sz w:val="22"/>
          <w:szCs w:val="22"/>
        </w:rPr>
      </w:pPr>
      <w:r w:rsidRPr="00362BD9">
        <w:rPr>
          <w:sz w:val="22"/>
          <w:szCs w:val="22"/>
        </w:rPr>
        <w:t>Segundo o Instituto Brasileiro de Economia – IBRE, da FGV, o ano de 2016 foi o terceiro ano da mais grave e duradoura recessão jamais experimentada pelo Brasil nos últimos 100 anos.</w:t>
      </w:r>
    </w:p>
    <w:p w:rsidR="00362BD9" w:rsidRPr="00362BD9" w:rsidRDefault="00362BD9" w:rsidP="00362BD9">
      <w:pPr>
        <w:spacing w:before="240" w:after="240"/>
        <w:jc w:val="both"/>
        <w:rPr>
          <w:sz w:val="22"/>
          <w:szCs w:val="22"/>
        </w:rPr>
      </w:pPr>
      <w:r w:rsidRPr="00362BD9">
        <w:rPr>
          <w:sz w:val="22"/>
          <w:szCs w:val="22"/>
        </w:rPr>
        <w:t xml:space="preserve">Lamentavelmente, as expectativas do início do ano se confirmaram: foi um exercício de contínua deterioração econômica e de grande instabilidade política. </w:t>
      </w:r>
    </w:p>
    <w:p w:rsidR="00362BD9" w:rsidRPr="00362BD9" w:rsidRDefault="00362BD9" w:rsidP="00362BD9">
      <w:pPr>
        <w:spacing w:before="240" w:after="240"/>
        <w:jc w:val="both"/>
        <w:rPr>
          <w:sz w:val="22"/>
          <w:szCs w:val="22"/>
        </w:rPr>
      </w:pPr>
      <w:r w:rsidRPr="00362BD9">
        <w:rPr>
          <w:sz w:val="22"/>
          <w:szCs w:val="22"/>
        </w:rPr>
        <w:t xml:space="preserve">A este cenário sombrio no ambiente doméstico somou-se uma conjuntura internacional preocupante com vários mercados apresentando desaceleração econômica e recorrendo, cada vez mais, a medidas protecionistas que estão afetando os níveis do comércio internacional. O PIB, em 2016, novamente sofreu contração, apresentando uma redução -3,6% em relação ao mesmo período do ano anterior. </w:t>
      </w:r>
    </w:p>
    <w:p w:rsidR="00362BD9" w:rsidRPr="00362BD9" w:rsidRDefault="00362BD9" w:rsidP="00362BD9">
      <w:pPr>
        <w:spacing w:before="240" w:after="240"/>
        <w:jc w:val="both"/>
        <w:rPr>
          <w:sz w:val="22"/>
          <w:szCs w:val="22"/>
        </w:rPr>
      </w:pPr>
      <w:r w:rsidRPr="00362BD9">
        <w:rPr>
          <w:sz w:val="22"/>
          <w:szCs w:val="22"/>
        </w:rPr>
        <w:t>O desemprego passou de 9,0% em dezembro de 2015 para 11,9% no final do exercício de 2016, enquanto o deficit primário acumulado no ano alcançou 1,3% do PIB em 2016, frente a um deficit de 0,6% no mesmo período de 2015.</w:t>
      </w:r>
    </w:p>
    <w:p w:rsidR="00362BD9" w:rsidRPr="00362BD9" w:rsidRDefault="00362BD9" w:rsidP="00362BD9">
      <w:pPr>
        <w:spacing w:before="240" w:after="240"/>
        <w:jc w:val="both"/>
        <w:rPr>
          <w:sz w:val="22"/>
          <w:szCs w:val="22"/>
        </w:rPr>
      </w:pPr>
      <w:r w:rsidRPr="00362BD9">
        <w:rPr>
          <w:sz w:val="22"/>
          <w:szCs w:val="22"/>
        </w:rPr>
        <w:t>O deficit em conta corrente, por sua vez, segue diminuindo, em função da contração da atividade econômica. Já o deficit nas contas externas caiu de 3,3% do PIB em 2015 para 1,1% do PIB em 2016.</w:t>
      </w:r>
    </w:p>
    <w:p w:rsidR="00362BD9" w:rsidRPr="00362BD9" w:rsidRDefault="00362BD9" w:rsidP="00362BD9">
      <w:pPr>
        <w:spacing w:before="240" w:after="240"/>
        <w:jc w:val="both"/>
        <w:rPr>
          <w:sz w:val="22"/>
          <w:szCs w:val="22"/>
        </w:rPr>
      </w:pPr>
      <w:r w:rsidRPr="00362BD9">
        <w:rPr>
          <w:sz w:val="22"/>
          <w:szCs w:val="22"/>
        </w:rPr>
        <w:t>A inflação alcançou 6,29% em 2016 e o BACEN reduziu os juros para 13,75%, em dezembro do mesmo ano.</w:t>
      </w:r>
    </w:p>
    <w:p w:rsidR="00362BD9" w:rsidRPr="00362BD9" w:rsidRDefault="00362BD9" w:rsidP="00362BD9">
      <w:pPr>
        <w:spacing w:before="240" w:after="240"/>
        <w:jc w:val="both"/>
        <w:rPr>
          <w:sz w:val="22"/>
          <w:szCs w:val="22"/>
        </w:rPr>
      </w:pPr>
      <w:r w:rsidRPr="00362BD9">
        <w:rPr>
          <w:sz w:val="22"/>
          <w:szCs w:val="22"/>
        </w:rPr>
        <w:t>O dólar terminou o exercício de 2016 cotado a R$ 3,25, abaixo dos R$ 3,96 registrados em dezembro de 2015, e o país apresenta reservas internacionais da ordem de US$ 370 bilhões.</w:t>
      </w:r>
    </w:p>
    <w:p w:rsidR="00362BD9" w:rsidRPr="00362BD9" w:rsidRDefault="00362BD9" w:rsidP="00362BD9">
      <w:pPr>
        <w:spacing w:before="240" w:after="240"/>
        <w:jc w:val="both"/>
        <w:rPr>
          <w:sz w:val="22"/>
          <w:szCs w:val="22"/>
        </w:rPr>
      </w:pPr>
      <w:r w:rsidRPr="00362BD9">
        <w:rPr>
          <w:sz w:val="22"/>
          <w:szCs w:val="22"/>
        </w:rPr>
        <w:t>Apesar do Brasil estar mergulhado na recessão e com mais de 12 milhões de desempregados, existe um certo otimismo com relação ao futuro próximo. Há expectativas de que o mercado de ações volte a um novo círculo virtuoso de crescimento, podendo chegar a 100 mil pontos no ano de 2017.</w:t>
      </w:r>
    </w:p>
    <w:p w:rsidR="00362BD9" w:rsidRPr="00362BD9" w:rsidRDefault="00362BD9" w:rsidP="00362BD9">
      <w:pPr>
        <w:spacing w:before="240" w:after="240"/>
        <w:jc w:val="both"/>
        <w:rPr>
          <w:sz w:val="22"/>
          <w:szCs w:val="22"/>
        </w:rPr>
      </w:pPr>
      <w:r w:rsidRPr="00362BD9">
        <w:rPr>
          <w:sz w:val="22"/>
          <w:szCs w:val="22"/>
        </w:rPr>
        <w:t>Por outro lado, o Governo tem encaminhado medidas para melhoria da economia. Dentre elas, destacam-se a liberação de R$ 43 bilhões oriundos de contas inativas do FGTS, com o objetivo de injetar dinheiro no mercado; a promulgação do Proposta de Emenda à Constituição – PEC do teto de gastos públicos federais ocorrida em dezembro de 2016, limitando-os à inflação apurada no ano anterior por um período de vinte anos, representando importante contribuição para o equilíbrio das contas públicas; além do projeto de reforma estrutural relativa à Previdência que ocupará a agenda do Congresso em 2017, posto que os gastos saltaram de 0,3% do PIB, em 1997, para projetados 2,7%, em 2017, caracterizando um desequilíbrio crescente; bem como a reforma trabalhista, visando a modernização das relações de trabalho, uma vez que a Consolidação das Leis do Trabalho remonta à década de 1940.</w:t>
      </w:r>
    </w:p>
    <w:p w:rsidR="006E2981" w:rsidRPr="007E7E1D" w:rsidRDefault="00797C5B" w:rsidP="0013775F">
      <w:pPr>
        <w:pStyle w:val="Ttulo3"/>
        <w:numPr>
          <w:ilvl w:val="0"/>
          <w:numId w:val="10"/>
        </w:numPr>
        <w:tabs>
          <w:tab w:val="left" w:pos="3402"/>
          <w:tab w:val="left" w:pos="3969"/>
        </w:tabs>
        <w:spacing w:before="240" w:after="240"/>
      </w:pPr>
      <w:bookmarkStart w:id="2" w:name="_Toc478141839"/>
      <w:r w:rsidRPr="007E7E1D">
        <w:t>PERFIL DA COMPANHIA</w:t>
      </w:r>
      <w:bookmarkEnd w:id="2"/>
    </w:p>
    <w:p w:rsidR="009C5F54" w:rsidRPr="007E7E1D" w:rsidRDefault="009C5F54" w:rsidP="007E7E1D">
      <w:pPr>
        <w:spacing w:before="240" w:after="240"/>
        <w:jc w:val="both"/>
        <w:rPr>
          <w:sz w:val="22"/>
          <w:szCs w:val="22"/>
        </w:rPr>
      </w:pPr>
      <w:r w:rsidRPr="007E7E1D">
        <w:rPr>
          <w:sz w:val="22"/>
          <w:szCs w:val="22"/>
        </w:rPr>
        <w:t xml:space="preserve">A Companhia Energética de Brasília – CEB originou-se da Companhia de Eletricidade de Brasília, criada em 16 de dezembro de 1968, oriunda do Departamento de Força e Luz </w:t>
      </w:r>
      <w:r w:rsidR="0016593A">
        <w:rPr>
          <w:sz w:val="22"/>
          <w:szCs w:val="22"/>
        </w:rPr>
        <w:t xml:space="preserve">– DFL </w:t>
      </w:r>
      <w:r w:rsidRPr="007E7E1D">
        <w:rPr>
          <w:sz w:val="22"/>
          <w:szCs w:val="22"/>
        </w:rPr>
        <w:t xml:space="preserve">da Novacap. </w:t>
      </w:r>
    </w:p>
    <w:p w:rsidR="009C5F54" w:rsidRPr="007E7E1D" w:rsidRDefault="009C5F54" w:rsidP="009C5F54">
      <w:pPr>
        <w:spacing w:before="240" w:after="240"/>
        <w:jc w:val="both"/>
        <w:rPr>
          <w:sz w:val="22"/>
          <w:szCs w:val="22"/>
        </w:rPr>
      </w:pPr>
      <w:r w:rsidRPr="007E7E1D">
        <w:rPr>
          <w:sz w:val="22"/>
          <w:szCs w:val="22"/>
        </w:rPr>
        <w:t xml:space="preserve">No início da década de </w:t>
      </w:r>
      <w:r w:rsidR="00361E61" w:rsidRPr="007E7E1D">
        <w:rPr>
          <w:sz w:val="22"/>
          <w:szCs w:val="22"/>
        </w:rPr>
        <w:t>19</w:t>
      </w:r>
      <w:r w:rsidRPr="007E7E1D">
        <w:rPr>
          <w:sz w:val="22"/>
          <w:szCs w:val="22"/>
        </w:rPr>
        <w:t xml:space="preserve">90 a CEB passou a investir em novos negócios, obtendo concessão de gás canalizado em 1993 </w:t>
      </w:r>
      <w:r w:rsidR="00361E61" w:rsidRPr="007E7E1D">
        <w:rPr>
          <w:sz w:val="22"/>
          <w:szCs w:val="22"/>
        </w:rPr>
        <w:t>bem como participação em</w:t>
      </w:r>
      <w:r w:rsidRPr="007E7E1D">
        <w:rPr>
          <w:sz w:val="22"/>
          <w:szCs w:val="22"/>
        </w:rPr>
        <w:t xml:space="preserve"> consórcio de aproveitamento hidrelétrico, em 1994. No ano de 2006, atendendo ao disposto na Lei nº 10.848</w:t>
      </w:r>
      <w:r w:rsidR="0038229F">
        <w:rPr>
          <w:sz w:val="22"/>
          <w:szCs w:val="22"/>
        </w:rPr>
        <w:t>/2004</w:t>
      </w:r>
      <w:r w:rsidRPr="007E7E1D">
        <w:rPr>
          <w:sz w:val="22"/>
          <w:szCs w:val="22"/>
        </w:rPr>
        <w:t xml:space="preserve"> e </w:t>
      </w:r>
      <w:r w:rsidR="00361E61" w:rsidRPr="007E7E1D">
        <w:rPr>
          <w:sz w:val="22"/>
          <w:szCs w:val="22"/>
        </w:rPr>
        <w:t>na</w:t>
      </w:r>
      <w:r w:rsidRPr="007E7E1D">
        <w:rPr>
          <w:sz w:val="22"/>
          <w:szCs w:val="22"/>
        </w:rPr>
        <w:t xml:space="preserve"> Resolução Autorizativa nº 318</w:t>
      </w:r>
      <w:r w:rsidR="0038229F">
        <w:rPr>
          <w:sz w:val="22"/>
          <w:szCs w:val="22"/>
        </w:rPr>
        <w:t xml:space="preserve">/2005 – </w:t>
      </w:r>
      <w:r w:rsidRPr="007E7E1D">
        <w:rPr>
          <w:sz w:val="22"/>
          <w:szCs w:val="22"/>
        </w:rPr>
        <w:t>ANEEL, a CEB foi submetida a uma reestruturação societária, passando, respectivamente, as concessões de distribuição de energ</w:t>
      </w:r>
      <w:r w:rsidR="00ED58F1">
        <w:rPr>
          <w:sz w:val="22"/>
          <w:szCs w:val="22"/>
        </w:rPr>
        <w:t>ia elétrica no Distrito Federal e</w:t>
      </w:r>
      <w:r w:rsidRPr="007E7E1D">
        <w:rPr>
          <w:sz w:val="22"/>
          <w:szCs w:val="22"/>
        </w:rPr>
        <w:t xml:space="preserve"> de geraç</w:t>
      </w:r>
      <w:r w:rsidR="00ED58F1">
        <w:rPr>
          <w:sz w:val="22"/>
          <w:szCs w:val="22"/>
        </w:rPr>
        <w:t>ões</w:t>
      </w:r>
      <w:r w:rsidRPr="007E7E1D">
        <w:rPr>
          <w:sz w:val="22"/>
          <w:szCs w:val="22"/>
        </w:rPr>
        <w:t xml:space="preserve"> das Usinas</w:t>
      </w:r>
      <w:r w:rsidR="00361E61" w:rsidRPr="007E7E1D">
        <w:rPr>
          <w:sz w:val="22"/>
          <w:szCs w:val="22"/>
        </w:rPr>
        <w:t xml:space="preserve"> Hidrelé</w:t>
      </w:r>
      <w:r w:rsidR="00ED58F1">
        <w:rPr>
          <w:sz w:val="22"/>
          <w:szCs w:val="22"/>
        </w:rPr>
        <w:t xml:space="preserve">trica do Paranoá, </w:t>
      </w:r>
      <w:r w:rsidR="00361E61" w:rsidRPr="007E7E1D">
        <w:rPr>
          <w:sz w:val="22"/>
          <w:szCs w:val="22"/>
        </w:rPr>
        <w:t>Term</w:t>
      </w:r>
      <w:r w:rsidRPr="007E7E1D">
        <w:rPr>
          <w:sz w:val="22"/>
          <w:szCs w:val="22"/>
        </w:rPr>
        <w:t>elétrica de Brasília, e da Usina de Queimado (parte da CEB no Consórcio Cemig/CEB)</w:t>
      </w:r>
      <w:r w:rsidR="00361E61" w:rsidRPr="007E7E1D">
        <w:rPr>
          <w:sz w:val="22"/>
          <w:szCs w:val="22"/>
        </w:rPr>
        <w:t>,</w:t>
      </w:r>
      <w:r w:rsidRPr="007E7E1D">
        <w:rPr>
          <w:sz w:val="22"/>
          <w:szCs w:val="22"/>
        </w:rPr>
        <w:t xml:space="preserve"> para as empresas CEB Distribuição S.A., CEB Geraçã</w:t>
      </w:r>
      <w:r w:rsidR="00361E61" w:rsidRPr="007E7E1D">
        <w:rPr>
          <w:sz w:val="22"/>
          <w:szCs w:val="22"/>
        </w:rPr>
        <w:t>o S.A. e CEB Participações S.A..</w:t>
      </w:r>
    </w:p>
    <w:p w:rsidR="00690BCF" w:rsidRDefault="009C5F54" w:rsidP="00F62C5A">
      <w:pPr>
        <w:spacing w:before="240" w:after="240"/>
        <w:jc w:val="both"/>
        <w:rPr>
          <w:b/>
          <w:bCs/>
          <w:sz w:val="22"/>
          <w:szCs w:val="22"/>
        </w:rPr>
      </w:pPr>
      <w:r w:rsidRPr="007E7E1D">
        <w:rPr>
          <w:sz w:val="22"/>
          <w:szCs w:val="22"/>
        </w:rPr>
        <w:t>Dessa forma, a C</w:t>
      </w:r>
      <w:r w:rsidR="00ED58F1">
        <w:rPr>
          <w:sz w:val="22"/>
          <w:szCs w:val="22"/>
        </w:rPr>
        <w:t>ompanhia</w:t>
      </w:r>
      <w:r w:rsidRPr="007E7E1D">
        <w:rPr>
          <w:sz w:val="22"/>
          <w:szCs w:val="22"/>
        </w:rPr>
        <w:t xml:space="preserve"> tornou-se controladora de empresas no</w:t>
      </w:r>
      <w:r w:rsidR="00841923" w:rsidRPr="007E7E1D">
        <w:rPr>
          <w:sz w:val="22"/>
          <w:szCs w:val="22"/>
        </w:rPr>
        <w:t>s</w:t>
      </w:r>
      <w:r w:rsidRPr="007E7E1D">
        <w:rPr>
          <w:sz w:val="22"/>
          <w:szCs w:val="22"/>
        </w:rPr>
        <w:t xml:space="preserve"> ramo</w:t>
      </w:r>
      <w:r w:rsidR="00841923" w:rsidRPr="007E7E1D">
        <w:rPr>
          <w:sz w:val="22"/>
          <w:szCs w:val="22"/>
        </w:rPr>
        <w:t>s</w:t>
      </w:r>
      <w:r w:rsidRPr="007E7E1D">
        <w:rPr>
          <w:sz w:val="22"/>
          <w:szCs w:val="22"/>
        </w:rPr>
        <w:t xml:space="preserve"> de distribuição e </w:t>
      </w:r>
      <w:r w:rsidR="006964AF">
        <w:rPr>
          <w:sz w:val="22"/>
          <w:szCs w:val="22"/>
        </w:rPr>
        <w:t xml:space="preserve">de </w:t>
      </w:r>
      <w:r w:rsidRPr="007E7E1D">
        <w:rPr>
          <w:sz w:val="22"/>
          <w:szCs w:val="22"/>
        </w:rPr>
        <w:t>geração de energia elétrica, tendo também participaç</w:t>
      </w:r>
      <w:r w:rsidR="00841923" w:rsidRPr="007E7E1D">
        <w:rPr>
          <w:sz w:val="22"/>
          <w:szCs w:val="22"/>
        </w:rPr>
        <w:t>ões</w:t>
      </w:r>
      <w:r w:rsidRPr="007E7E1D">
        <w:rPr>
          <w:sz w:val="22"/>
          <w:szCs w:val="22"/>
        </w:rPr>
        <w:t xml:space="preserve"> em empresas coligada</w:t>
      </w:r>
      <w:r w:rsidR="006964AF">
        <w:rPr>
          <w:sz w:val="22"/>
          <w:szCs w:val="22"/>
        </w:rPr>
        <w:t>s</w:t>
      </w:r>
      <w:r w:rsidRPr="007E7E1D">
        <w:rPr>
          <w:sz w:val="22"/>
          <w:szCs w:val="22"/>
        </w:rPr>
        <w:t>, c</w:t>
      </w:r>
      <w:r w:rsidR="00667D6A" w:rsidRPr="007E7E1D">
        <w:rPr>
          <w:sz w:val="22"/>
          <w:szCs w:val="22"/>
        </w:rPr>
        <w:t>ontrolada em conjunto e ligada.</w:t>
      </w:r>
      <w:r w:rsidR="00690BCF">
        <w:rPr>
          <w:b/>
          <w:bCs/>
          <w:sz w:val="22"/>
          <w:szCs w:val="22"/>
        </w:rPr>
        <w:br w:type="page"/>
      </w:r>
    </w:p>
    <w:p w:rsidR="007409F6" w:rsidRPr="007E7E1D" w:rsidRDefault="007409F6" w:rsidP="007409F6">
      <w:pPr>
        <w:spacing w:before="240" w:after="240"/>
        <w:rPr>
          <w:b/>
          <w:bCs/>
          <w:sz w:val="22"/>
          <w:szCs w:val="22"/>
        </w:rPr>
      </w:pPr>
      <w:r w:rsidRPr="007E7E1D">
        <w:rPr>
          <w:b/>
          <w:bCs/>
          <w:sz w:val="22"/>
          <w:szCs w:val="22"/>
        </w:rPr>
        <w:lastRenderedPageBreak/>
        <w:t>Estrutura Societária</w:t>
      </w:r>
    </w:p>
    <w:p w:rsidR="007409F6" w:rsidRPr="007E7E1D" w:rsidRDefault="007409F6" w:rsidP="007409F6">
      <w:pPr>
        <w:spacing w:before="240" w:after="240"/>
        <w:jc w:val="both"/>
        <w:rPr>
          <w:sz w:val="22"/>
          <w:szCs w:val="22"/>
        </w:rPr>
      </w:pPr>
      <w:r w:rsidRPr="007E7E1D">
        <w:rPr>
          <w:sz w:val="22"/>
          <w:szCs w:val="22"/>
        </w:rPr>
        <w:t xml:space="preserve">A Companhia Energética de Brasília é uma sociedade de economia mista, de capital aberto, regida pela Lei das Sociedades Anônimas (Lei nº 6.404/1976), tendo por órgão fiscalizador de suas ações mercadológicas a Comissão de Valores Mobiliários (CVM), desde seu registro na entidade, em 4 de julho de 1994. </w:t>
      </w:r>
    </w:p>
    <w:p w:rsidR="007409F6" w:rsidRPr="007E7E1D" w:rsidRDefault="007409F6" w:rsidP="007409F6">
      <w:pPr>
        <w:spacing w:before="240" w:after="240"/>
        <w:jc w:val="both"/>
        <w:rPr>
          <w:sz w:val="22"/>
          <w:szCs w:val="22"/>
        </w:rPr>
      </w:pPr>
      <w:r w:rsidRPr="007E7E1D">
        <w:rPr>
          <w:sz w:val="22"/>
          <w:szCs w:val="22"/>
        </w:rPr>
        <w:t>Em atendimento à orientação da Bolsa de Valores do Estado de São Paulo (BM&amp;FBOVESPA), por intermédio do Ofício nº 041/2007 – SEO, de 15 de março de 2007, a CEB, após decisão tomada na 45ª Assembleia Geral Ordinária, agrupou suas ações, a partir de 18 de junho de 2007. Dessa forma, foi adotada a cotação unitária, passando o seu capital social a ser representado por 9.183.458 ações escriturais, sem valor nominal, sendo 4.576.432 ações ordinárias, 1.313.002 ações preferenciais classe A e 3.294.024 ações prefe</w:t>
      </w:r>
      <w:r w:rsidR="00397B03" w:rsidRPr="007E7E1D">
        <w:rPr>
          <w:sz w:val="22"/>
          <w:szCs w:val="22"/>
        </w:rPr>
        <w:t>renciais classe B.</w:t>
      </w:r>
    </w:p>
    <w:p w:rsidR="007409F6" w:rsidRPr="007E7E1D" w:rsidRDefault="007409F6" w:rsidP="007409F6">
      <w:pPr>
        <w:spacing w:before="240" w:after="240"/>
        <w:jc w:val="both"/>
        <w:rPr>
          <w:sz w:val="22"/>
          <w:szCs w:val="22"/>
        </w:rPr>
      </w:pPr>
      <w:r w:rsidRPr="007E7E1D">
        <w:rPr>
          <w:sz w:val="22"/>
          <w:szCs w:val="22"/>
        </w:rPr>
        <w:t xml:space="preserve">Em 23 setembro de 2015, a 89ª Assembleia Geral Extraordinária – AGE homologou o aumento de capital da CEB em R$ 223.969.190,00, mediante as subscrições particulares de 2.607.746 ações ordinárias e de 2.625.179 ações preferenciais </w:t>
      </w:r>
      <w:r w:rsidR="001A3717">
        <w:rPr>
          <w:sz w:val="22"/>
          <w:szCs w:val="22"/>
        </w:rPr>
        <w:t>C</w:t>
      </w:r>
      <w:r w:rsidRPr="007E7E1D">
        <w:rPr>
          <w:sz w:val="22"/>
          <w:szCs w:val="22"/>
        </w:rPr>
        <w:t>lasse B.</w:t>
      </w:r>
    </w:p>
    <w:p w:rsidR="007409F6" w:rsidRPr="007E7E1D" w:rsidRDefault="007409F6" w:rsidP="007409F6">
      <w:pPr>
        <w:spacing w:before="240" w:after="240"/>
        <w:jc w:val="both"/>
        <w:rPr>
          <w:sz w:val="22"/>
          <w:szCs w:val="22"/>
        </w:rPr>
      </w:pPr>
      <w:r w:rsidRPr="00ED58F1">
        <w:rPr>
          <w:sz w:val="22"/>
          <w:szCs w:val="22"/>
        </w:rPr>
        <w:t>Atualmente, o capital social da CEB, no montante de R$ 566.025.355,62 (quinhentos e sessenta e</w:t>
      </w:r>
      <w:r w:rsidR="00690F1D" w:rsidRPr="00ED58F1">
        <w:rPr>
          <w:sz w:val="22"/>
          <w:szCs w:val="22"/>
        </w:rPr>
        <w:t xml:space="preserve"> seis milhões, vinte e cinco mil,</w:t>
      </w:r>
      <w:r w:rsidRPr="00ED58F1">
        <w:rPr>
          <w:sz w:val="22"/>
          <w:szCs w:val="22"/>
        </w:rPr>
        <w:t xml:space="preserve"> trezentos e cinquenta e cinco reais e sessenta e dois centavos), apresenta a seguinte composição:</w:t>
      </w:r>
    </w:p>
    <w:p w:rsidR="007409F6" w:rsidRPr="007E7E1D" w:rsidRDefault="007409F6" w:rsidP="007409F6">
      <w:pPr>
        <w:spacing w:before="240" w:after="240"/>
        <w:rPr>
          <w:b/>
          <w:bCs/>
          <w:sz w:val="22"/>
          <w:szCs w:val="22"/>
        </w:rPr>
      </w:pPr>
      <w:r w:rsidRPr="007E7E1D">
        <w:rPr>
          <w:b/>
          <w:bCs/>
          <w:sz w:val="22"/>
          <w:szCs w:val="22"/>
        </w:rPr>
        <w:t>Composição Acionária (Controlador)</w:t>
      </w:r>
    </w:p>
    <w:tbl>
      <w:tblPr>
        <w:tblW w:w="4973"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3349"/>
        <w:gridCol w:w="1232"/>
        <w:gridCol w:w="1016"/>
        <w:gridCol w:w="1234"/>
        <w:gridCol w:w="1010"/>
        <w:gridCol w:w="1238"/>
        <w:gridCol w:w="1004"/>
      </w:tblGrid>
      <w:tr w:rsidR="007409F6" w:rsidRPr="004C1CCC" w:rsidTr="00F60C9D">
        <w:trPr>
          <w:trHeight w:val="291"/>
          <w:jc w:val="center"/>
        </w:trPr>
        <w:tc>
          <w:tcPr>
            <w:tcW w:w="1660"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7409F6" w:rsidRPr="00837475" w:rsidRDefault="007409F6" w:rsidP="008D0334">
            <w:pPr>
              <w:ind w:right="-1"/>
              <w:jc w:val="center"/>
              <w:rPr>
                <w:b/>
                <w:bCs/>
                <w:snapToGrid w:val="0"/>
                <w:color w:val="FFFFFF" w:themeColor="background1"/>
                <w:lang w:eastAsia="en-US" w:bidi="en-US"/>
              </w:rPr>
            </w:pPr>
            <w:r w:rsidRPr="00837475">
              <w:rPr>
                <w:b/>
                <w:bCs/>
                <w:snapToGrid w:val="0"/>
                <w:color w:val="FFFFFF" w:themeColor="background1"/>
                <w:lang w:eastAsia="en-US" w:bidi="en-US"/>
              </w:rPr>
              <w:t>Acionistas</w:t>
            </w:r>
          </w:p>
        </w:tc>
        <w:tc>
          <w:tcPr>
            <w:tcW w:w="1115" w:type="pct"/>
            <w:gridSpan w:val="2"/>
            <w:tcBorders>
              <w:top w:val="single" w:sz="8" w:space="0" w:color="DDDDDD"/>
              <w:left w:val="single" w:sz="8" w:space="0" w:color="DDDDDD"/>
              <w:bottom w:val="single" w:sz="18" w:space="0" w:color="DDDDDD"/>
              <w:right w:val="single" w:sz="8" w:space="0" w:color="DDDDDD"/>
            </w:tcBorders>
            <w:shd w:val="clear" w:color="auto" w:fill="0070C0"/>
            <w:vAlign w:val="center"/>
          </w:tcPr>
          <w:p w:rsidR="007409F6" w:rsidRPr="00837475" w:rsidRDefault="007409F6" w:rsidP="008D0334">
            <w:pPr>
              <w:ind w:right="-1"/>
              <w:jc w:val="center"/>
              <w:rPr>
                <w:b/>
                <w:bCs/>
                <w:snapToGrid w:val="0"/>
                <w:color w:val="FFFFFF" w:themeColor="background1"/>
                <w:lang w:eastAsia="en-US" w:bidi="en-US"/>
              </w:rPr>
            </w:pPr>
            <w:r w:rsidRPr="00837475">
              <w:rPr>
                <w:b/>
                <w:bCs/>
                <w:snapToGrid w:val="0"/>
                <w:color w:val="FFFFFF" w:themeColor="background1"/>
                <w:lang w:eastAsia="en-US" w:bidi="en-US"/>
              </w:rPr>
              <w:t>Ações Ordinárias</w:t>
            </w:r>
          </w:p>
        </w:tc>
        <w:tc>
          <w:tcPr>
            <w:tcW w:w="1113" w:type="pct"/>
            <w:gridSpan w:val="2"/>
            <w:tcBorders>
              <w:top w:val="single" w:sz="8" w:space="0" w:color="DDDDDD"/>
              <w:left w:val="single" w:sz="8" w:space="0" w:color="DDDDDD"/>
              <w:bottom w:val="single" w:sz="18" w:space="0" w:color="DDDDDD"/>
              <w:right w:val="single" w:sz="8" w:space="0" w:color="DDDDDD"/>
            </w:tcBorders>
            <w:shd w:val="clear" w:color="auto" w:fill="0070C0"/>
            <w:vAlign w:val="center"/>
          </w:tcPr>
          <w:p w:rsidR="007409F6" w:rsidRPr="00837475" w:rsidRDefault="007409F6" w:rsidP="008D0334">
            <w:pPr>
              <w:ind w:right="-1"/>
              <w:jc w:val="center"/>
              <w:rPr>
                <w:b/>
                <w:bCs/>
                <w:snapToGrid w:val="0"/>
                <w:color w:val="FFFFFF" w:themeColor="background1"/>
                <w:lang w:eastAsia="en-US" w:bidi="en-US"/>
              </w:rPr>
            </w:pPr>
            <w:r w:rsidRPr="00837475">
              <w:rPr>
                <w:b/>
                <w:bCs/>
                <w:snapToGrid w:val="0"/>
                <w:color w:val="FFFFFF" w:themeColor="background1"/>
                <w:lang w:eastAsia="en-US" w:bidi="en-US"/>
              </w:rPr>
              <w:t>Ações Preferenciais</w:t>
            </w:r>
          </w:p>
        </w:tc>
        <w:tc>
          <w:tcPr>
            <w:tcW w:w="1113" w:type="pct"/>
            <w:gridSpan w:val="2"/>
            <w:tcBorders>
              <w:top w:val="single" w:sz="8" w:space="0" w:color="DDDDDD"/>
              <w:left w:val="single" w:sz="8" w:space="0" w:color="DDDDDD"/>
              <w:bottom w:val="single" w:sz="18" w:space="0" w:color="DDDDDD"/>
              <w:right w:val="single" w:sz="8" w:space="0" w:color="DDDDDD"/>
            </w:tcBorders>
            <w:shd w:val="clear" w:color="auto" w:fill="0070C0"/>
            <w:vAlign w:val="center"/>
          </w:tcPr>
          <w:p w:rsidR="007409F6" w:rsidRPr="00837475" w:rsidRDefault="007409F6" w:rsidP="008D0334">
            <w:pPr>
              <w:ind w:right="-1"/>
              <w:jc w:val="center"/>
              <w:rPr>
                <w:b/>
                <w:bCs/>
                <w:snapToGrid w:val="0"/>
                <w:color w:val="FFFFFF" w:themeColor="background1"/>
                <w:lang w:eastAsia="en-US" w:bidi="en-US"/>
              </w:rPr>
            </w:pPr>
            <w:r w:rsidRPr="00837475">
              <w:rPr>
                <w:b/>
                <w:bCs/>
                <w:snapToGrid w:val="0"/>
                <w:color w:val="FFFFFF" w:themeColor="background1"/>
                <w:lang w:eastAsia="en-US" w:bidi="en-US"/>
              </w:rPr>
              <w:t>Ações Totais</w:t>
            </w:r>
          </w:p>
        </w:tc>
      </w:tr>
      <w:tr w:rsidR="007409F6" w:rsidRPr="004C1CCC" w:rsidTr="00ED0637">
        <w:trPr>
          <w:trHeight w:val="170"/>
          <w:jc w:val="center"/>
        </w:trPr>
        <w:tc>
          <w:tcPr>
            <w:tcW w:w="166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4C1CCC" w:rsidRDefault="007409F6" w:rsidP="00ED0637">
            <w:pPr>
              <w:ind w:right="-1"/>
              <w:jc w:val="center"/>
              <w:rPr>
                <w:b/>
                <w:bCs/>
                <w:snapToGrid w:val="0"/>
                <w:lang w:eastAsia="en-US" w:bidi="en-US"/>
              </w:rPr>
            </w:pPr>
          </w:p>
        </w:tc>
        <w:tc>
          <w:tcPr>
            <w:tcW w:w="611"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4C1CCC" w:rsidRDefault="007409F6" w:rsidP="00ED0637">
            <w:pPr>
              <w:ind w:right="-1"/>
              <w:jc w:val="center"/>
              <w:rPr>
                <w:snapToGrid w:val="0"/>
                <w:lang w:eastAsia="en-US" w:bidi="en-US"/>
              </w:rPr>
            </w:pPr>
            <w:r w:rsidRPr="004C1CCC">
              <w:rPr>
                <w:b/>
                <w:snapToGrid w:val="0"/>
                <w:lang w:eastAsia="en-US" w:bidi="en-US"/>
              </w:rPr>
              <w:t>Qtd</w:t>
            </w:r>
          </w:p>
        </w:tc>
        <w:tc>
          <w:tcPr>
            <w:tcW w:w="50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4C1CCC" w:rsidRDefault="007409F6" w:rsidP="00ED0637">
            <w:pPr>
              <w:ind w:right="-1"/>
              <w:jc w:val="center"/>
              <w:rPr>
                <w:snapToGrid w:val="0"/>
                <w:lang w:eastAsia="en-US" w:bidi="en-US"/>
              </w:rPr>
            </w:pPr>
            <w:r w:rsidRPr="004C1CCC">
              <w:rPr>
                <w:b/>
                <w:snapToGrid w:val="0"/>
                <w:lang w:eastAsia="en-US" w:bidi="en-US"/>
              </w:rPr>
              <w:t>%</w:t>
            </w:r>
          </w:p>
        </w:tc>
        <w:tc>
          <w:tcPr>
            <w:tcW w:w="61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4C1CCC" w:rsidRDefault="007409F6" w:rsidP="00ED0637">
            <w:pPr>
              <w:ind w:right="-1"/>
              <w:jc w:val="center"/>
              <w:rPr>
                <w:snapToGrid w:val="0"/>
                <w:lang w:eastAsia="en-US" w:bidi="en-US"/>
              </w:rPr>
            </w:pPr>
            <w:r w:rsidRPr="004C1CCC">
              <w:rPr>
                <w:b/>
                <w:snapToGrid w:val="0"/>
                <w:lang w:eastAsia="en-US" w:bidi="en-US"/>
              </w:rPr>
              <w:t>Qtd</w:t>
            </w:r>
          </w:p>
        </w:tc>
        <w:tc>
          <w:tcPr>
            <w:tcW w:w="501"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4C1CCC" w:rsidRDefault="007409F6" w:rsidP="00ED0637">
            <w:pPr>
              <w:ind w:right="-1"/>
              <w:jc w:val="center"/>
              <w:rPr>
                <w:snapToGrid w:val="0"/>
                <w:lang w:eastAsia="en-US" w:bidi="en-US"/>
              </w:rPr>
            </w:pPr>
            <w:r w:rsidRPr="004C1CCC">
              <w:rPr>
                <w:b/>
                <w:snapToGrid w:val="0"/>
                <w:lang w:eastAsia="en-US" w:bidi="en-US"/>
              </w:rPr>
              <w:t>%</w:t>
            </w:r>
          </w:p>
        </w:tc>
        <w:tc>
          <w:tcPr>
            <w:tcW w:w="6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4C1CCC" w:rsidRDefault="007409F6" w:rsidP="00ED0637">
            <w:pPr>
              <w:ind w:right="-1"/>
              <w:jc w:val="center"/>
              <w:rPr>
                <w:b/>
                <w:snapToGrid w:val="0"/>
                <w:lang w:eastAsia="en-US" w:bidi="en-US"/>
              </w:rPr>
            </w:pPr>
            <w:r w:rsidRPr="004C1CCC">
              <w:rPr>
                <w:b/>
                <w:snapToGrid w:val="0"/>
                <w:lang w:eastAsia="en-US" w:bidi="en-US"/>
              </w:rPr>
              <w:t>Qtd</w:t>
            </w:r>
          </w:p>
        </w:tc>
        <w:tc>
          <w:tcPr>
            <w:tcW w:w="499"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4C1CCC" w:rsidRDefault="007409F6" w:rsidP="00ED0637">
            <w:pPr>
              <w:ind w:right="-1"/>
              <w:jc w:val="center"/>
              <w:rPr>
                <w:b/>
                <w:snapToGrid w:val="0"/>
                <w:lang w:eastAsia="en-US" w:bidi="en-US"/>
              </w:rPr>
            </w:pPr>
            <w:r w:rsidRPr="004C1CCC">
              <w:rPr>
                <w:b/>
                <w:snapToGrid w:val="0"/>
                <w:lang w:eastAsia="en-US" w:bidi="en-US"/>
              </w:rPr>
              <w:t>%</w:t>
            </w:r>
          </w:p>
        </w:tc>
      </w:tr>
      <w:tr w:rsidR="007409F6" w:rsidRPr="004C1CCC" w:rsidTr="00ED0637">
        <w:trPr>
          <w:trHeight w:val="170"/>
          <w:jc w:val="center"/>
        </w:trPr>
        <w:tc>
          <w:tcPr>
            <w:tcW w:w="1660"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ind w:right="-1" w:firstLine="265"/>
              <w:rPr>
                <w:b/>
                <w:bCs/>
                <w:snapToGrid w:val="0"/>
                <w:lang w:eastAsia="en-US" w:bidi="en-US"/>
              </w:rPr>
            </w:pPr>
            <w:r w:rsidRPr="00345D9B">
              <w:rPr>
                <w:b/>
                <w:bCs/>
                <w:snapToGrid w:val="0"/>
                <w:lang w:eastAsia="en-US" w:bidi="en-US"/>
              </w:rPr>
              <w:t>Governo do Distrito Federal</w:t>
            </w:r>
          </w:p>
        </w:tc>
        <w:tc>
          <w:tcPr>
            <w:tcW w:w="611"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6.696.418</w:t>
            </w:r>
          </w:p>
        </w:tc>
        <w:tc>
          <w:tcPr>
            <w:tcW w:w="504"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93,21</w:t>
            </w:r>
          </w:p>
        </w:tc>
        <w:tc>
          <w:tcPr>
            <w:tcW w:w="612"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4.865.691</w:t>
            </w:r>
          </w:p>
        </w:tc>
        <w:tc>
          <w:tcPr>
            <w:tcW w:w="501"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67,28</w:t>
            </w:r>
          </w:p>
        </w:tc>
        <w:tc>
          <w:tcPr>
            <w:tcW w:w="614"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11.562.109</w:t>
            </w:r>
          </w:p>
        </w:tc>
        <w:tc>
          <w:tcPr>
            <w:tcW w:w="499"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80,20</w:t>
            </w:r>
          </w:p>
        </w:tc>
      </w:tr>
      <w:tr w:rsidR="007409F6" w:rsidRPr="004C1CCC" w:rsidTr="00ED0637">
        <w:trPr>
          <w:trHeight w:val="170"/>
          <w:jc w:val="center"/>
        </w:trPr>
        <w:tc>
          <w:tcPr>
            <w:tcW w:w="166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345D9B" w:rsidRDefault="007409F6" w:rsidP="00ED0637">
            <w:pPr>
              <w:ind w:right="-1" w:firstLine="265"/>
              <w:rPr>
                <w:b/>
                <w:bCs/>
                <w:snapToGrid w:val="0"/>
                <w:lang w:eastAsia="en-US" w:bidi="en-US"/>
              </w:rPr>
            </w:pPr>
            <w:r w:rsidRPr="00345D9B">
              <w:rPr>
                <w:b/>
                <w:bCs/>
                <w:snapToGrid w:val="0"/>
                <w:lang w:eastAsia="en-US" w:bidi="en-US"/>
              </w:rPr>
              <w:t>Outros Acionistas</w:t>
            </w:r>
          </w:p>
        </w:tc>
        <w:tc>
          <w:tcPr>
            <w:tcW w:w="611"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345D9B" w:rsidRDefault="007409F6" w:rsidP="00ED0637">
            <w:pPr>
              <w:jc w:val="right"/>
              <w:rPr>
                <w:b/>
                <w:snapToGrid w:val="0"/>
                <w:lang w:eastAsia="en-US" w:bidi="en-US"/>
              </w:rPr>
            </w:pPr>
            <w:r w:rsidRPr="00345D9B">
              <w:rPr>
                <w:b/>
                <w:snapToGrid w:val="0"/>
                <w:lang w:eastAsia="en-US" w:bidi="en-US"/>
              </w:rPr>
              <w:t>487.769</w:t>
            </w:r>
          </w:p>
        </w:tc>
        <w:tc>
          <w:tcPr>
            <w:tcW w:w="50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345D9B" w:rsidRDefault="007409F6" w:rsidP="00ED0637">
            <w:pPr>
              <w:jc w:val="right"/>
              <w:rPr>
                <w:b/>
                <w:snapToGrid w:val="0"/>
                <w:lang w:eastAsia="en-US" w:bidi="en-US"/>
              </w:rPr>
            </w:pPr>
            <w:r w:rsidRPr="00345D9B">
              <w:rPr>
                <w:b/>
                <w:snapToGrid w:val="0"/>
                <w:lang w:eastAsia="en-US" w:bidi="en-US"/>
              </w:rPr>
              <w:t>6,79</w:t>
            </w:r>
          </w:p>
        </w:tc>
        <w:tc>
          <w:tcPr>
            <w:tcW w:w="61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345D9B" w:rsidRDefault="007409F6" w:rsidP="00ED0637">
            <w:pPr>
              <w:jc w:val="right"/>
              <w:rPr>
                <w:b/>
                <w:snapToGrid w:val="0"/>
                <w:lang w:eastAsia="en-US" w:bidi="en-US"/>
              </w:rPr>
            </w:pPr>
            <w:r w:rsidRPr="00345D9B">
              <w:rPr>
                <w:b/>
                <w:snapToGrid w:val="0"/>
                <w:lang w:eastAsia="en-US" w:bidi="en-US"/>
              </w:rPr>
              <w:t>2.366.505</w:t>
            </w:r>
          </w:p>
        </w:tc>
        <w:tc>
          <w:tcPr>
            <w:tcW w:w="501"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345D9B" w:rsidRDefault="007409F6" w:rsidP="00ED0637">
            <w:pPr>
              <w:jc w:val="right"/>
              <w:rPr>
                <w:b/>
                <w:snapToGrid w:val="0"/>
                <w:lang w:eastAsia="en-US" w:bidi="en-US"/>
              </w:rPr>
            </w:pPr>
            <w:r w:rsidRPr="00345D9B">
              <w:rPr>
                <w:b/>
                <w:snapToGrid w:val="0"/>
                <w:lang w:eastAsia="en-US" w:bidi="en-US"/>
              </w:rPr>
              <w:t>32,72</w:t>
            </w:r>
          </w:p>
        </w:tc>
        <w:tc>
          <w:tcPr>
            <w:tcW w:w="6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345D9B" w:rsidRDefault="007409F6" w:rsidP="00ED0637">
            <w:pPr>
              <w:jc w:val="right"/>
              <w:rPr>
                <w:b/>
                <w:snapToGrid w:val="0"/>
                <w:lang w:eastAsia="en-US" w:bidi="en-US"/>
              </w:rPr>
            </w:pPr>
            <w:r w:rsidRPr="00345D9B">
              <w:rPr>
                <w:b/>
                <w:snapToGrid w:val="0"/>
                <w:lang w:eastAsia="en-US" w:bidi="en-US"/>
              </w:rPr>
              <w:t>2.854.274</w:t>
            </w:r>
          </w:p>
        </w:tc>
        <w:tc>
          <w:tcPr>
            <w:tcW w:w="499"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7409F6" w:rsidRPr="00345D9B" w:rsidRDefault="007409F6" w:rsidP="00ED0637">
            <w:pPr>
              <w:jc w:val="right"/>
              <w:rPr>
                <w:b/>
                <w:snapToGrid w:val="0"/>
                <w:lang w:eastAsia="en-US" w:bidi="en-US"/>
              </w:rPr>
            </w:pPr>
            <w:r w:rsidRPr="00345D9B">
              <w:rPr>
                <w:b/>
                <w:snapToGrid w:val="0"/>
                <w:lang w:eastAsia="en-US" w:bidi="en-US"/>
              </w:rPr>
              <w:t>19,80</w:t>
            </w:r>
          </w:p>
        </w:tc>
      </w:tr>
      <w:tr w:rsidR="007409F6" w:rsidRPr="004C1CCC" w:rsidTr="00ED0637">
        <w:trPr>
          <w:trHeight w:val="170"/>
          <w:jc w:val="center"/>
        </w:trPr>
        <w:tc>
          <w:tcPr>
            <w:tcW w:w="1660"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ind w:right="-1" w:firstLine="265"/>
              <w:rPr>
                <w:b/>
                <w:bCs/>
                <w:snapToGrid w:val="0"/>
                <w:lang w:eastAsia="en-US" w:bidi="en-US"/>
              </w:rPr>
            </w:pPr>
            <w:r w:rsidRPr="00345D9B">
              <w:rPr>
                <w:b/>
                <w:bCs/>
                <w:snapToGrid w:val="0"/>
                <w:lang w:eastAsia="en-US" w:bidi="en-US"/>
              </w:rPr>
              <w:t>Total</w:t>
            </w:r>
          </w:p>
        </w:tc>
        <w:tc>
          <w:tcPr>
            <w:tcW w:w="611"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7.184.187</w:t>
            </w:r>
          </w:p>
        </w:tc>
        <w:tc>
          <w:tcPr>
            <w:tcW w:w="504"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100,00</w:t>
            </w:r>
          </w:p>
        </w:tc>
        <w:tc>
          <w:tcPr>
            <w:tcW w:w="612"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7.232.196</w:t>
            </w:r>
          </w:p>
        </w:tc>
        <w:tc>
          <w:tcPr>
            <w:tcW w:w="501"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100,00</w:t>
            </w:r>
          </w:p>
        </w:tc>
        <w:tc>
          <w:tcPr>
            <w:tcW w:w="614"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14.416.383</w:t>
            </w:r>
          </w:p>
        </w:tc>
        <w:tc>
          <w:tcPr>
            <w:tcW w:w="499" w:type="pct"/>
            <w:tcBorders>
              <w:top w:val="single" w:sz="8" w:space="0" w:color="DDDDDD"/>
              <w:left w:val="single" w:sz="8" w:space="0" w:color="DDDDDD"/>
              <w:bottom w:val="single" w:sz="8" w:space="0" w:color="DDDDDD"/>
              <w:right w:val="single" w:sz="8" w:space="0" w:color="DDDDDD"/>
            </w:tcBorders>
            <w:shd w:val="clear" w:color="auto" w:fill="auto"/>
            <w:vAlign w:val="center"/>
          </w:tcPr>
          <w:p w:rsidR="007409F6" w:rsidRPr="00345D9B" w:rsidRDefault="007409F6" w:rsidP="00ED0637">
            <w:pPr>
              <w:jc w:val="right"/>
              <w:rPr>
                <w:b/>
                <w:snapToGrid w:val="0"/>
                <w:lang w:eastAsia="en-US" w:bidi="en-US"/>
              </w:rPr>
            </w:pPr>
            <w:r w:rsidRPr="00345D9B">
              <w:rPr>
                <w:b/>
                <w:snapToGrid w:val="0"/>
                <w:lang w:eastAsia="en-US" w:bidi="en-US"/>
              </w:rPr>
              <w:t>100,00</w:t>
            </w:r>
          </w:p>
        </w:tc>
      </w:tr>
    </w:tbl>
    <w:p w:rsidR="007409F6" w:rsidRPr="004C1CCC" w:rsidRDefault="00345D9B" w:rsidP="001871A3">
      <w:pPr>
        <w:spacing w:before="40" w:after="240"/>
        <w:rPr>
          <w:rFonts w:eastAsia="Calibri"/>
          <w:b/>
          <w:bCs/>
          <w:sz w:val="16"/>
          <w:szCs w:val="16"/>
        </w:rPr>
      </w:pPr>
      <w:r>
        <w:rPr>
          <w:rFonts w:eastAsia="Calibri"/>
          <w:b/>
          <w:bCs/>
          <w:sz w:val="16"/>
          <w:szCs w:val="16"/>
        </w:rPr>
        <w:t>Referência</w:t>
      </w:r>
      <w:r w:rsidR="007409F6" w:rsidRPr="004C1CCC">
        <w:rPr>
          <w:rFonts w:eastAsia="Calibri"/>
          <w:b/>
          <w:bCs/>
          <w:sz w:val="16"/>
          <w:szCs w:val="16"/>
        </w:rPr>
        <w:t>: Composição Acionária em 31 de dezembro de 201</w:t>
      </w:r>
      <w:r w:rsidR="00ED58F1">
        <w:rPr>
          <w:rFonts w:eastAsia="Calibri"/>
          <w:b/>
          <w:bCs/>
          <w:sz w:val="16"/>
          <w:szCs w:val="16"/>
        </w:rPr>
        <w:t>6</w:t>
      </w:r>
      <w:r w:rsidR="00397B03" w:rsidRPr="004C1CCC">
        <w:rPr>
          <w:rFonts w:eastAsia="Calibri"/>
          <w:b/>
          <w:bCs/>
          <w:sz w:val="16"/>
          <w:szCs w:val="16"/>
        </w:rPr>
        <w:t>.</w:t>
      </w:r>
    </w:p>
    <w:p w:rsidR="006E2981" w:rsidRDefault="00D9551C" w:rsidP="004843D8">
      <w:pPr>
        <w:rPr>
          <w:b/>
          <w:sz w:val="22"/>
          <w:szCs w:val="22"/>
        </w:rPr>
      </w:pPr>
      <w:r>
        <w:rPr>
          <w:b/>
          <w:sz w:val="22"/>
          <w:szCs w:val="22"/>
        </w:rPr>
        <w:t>O</w:t>
      </w:r>
      <w:r w:rsidR="00841923">
        <w:rPr>
          <w:b/>
          <w:sz w:val="22"/>
          <w:szCs w:val="22"/>
        </w:rPr>
        <w:t>rganização Societária</w:t>
      </w:r>
    </w:p>
    <w:p w:rsidR="006E2981" w:rsidRPr="00F93ACC" w:rsidRDefault="003639BB" w:rsidP="00AB5C23">
      <w:pPr>
        <w:spacing w:before="240"/>
        <w:ind w:left="1134" w:hanging="1134"/>
        <w:jc w:val="center"/>
        <w:rPr>
          <w:b/>
          <w:sz w:val="22"/>
          <w:szCs w:val="22"/>
        </w:rPr>
      </w:pPr>
      <w:r w:rsidRPr="003639BB">
        <w:rPr>
          <w:b/>
          <w:noProof/>
          <w:sz w:val="22"/>
          <w:szCs w:val="22"/>
        </w:rPr>
        <w:drawing>
          <wp:inline distT="0" distB="0" distL="0" distR="0">
            <wp:extent cx="6157181" cy="2679589"/>
            <wp:effectExtent l="19050" t="0" r="0" b="0"/>
            <wp:docPr id="4"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000" cy="3024336"/>
                      <a:chOff x="71500" y="1916832"/>
                      <a:chExt cx="9001000" cy="3024336"/>
                    </a:xfrm>
                  </a:grpSpPr>
                  <a:pic>
                    <a:nvPicPr>
                      <a:cNvPr id="2" name="Picture 5" descr="35974"/>
                      <a:cNvPicPr>
                        <a:picLocks noChangeArrowheads="1"/>
                      </a:cNvPicPr>
                    </a:nvPicPr>
                    <a:blipFill>
                      <a:blip r:embed="rId24" cstate="print">
                        <a:extLst>
                          <a:ext uri="{28A0092B-C50C-407E-A947-70E740481C1C}">
                            <a14:useLocalDpi xmlns:a14="http://schemas.microsoft.com/office/drawing/2010/main" val="0"/>
                          </a:ext>
                        </a:extLst>
                      </a:blip>
                      <a:srcRect/>
                      <a:stretch>
                        <a:fillRect/>
                      </a:stretch>
                    </a:blipFill>
                    <a:spPr bwMode="auto">
                      <a:xfrm>
                        <a:off x="4175956" y="3098964"/>
                        <a:ext cx="953976" cy="546331"/>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pic>
                  <a:sp>
                    <a:nvSpPr>
                      <a:cNvPr id="3" name="CaixaDeTexto 58"/>
                      <a:cNvSpPr txBox="1"/>
                    </a:nvSpPr>
                    <a:spPr>
                      <a:xfrm>
                        <a:off x="215516" y="4077343"/>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100%</a:t>
                          </a:r>
                          <a:endParaRPr lang="pt-BR" sz="1400" b="1" dirty="0">
                            <a:latin typeface="Arial" pitchFamily="34" charset="0"/>
                            <a:cs typeface="Arial" pitchFamily="34" charset="0"/>
                          </a:endParaRPr>
                        </a:p>
                      </a:txBody>
                      <a:useSpRect/>
                    </a:txSp>
                  </a:sp>
                  <a:sp>
                    <a:nvSpPr>
                      <a:cNvPr id="4" name="Line 32"/>
                      <a:cNvSpPr>
                        <a:spLocks noChangeShapeType="1"/>
                      </a:cNvSpPr>
                    </a:nvSpPr>
                    <a:spPr bwMode="auto">
                      <a:xfrm flipH="1">
                        <a:off x="503548" y="3861319"/>
                        <a:ext cx="8136000"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5" name="Line 33"/>
                      <a:cNvSpPr>
                        <a:spLocks noChangeShapeType="1"/>
                      </a:cNvSpPr>
                    </a:nvSpPr>
                    <a:spPr bwMode="auto">
                      <a:xfrm>
                        <a:off x="4680012" y="3738967"/>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6" name="Picture 4" descr="http://www.gruposerveng.com.br/MANAGER/fotos/site_empresa/grande_grande_corumb01062012.jpg"/>
                      <a:cNvPicPr>
                        <a:picLocks noChangeArrowheads="1"/>
                      </a:cNvPicPr>
                    </a:nvPicPr>
                    <a:blipFill rotWithShape="1">
                      <a:blip r:embed="rId25" cstate="print">
                        <a:extLst>
                          <a:ext uri="{28A0092B-C50C-407E-A947-70E740481C1C}">
                            <a14:useLocalDpi xmlns:a14="http://schemas.microsoft.com/office/drawing/2010/main" val="0"/>
                          </a:ext>
                        </a:extLst>
                      </a:blip>
                      <a:srcRect l="17805" t="26602" r="17154" b="30943"/>
                      <a:stretch/>
                    </a:blipFill>
                    <a:spPr bwMode="auto">
                      <a:xfrm>
                        <a:off x="5976156" y="4390368"/>
                        <a:ext cx="939600" cy="550800"/>
                      </a:xfrm>
                      <a:prstGeom prst="rect">
                        <a:avLst/>
                      </a:prstGeom>
                      <a:noFill/>
                      <a:extLst>
                        <a:ext uri="{909E8E84-426E-40DD-AFC4-6F175D3DCCD1}">
                          <a14:hiddenFill xmlns:a14="http://schemas.microsoft.com/office/drawing/2010/main">
                            <a:solidFill>
                              <a:srgbClr val="FFFFFF"/>
                            </a:solidFill>
                          </a14:hiddenFill>
                        </a:ext>
                      </a:extLst>
                    </a:spPr>
                  </a:pic>
                  <a:sp>
                    <a:nvSpPr>
                      <a:cNvPr id="7" name="Line 32"/>
                      <a:cNvSpPr>
                        <a:spLocks noChangeShapeType="1"/>
                      </a:cNvSpPr>
                    </a:nvSpPr>
                    <a:spPr bwMode="auto">
                      <a:xfrm flipH="1">
                        <a:off x="4031940" y="2918063"/>
                        <a:ext cx="1292648" cy="71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8" name="Line 37"/>
                      <a:cNvSpPr>
                        <a:spLocks noChangeShapeType="1"/>
                      </a:cNvSpPr>
                    </a:nvSpPr>
                    <a:spPr bwMode="auto">
                      <a:xfrm flipH="1">
                        <a:off x="4680012" y="2925231"/>
                        <a:ext cx="0" cy="144000"/>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9" name="Line 33"/>
                      <a:cNvSpPr>
                        <a:spLocks noChangeShapeType="1"/>
                      </a:cNvSpPr>
                    </a:nvSpPr>
                    <a:spPr bwMode="auto">
                      <a:xfrm>
                        <a:off x="5328084" y="2802863"/>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0" name="Line 33"/>
                      <a:cNvSpPr>
                        <a:spLocks noChangeShapeType="1"/>
                      </a:cNvSpPr>
                    </a:nvSpPr>
                    <a:spPr bwMode="auto">
                      <a:xfrm>
                        <a:off x="4031940" y="278119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1" name="CaixaDeTexto 75"/>
                      <a:cNvSpPr txBox="1"/>
                    </a:nvSpPr>
                    <a:spPr>
                      <a:xfrm>
                        <a:off x="4913908" y="2473422"/>
                        <a:ext cx="774216"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19,8%</a:t>
                          </a:r>
                          <a:endParaRPr lang="pt-BR" sz="1400" b="1" dirty="0">
                            <a:latin typeface="Arial" pitchFamily="34" charset="0"/>
                            <a:cs typeface="Arial" pitchFamily="34" charset="0"/>
                          </a:endParaRPr>
                        </a:p>
                      </a:txBody>
                      <a:useSpRect/>
                    </a:txSp>
                  </a:sp>
                  <a:sp>
                    <a:nvSpPr>
                      <a:cNvPr id="12" name="CaixaDeTexto 76"/>
                      <a:cNvSpPr txBox="1"/>
                    </a:nvSpPr>
                    <a:spPr>
                      <a:xfrm>
                        <a:off x="3671900" y="2492896"/>
                        <a:ext cx="774216"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80,2%</a:t>
                          </a:r>
                          <a:endParaRPr lang="pt-BR" sz="1400" b="1" dirty="0">
                            <a:latin typeface="Arial" pitchFamily="34" charset="0"/>
                            <a:cs typeface="Arial" pitchFamily="34" charset="0"/>
                          </a:endParaRPr>
                        </a:p>
                      </a:txBody>
                      <a:useSpRect/>
                    </a:txSp>
                  </a:sp>
                  <a:pic>
                    <a:nvPicPr>
                      <a:cNvPr id="13" name="Picture 6" descr="http://br.advfn.com/bolsa-de-valores/images/bovespa.gif"/>
                      <a:cNvPicPr>
                        <a:picLocks noChangeAspect="1" noChangeArrowheads="1"/>
                      </a:cNvPicPr>
                    </a:nvPicPr>
                    <a:blipFill rotWithShape="1">
                      <a:blip r:embed="rId26" cstate="print">
                        <a:extLst>
                          <a:ext uri="{28A0092B-C50C-407E-A947-70E740481C1C}">
                            <a14:useLocalDpi xmlns:a14="http://schemas.microsoft.com/office/drawing/2010/main" val="0"/>
                          </a:ext>
                        </a:extLst>
                      </a:blip>
                      <a:srcRect l="8398" t="27662" r="8443" b="30758"/>
                      <a:stretch/>
                    </a:blipFill>
                    <a:spPr bwMode="auto">
                      <a:xfrm>
                        <a:off x="4813538" y="2033495"/>
                        <a:ext cx="1137363" cy="379121"/>
                      </a:xfrm>
                      <a:prstGeom prst="rect">
                        <a:avLst/>
                      </a:prstGeom>
                      <a:noFill/>
                      <a:extLst>
                        <a:ext uri="{909E8E84-426E-40DD-AFC4-6F175D3DCCD1}">
                          <a14:hiddenFill xmlns:a14="http://schemas.microsoft.com/office/drawing/2010/main">
                            <a:solidFill>
                              <a:srgbClr val="FFFFFF"/>
                            </a:solidFill>
                          </a14:hiddenFill>
                        </a:ext>
                      </a:extLst>
                    </a:spPr>
                  </a:pic>
                  <a:pic>
                    <a:nvPicPr>
                      <a:cNvPr id="14" name="Imagem 13" descr="Descrição: CEB_lajeado"/>
                      <a:cNvPicPr/>
                    </a:nvPicPr>
                    <a:blipFill>
                      <a:blip r:embed="rId27" cstate="print">
                        <a:extLst>
                          <a:ext uri="{28A0092B-C50C-407E-A947-70E740481C1C}">
                            <a14:useLocalDpi xmlns:a14="http://schemas.microsoft.com/office/drawing/2010/main" val="0"/>
                          </a:ext>
                        </a:extLst>
                      </a:blip>
                      <a:srcRect/>
                      <a:stretch>
                        <a:fillRect/>
                      </a:stretch>
                    </a:blipFill>
                    <a:spPr bwMode="auto">
                      <a:xfrm>
                        <a:off x="3311860" y="4365375"/>
                        <a:ext cx="939600" cy="547200"/>
                      </a:xfrm>
                      <a:prstGeom prst="rect">
                        <a:avLst/>
                      </a:prstGeom>
                      <a:noFill/>
                      <a:ln>
                        <a:noFill/>
                      </a:ln>
                    </a:spPr>
                  </a:pic>
                  <a:pic>
                    <a:nvPicPr>
                      <a:cNvPr id="15" name="Imagem 14" descr="Descrição: Descrição: cebpart_b"/>
                      <a:cNvPicPr/>
                    </a:nvPicPr>
                    <a:blipFill>
                      <a:blip r:embed="rId28" cstate="print">
                        <a:extLst>
                          <a:ext uri="{28A0092B-C50C-407E-A947-70E740481C1C}">
                            <a14:useLocalDpi xmlns:a14="http://schemas.microsoft.com/office/drawing/2010/main" val="0"/>
                          </a:ext>
                        </a:extLst>
                      </a:blip>
                      <a:srcRect/>
                      <a:stretch>
                        <a:fillRect/>
                      </a:stretch>
                    </a:blipFill>
                    <a:spPr bwMode="auto">
                      <a:xfrm>
                        <a:off x="2172779" y="4293096"/>
                        <a:ext cx="1070569" cy="647801"/>
                      </a:xfrm>
                      <a:prstGeom prst="rect">
                        <a:avLst/>
                      </a:prstGeom>
                      <a:noFill/>
                      <a:ln>
                        <a:noFill/>
                      </a:ln>
                    </a:spPr>
                  </a:pic>
                  <a:pic>
                    <a:nvPicPr>
                      <a:cNvPr id="16" name="Picture 8" descr="http://www.cebgas.com.br/skins/padrao/images/cebgas_logo.png"/>
                      <a:cNvPicPr>
                        <a:picLocks noChangeArrowheads="1"/>
                      </a:cNvPicPr>
                    </a:nvPicPr>
                    <a:blipFill>
                      <a:blip r:embed="rId29" cstate="print">
                        <a:extLst>
                          <a:ext uri="{28A0092B-C50C-407E-A947-70E740481C1C}">
                            <a14:useLocalDpi xmlns:a14="http://schemas.microsoft.com/office/drawing/2010/main" val="0"/>
                          </a:ext>
                        </a:extLst>
                      </a:blip>
                      <a:srcRect/>
                      <a:stretch>
                        <a:fillRect/>
                      </a:stretch>
                    </a:blipFill>
                    <a:spPr bwMode="auto">
                      <a:xfrm>
                        <a:off x="8132900" y="4393968"/>
                        <a:ext cx="939600" cy="547200"/>
                      </a:xfrm>
                      <a:prstGeom prst="rect">
                        <a:avLst/>
                      </a:prstGeom>
                      <a:noFill/>
                      <a:extLst>
                        <a:ext uri="{909E8E84-426E-40DD-AFC4-6F175D3DCCD1}">
                          <a14:hiddenFill xmlns:a14="http://schemas.microsoft.com/office/drawing/2010/main">
                            <a:solidFill>
                              <a:srgbClr val="FFFFFF"/>
                            </a:solidFill>
                          </a14:hiddenFill>
                        </a:ext>
                      </a:extLst>
                    </a:spPr>
                  </a:pic>
                  <a:sp>
                    <a:nvSpPr>
                      <a:cNvPr id="17" name="Line 33"/>
                      <a:cNvSpPr>
                        <a:spLocks noChangeShapeType="1"/>
                      </a:cNvSpPr>
                    </a:nvSpPr>
                    <a:spPr bwMode="auto">
                      <a:xfrm>
                        <a:off x="503548" y="386131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8" name="Line 33"/>
                      <a:cNvSpPr>
                        <a:spLocks noChangeShapeType="1"/>
                      </a:cNvSpPr>
                    </a:nvSpPr>
                    <a:spPr bwMode="auto">
                      <a:xfrm>
                        <a:off x="8640452" y="386131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9" name="CaixaDeTexto 81"/>
                      <a:cNvSpPr txBox="1"/>
                    </a:nvSpPr>
                    <a:spPr>
                      <a:xfrm>
                        <a:off x="8262540" y="4077343"/>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17%</a:t>
                          </a:r>
                          <a:endParaRPr lang="pt-BR" sz="1400" b="1" dirty="0">
                            <a:latin typeface="Arial" pitchFamily="34" charset="0"/>
                            <a:cs typeface="Arial" pitchFamily="34" charset="0"/>
                          </a:endParaRPr>
                        </a:p>
                      </a:txBody>
                      <a:useSpRect/>
                    </a:txSp>
                  </a:sp>
                  <a:sp>
                    <a:nvSpPr>
                      <a:cNvPr id="20" name="CaixaDeTexto 82"/>
                      <a:cNvSpPr txBox="1"/>
                    </a:nvSpPr>
                    <a:spPr>
                      <a:xfrm>
                        <a:off x="1223628" y="4077343"/>
                        <a:ext cx="782086"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100%</a:t>
                          </a:r>
                          <a:endParaRPr lang="pt-BR" sz="1400" b="1" dirty="0">
                            <a:latin typeface="Arial" pitchFamily="34" charset="0"/>
                            <a:cs typeface="Arial" pitchFamily="34" charset="0"/>
                          </a:endParaRPr>
                        </a:p>
                      </a:txBody>
                      <a:useSpRect/>
                    </a:txSp>
                  </a:sp>
                  <a:sp>
                    <a:nvSpPr>
                      <a:cNvPr id="21" name="Line 33"/>
                      <a:cNvSpPr>
                        <a:spLocks noChangeShapeType="1"/>
                      </a:cNvSpPr>
                    </a:nvSpPr>
                    <a:spPr bwMode="auto">
                      <a:xfrm>
                        <a:off x="1656963" y="386131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2" name="CaixaDeTexto 84"/>
                      <a:cNvSpPr txBox="1"/>
                    </a:nvSpPr>
                    <a:spPr>
                      <a:xfrm>
                        <a:off x="2434716" y="4077343"/>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100%</a:t>
                          </a:r>
                          <a:endParaRPr lang="pt-BR" sz="1400" b="1" dirty="0">
                            <a:latin typeface="Arial" pitchFamily="34" charset="0"/>
                            <a:cs typeface="Arial" pitchFamily="34" charset="0"/>
                          </a:endParaRPr>
                        </a:p>
                      </a:txBody>
                      <a:useSpRect/>
                    </a:txSp>
                  </a:sp>
                  <a:sp>
                    <a:nvSpPr>
                      <a:cNvPr id="23" name="Line 33"/>
                      <a:cNvSpPr>
                        <a:spLocks noChangeShapeType="1"/>
                      </a:cNvSpPr>
                    </a:nvSpPr>
                    <a:spPr bwMode="auto">
                      <a:xfrm>
                        <a:off x="2780826" y="386131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4" name="CaixaDeTexto 86"/>
                      <a:cNvSpPr txBox="1"/>
                    </a:nvSpPr>
                    <a:spPr>
                      <a:xfrm>
                        <a:off x="3383868" y="4077343"/>
                        <a:ext cx="811474"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59,93%</a:t>
                          </a:r>
                          <a:endParaRPr lang="pt-BR" sz="1400" b="1" dirty="0">
                            <a:latin typeface="Arial" pitchFamily="34" charset="0"/>
                            <a:cs typeface="Arial" pitchFamily="34" charset="0"/>
                          </a:endParaRPr>
                        </a:p>
                      </a:txBody>
                      <a:useSpRect/>
                    </a:txSp>
                  </a:sp>
                  <a:sp>
                    <a:nvSpPr>
                      <a:cNvPr id="25" name="Line 33"/>
                      <a:cNvSpPr>
                        <a:spLocks noChangeShapeType="1"/>
                      </a:cNvSpPr>
                    </a:nvSpPr>
                    <a:spPr bwMode="auto">
                      <a:xfrm>
                        <a:off x="3815916" y="386131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6" name="CaixaDeTexto 88"/>
                      <a:cNvSpPr txBox="1"/>
                    </a:nvSpPr>
                    <a:spPr>
                      <a:xfrm>
                        <a:off x="4968044" y="4077343"/>
                        <a:ext cx="78859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37,50%</a:t>
                          </a:r>
                          <a:endParaRPr lang="pt-BR" sz="1400" b="1" dirty="0">
                            <a:latin typeface="Arial" pitchFamily="34" charset="0"/>
                            <a:cs typeface="Arial" pitchFamily="34" charset="0"/>
                          </a:endParaRPr>
                        </a:p>
                      </a:txBody>
                      <a:useSpRect/>
                    </a:txSp>
                  </a:sp>
                  <a:sp>
                    <a:nvSpPr>
                      <a:cNvPr id="27" name="Line 33"/>
                      <a:cNvSpPr>
                        <a:spLocks noChangeShapeType="1"/>
                      </a:cNvSpPr>
                    </a:nvSpPr>
                    <a:spPr bwMode="auto">
                      <a:xfrm>
                        <a:off x="5364794" y="386131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8" name="CaixaDeTexto 92"/>
                      <a:cNvSpPr txBox="1"/>
                    </a:nvSpPr>
                    <a:spPr>
                      <a:xfrm>
                        <a:off x="6124058" y="4086462"/>
                        <a:ext cx="860209"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45,21%</a:t>
                          </a:r>
                          <a:endParaRPr lang="pt-BR" sz="1400" b="1" dirty="0">
                            <a:latin typeface="Arial" pitchFamily="34" charset="0"/>
                            <a:cs typeface="Arial" pitchFamily="34" charset="0"/>
                          </a:endParaRPr>
                        </a:p>
                      </a:txBody>
                      <a:useSpRect/>
                    </a:txSp>
                  </a:sp>
                  <a:sp>
                    <a:nvSpPr>
                      <a:cNvPr id="29" name="Line 33"/>
                      <a:cNvSpPr>
                        <a:spLocks noChangeShapeType="1"/>
                      </a:cNvSpPr>
                    </a:nvSpPr>
                    <a:spPr bwMode="auto">
                      <a:xfrm>
                        <a:off x="6470169" y="3870438"/>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0" name="CaixaDeTexto 94"/>
                      <a:cNvSpPr txBox="1"/>
                    </a:nvSpPr>
                    <a:spPr>
                      <a:xfrm>
                        <a:off x="7203788" y="4077343"/>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a:latin typeface="Arial" pitchFamily="34" charset="0"/>
                              <a:cs typeface="Arial" pitchFamily="34" charset="0"/>
                            </a:rPr>
                            <a:t>9</a:t>
                          </a:r>
                          <a:r>
                            <a:rPr lang="pt-BR" sz="1400" b="1" dirty="0" smtClean="0">
                              <a:latin typeface="Arial" pitchFamily="34" charset="0"/>
                              <a:cs typeface="Arial" pitchFamily="34" charset="0"/>
                            </a:rPr>
                            <a:t>%</a:t>
                          </a:r>
                          <a:endParaRPr lang="pt-BR" sz="1400" b="1" dirty="0">
                            <a:latin typeface="Arial" pitchFamily="34" charset="0"/>
                            <a:cs typeface="Arial" pitchFamily="34" charset="0"/>
                          </a:endParaRPr>
                        </a:p>
                      </a:txBody>
                      <a:useSpRect/>
                    </a:txSp>
                  </a:sp>
                  <a:sp>
                    <a:nvSpPr>
                      <a:cNvPr id="31" name="Line 33"/>
                      <a:cNvSpPr>
                        <a:spLocks noChangeShapeType="1"/>
                      </a:cNvSpPr>
                    </a:nvSpPr>
                    <a:spPr bwMode="auto">
                      <a:xfrm>
                        <a:off x="7549898" y="386131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32" name="Imagem 31"/>
                      <a:cNvPicPr/>
                    </a:nvPicPr>
                    <a:blipFill>
                      <a:blip r:embed="rId30" cstate="print">
                        <a:extLst>
                          <a:ext uri="{28A0092B-C50C-407E-A947-70E740481C1C}">
                            <a14:useLocalDpi xmlns:a14="http://schemas.microsoft.com/office/drawing/2010/main" val="0"/>
                          </a:ext>
                        </a:extLst>
                      </a:blip>
                      <a:srcRect/>
                      <a:stretch>
                        <a:fillRect/>
                      </a:stretch>
                    </a:blipFill>
                    <a:spPr bwMode="auto">
                      <a:xfrm>
                        <a:off x="1151620" y="4365104"/>
                        <a:ext cx="939600" cy="547200"/>
                      </a:xfrm>
                      <a:prstGeom prst="rect">
                        <a:avLst/>
                      </a:prstGeom>
                      <a:noFill/>
                      <a:ln>
                        <a:noFill/>
                      </a:ln>
                    </a:spPr>
                  </a:pic>
                  <a:pic>
                    <a:nvPicPr>
                      <a:cNvPr id="33" name="Picture 2" descr="https://pbs.twimg.com/profile_images/427883844448948224/qqPnZsld.jpeg"/>
                      <a:cNvPicPr>
                        <a:picLocks noChangeArrowheads="1"/>
                      </a:cNvPicPr>
                    </a:nvPicPr>
                    <a:blipFill rotWithShape="1">
                      <a:blip r:embed="rId31" cstate="print">
                        <a:extLst>
                          <a:ext uri="{28A0092B-C50C-407E-A947-70E740481C1C}">
                            <a14:useLocalDpi xmlns:a14="http://schemas.microsoft.com/office/drawing/2010/main" val="0"/>
                          </a:ext>
                        </a:extLst>
                      </a:blip>
                      <a:srcRect l="3784" t="20537" r="3157" b="24143"/>
                      <a:stretch/>
                    </a:blipFill>
                    <a:spPr bwMode="auto">
                      <a:xfrm>
                        <a:off x="71500" y="4365104"/>
                        <a:ext cx="939600" cy="547200"/>
                      </a:xfrm>
                      <a:prstGeom prst="rect">
                        <a:avLst/>
                      </a:prstGeom>
                      <a:noFill/>
                      <a:extLst>
                        <a:ext uri="{909E8E84-426E-40DD-AFC4-6F175D3DCCD1}">
                          <a14:hiddenFill xmlns:a14="http://schemas.microsoft.com/office/drawing/2010/main">
                            <a:solidFill>
                              <a:srgbClr val="FFFFFF"/>
                            </a:solidFill>
                          </a14:hiddenFill>
                        </a:ext>
                      </a:extLst>
                    </a:spPr>
                  </a:pic>
                  <a:pic>
                    <a:nvPicPr>
                      <a:cNvPr id="34" name="Picture 9" descr="CORUMBA III - 1"/>
                      <a:cNvPicPr>
                        <a:picLocks noChangeArrowheads="1"/>
                      </a:cNvPicPr>
                    </a:nvPicPr>
                    <a:blipFill>
                      <a:blip r:embed="rId32" cstate="print">
                        <a:extLst>
                          <a:ext uri="{28A0092B-C50C-407E-A947-70E740481C1C}">
                            <a14:useLocalDpi xmlns:a14="http://schemas.microsoft.com/office/drawing/2010/main" val="0"/>
                          </a:ext>
                        </a:extLst>
                      </a:blip>
                      <a:srcRect/>
                      <a:stretch>
                        <a:fillRect/>
                      </a:stretch>
                    </a:blipFill>
                    <a:spPr bwMode="auto">
                      <a:xfrm>
                        <a:off x="4892540" y="4365104"/>
                        <a:ext cx="939600" cy="5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sp>
                    <a:nvSpPr>
                      <a:cNvPr id="35" name="Fluxograma: Processo 34"/>
                      <a:cNvSpPr>
                        <a:spLocks/>
                      </a:cNvSpPr>
                    </a:nvSpPr>
                    <a:spPr bwMode="auto">
                      <a:xfrm rot="10800000" flipV="1">
                        <a:off x="6912261" y="4437112"/>
                        <a:ext cx="1148634" cy="472715"/>
                      </a:xfrm>
                      <a:prstGeom prst="flowChartProcess">
                        <a:avLst/>
                      </a:prstGeom>
                      <a:solidFill>
                        <a:srgbClr val="FFFFFF"/>
                      </a:solidFill>
                      <a:ln w="127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1400" b="1" dirty="0" smtClean="0">
                              <a:solidFill>
                                <a:srgbClr val="002060"/>
                              </a:solidFill>
                              <a:latin typeface="Arial" pitchFamily="34" charset="0"/>
                              <a:cs typeface="Arial" pitchFamily="34" charset="0"/>
                            </a:rPr>
                            <a:t>BSB Energética</a:t>
                          </a:r>
                          <a:endParaRPr lang="pt-BR" altLang="pt-BR" sz="1400" b="1" dirty="0">
                            <a:solidFill>
                              <a:srgbClr val="002060"/>
                            </a:solidFill>
                            <a:latin typeface="Arial" pitchFamily="34" charset="0"/>
                            <a:cs typeface="Arial" pitchFamily="34" charset="0"/>
                          </a:endParaRPr>
                        </a:p>
                      </a:txBody>
                      <a:useSpRect/>
                    </a:txSp>
                  </a:sp>
                  <a:pic>
                    <a:nvPicPr>
                      <a:cNvPr id="36" name="Picture 1" descr="C:\Users\#51322\Desktop\Nova-logomarca-do-GDF.jpg"/>
                      <a:cNvPicPr>
                        <a:picLocks noChangeAspect="1" noChangeArrowheads="1"/>
                      </a:cNvPicPr>
                    </a:nvPicPr>
                    <a:blipFill>
                      <a:blip r:embed="rId33"/>
                      <a:srcRect/>
                      <a:stretch>
                        <a:fillRect/>
                      </a:stretch>
                    </a:blipFill>
                    <a:spPr bwMode="auto">
                      <a:xfrm>
                        <a:off x="3527884" y="1916832"/>
                        <a:ext cx="974686" cy="519832"/>
                      </a:xfrm>
                      <a:prstGeom prst="rect">
                        <a:avLst/>
                      </a:prstGeom>
                      <a:noFill/>
                    </a:spPr>
                  </a:pic>
                </lc:lockedCanvas>
              </a:graphicData>
            </a:graphic>
          </wp:inline>
        </w:drawing>
      </w:r>
    </w:p>
    <w:p w:rsidR="00690BCF" w:rsidRDefault="00690BCF">
      <w:pPr>
        <w:rPr>
          <w:b/>
          <w:bCs/>
          <w:sz w:val="22"/>
          <w:szCs w:val="22"/>
        </w:rPr>
      </w:pPr>
      <w:r>
        <w:rPr>
          <w:b/>
          <w:bCs/>
          <w:sz w:val="22"/>
          <w:szCs w:val="22"/>
        </w:rPr>
        <w:br w:type="page"/>
      </w:r>
    </w:p>
    <w:p w:rsidR="009C5F54" w:rsidRPr="00EB4ACE" w:rsidRDefault="001161B8" w:rsidP="00C57D00">
      <w:pPr>
        <w:spacing w:before="240" w:after="240"/>
        <w:rPr>
          <w:b/>
          <w:bCs/>
          <w:sz w:val="22"/>
          <w:szCs w:val="22"/>
        </w:rPr>
      </w:pPr>
      <w:r w:rsidRPr="00EB4ACE">
        <w:rPr>
          <w:b/>
          <w:bCs/>
          <w:sz w:val="22"/>
          <w:szCs w:val="22"/>
        </w:rPr>
        <w:lastRenderedPageBreak/>
        <w:t xml:space="preserve">Dados Econômico-Financeiros </w:t>
      </w:r>
      <w:r w:rsidR="00A66EAE" w:rsidRPr="00EB4ACE">
        <w:rPr>
          <w:b/>
          <w:bCs/>
          <w:sz w:val="22"/>
          <w:szCs w:val="22"/>
        </w:rPr>
        <w:t>Consolidado</w:t>
      </w:r>
    </w:p>
    <w:tbl>
      <w:tblPr>
        <w:tblStyle w:val="ListaClara-nfase11"/>
        <w:tblW w:w="5002" w:type="pct"/>
        <w:tblLook w:val="04A0" w:firstRow="1" w:lastRow="0" w:firstColumn="1" w:lastColumn="0" w:noHBand="0" w:noVBand="1"/>
      </w:tblPr>
      <w:tblGrid>
        <w:gridCol w:w="5183"/>
        <w:gridCol w:w="1657"/>
        <w:gridCol w:w="1651"/>
        <w:gridCol w:w="1651"/>
      </w:tblGrid>
      <w:tr w:rsidR="00EB4ACE" w:rsidRPr="00EB4ACE" w:rsidTr="00C2200D">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555" w:type="pct"/>
            <w:shd w:val="clear" w:color="auto" w:fill="0070C0"/>
            <w:vAlign w:val="center"/>
          </w:tcPr>
          <w:p w:rsidR="00EB4ACE" w:rsidRPr="00365218" w:rsidRDefault="00EB4ACE" w:rsidP="00EB4ACE">
            <w:pPr>
              <w:ind w:right="-1"/>
              <w:jc w:val="center"/>
              <w:rPr>
                <w:bCs w:val="0"/>
                <w:snapToGrid w:val="0"/>
                <w:lang w:eastAsia="en-US" w:bidi="en-US"/>
              </w:rPr>
            </w:pPr>
            <w:r w:rsidRPr="00365218">
              <w:rPr>
                <w:bCs w:val="0"/>
                <w:snapToGrid w:val="0"/>
                <w:lang w:eastAsia="en-US" w:bidi="en-US"/>
              </w:rPr>
              <w:t>(R$ Mil)</w:t>
            </w:r>
          </w:p>
        </w:tc>
        <w:tc>
          <w:tcPr>
            <w:tcW w:w="817" w:type="pct"/>
            <w:shd w:val="clear" w:color="auto" w:fill="0070C0"/>
            <w:vAlign w:val="center"/>
          </w:tcPr>
          <w:p w:rsidR="00EB4ACE" w:rsidRPr="00365218" w:rsidRDefault="00EB4ACE" w:rsidP="00EB4ACE">
            <w:pPr>
              <w:ind w:right="-1"/>
              <w:jc w:val="center"/>
              <w:cnfStyle w:val="100000000000" w:firstRow="1" w:lastRow="0" w:firstColumn="0" w:lastColumn="0" w:oddVBand="0" w:evenVBand="0" w:oddHBand="0" w:evenHBand="0" w:firstRowFirstColumn="0" w:firstRowLastColumn="0" w:lastRowFirstColumn="0" w:lastRowLastColumn="0"/>
              <w:rPr>
                <w:bCs w:val="0"/>
                <w:snapToGrid w:val="0"/>
                <w:lang w:eastAsia="en-US" w:bidi="en-US"/>
              </w:rPr>
            </w:pPr>
            <w:r w:rsidRPr="00365218">
              <w:rPr>
                <w:bCs w:val="0"/>
                <w:snapToGrid w:val="0"/>
                <w:lang w:eastAsia="en-US" w:bidi="en-US"/>
              </w:rPr>
              <w:t>2015</w:t>
            </w:r>
          </w:p>
          <w:p w:rsidR="00EB4ACE" w:rsidRPr="00D65056" w:rsidRDefault="00EB4ACE" w:rsidP="00EB4ACE">
            <w:pPr>
              <w:ind w:right="-1"/>
              <w:jc w:val="center"/>
              <w:cnfStyle w:val="100000000000" w:firstRow="1" w:lastRow="0" w:firstColumn="0" w:lastColumn="0" w:oddVBand="0" w:evenVBand="0" w:oddHBand="0" w:evenHBand="0" w:firstRowFirstColumn="0" w:firstRowLastColumn="0" w:lastRowFirstColumn="0" w:lastRowLastColumn="0"/>
              <w:rPr>
                <w:bCs w:val="0"/>
                <w:snapToGrid w:val="0"/>
                <w:sz w:val="16"/>
                <w:szCs w:val="16"/>
                <w:lang w:eastAsia="en-US" w:bidi="en-US"/>
              </w:rPr>
            </w:pPr>
            <w:r w:rsidRPr="00D65056">
              <w:rPr>
                <w:bCs w:val="0"/>
                <w:snapToGrid w:val="0"/>
                <w:sz w:val="16"/>
                <w:szCs w:val="16"/>
                <w:lang w:eastAsia="en-US" w:bidi="en-US"/>
              </w:rPr>
              <w:t>(Reapresentado)</w:t>
            </w:r>
          </w:p>
        </w:tc>
        <w:tc>
          <w:tcPr>
            <w:tcW w:w="814" w:type="pct"/>
            <w:shd w:val="clear" w:color="auto" w:fill="0070C0"/>
            <w:vAlign w:val="center"/>
          </w:tcPr>
          <w:p w:rsidR="00EB4ACE" w:rsidRPr="00365218" w:rsidRDefault="00EB4ACE" w:rsidP="00EB4ACE">
            <w:pPr>
              <w:ind w:right="-1"/>
              <w:jc w:val="center"/>
              <w:cnfStyle w:val="100000000000" w:firstRow="1" w:lastRow="0" w:firstColumn="0" w:lastColumn="0" w:oddVBand="0" w:evenVBand="0" w:oddHBand="0" w:evenHBand="0" w:firstRowFirstColumn="0" w:firstRowLastColumn="0" w:lastRowFirstColumn="0" w:lastRowLastColumn="0"/>
              <w:rPr>
                <w:bCs w:val="0"/>
                <w:snapToGrid w:val="0"/>
                <w:lang w:eastAsia="en-US" w:bidi="en-US"/>
              </w:rPr>
            </w:pPr>
            <w:r w:rsidRPr="00365218">
              <w:rPr>
                <w:bCs w:val="0"/>
                <w:snapToGrid w:val="0"/>
                <w:lang w:eastAsia="en-US" w:bidi="en-US"/>
              </w:rPr>
              <w:t>2016</w:t>
            </w:r>
          </w:p>
        </w:tc>
        <w:tc>
          <w:tcPr>
            <w:tcW w:w="814" w:type="pct"/>
            <w:shd w:val="clear" w:color="auto" w:fill="0070C0"/>
            <w:vAlign w:val="center"/>
          </w:tcPr>
          <w:p w:rsidR="00EB4ACE" w:rsidRPr="00365218" w:rsidRDefault="00EB4ACE" w:rsidP="00EB4ACE">
            <w:pPr>
              <w:ind w:right="-1"/>
              <w:jc w:val="center"/>
              <w:cnfStyle w:val="100000000000" w:firstRow="1" w:lastRow="0" w:firstColumn="0" w:lastColumn="0" w:oddVBand="0" w:evenVBand="0" w:oddHBand="0" w:evenHBand="0" w:firstRowFirstColumn="0" w:firstRowLastColumn="0" w:lastRowFirstColumn="0" w:lastRowLastColumn="0"/>
              <w:rPr>
                <w:bCs w:val="0"/>
                <w:snapToGrid w:val="0"/>
                <w:lang w:eastAsia="en-US" w:bidi="en-US"/>
              </w:rPr>
            </w:pPr>
            <w:r w:rsidRPr="00365218">
              <w:rPr>
                <w:bCs w:val="0"/>
                <w:snapToGrid w:val="0"/>
                <w:lang w:eastAsia="en-US" w:bidi="en-US"/>
              </w:rPr>
              <w:t>Δ</w:t>
            </w:r>
          </w:p>
          <w:p w:rsidR="00EB4ACE" w:rsidRPr="00365218" w:rsidRDefault="00EB4ACE" w:rsidP="00EB4ACE">
            <w:pPr>
              <w:ind w:right="-1"/>
              <w:jc w:val="center"/>
              <w:cnfStyle w:val="100000000000" w:firstRow="1" w:lastRow="0" w:firstColumn="0" w:lastColumn="0" w:oddVBand="0" w:evenVBand="0" w:oddHBand="0" w:evenHBand="0" w:firstRowFirstColumn="0" w:firstRowLastColumn="0" w:lastRowFirstColumn="0" w:lastRowLastColumn="0"/>
              <w:rPr>
                <w:bCs w:val="0"/>
                <w:snapToGrid w:val="0"/>
                <w:lang w:eastAsia="en-US" w:bidi="en-US"/>
              </w:rPr>
            </w:pPr>
            <w:r w:rsidRPr="00365218">
              <w:rPr>
                <w:bCs w:val="0"/>
                <w:snapToGrid w:val="0"/>
                <w:lang w:eastAsia="en-US" w:bidi="en-US"/>
              </w:rPr>
              <w:t>(R$ Mil)</w:t>
            </w:r>
          </w:p>
        </w:tc>
      </w:tr>
      <w:tr w:rsidR="00EB4ACE" w:rsidRPr="00EB4ACE" w:rsidTr="00C220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55" w:type="pct"/>
          </w:tcPr>
          <w:p w:rsidR="00EB4ACE" w:rsidRPr="00D65056" w:rsidRDefault="00EB4ACE" w:rsidP="00D65056">
            <w:pPr>
              <w:ind w:firstLine="264"/>
              <w:rPr>
                <w:bCs w:val="0"/>
                <w:snapToGrid w:val="0"/>
                <w:lang w:eastAsia="en-US" w:bidi="en-US"/>
              </w:rPr>
            </w:pPr>
            <w:r w:rsidRPr="00D65056">
              <w:rPr>
                <w:bCs w:val="0"/>
                <w:snapToGrid w:val="0"/>
                <w:lang w:eastAsia="en-US" w:bidi="en-US"/>
              </w:rPr>
              <w:t>Receita Operacional Bruta</w:t>
            </w:r>
          </w:p>
        </w:tc>
        <w:tc>
          <w:tcPr>
            <w:tcW w:w="817" w:type="pct"/>
          </w:tcPr>
          <w:p w:rsidR="00EB4ACE" w:rsidRPr="00D65056" w:rsidRDefault="00EB4ACE" w:rsidP="00D65056">
            <w:pPr>
              <w:ind w:firstLine="264"/>
              <w:jc w:val="right"/>
              <w:cnfStyle w:val="000000100000" w:firstRow="0" w:lastRow="0" w:firstColumn="0" w:lastColumn="0" w:oddVBand="0" w:evenVBand="0" w:oddHBand="1" w:evenHBand="0" w:firstRowFirstColumn="0" w:firstRowLastColumn="0" w:lastRowFirstColumn="0" w:lastRowLastColumn="0"/>
              <w:rPr>
                <w:b/>
                <w:bCs/>
                <w:snapToGrid w:val="0"/>
                <w:lang w:eastAsia="en-US" w:bidi="en-US"/>
              </w:rPr>
            </w:pPr>
            <w:r w:rsidRPr="00D65056">
              <w:rPr>
                <w:b/>
                <w:bCs/>
                <w:snapToGrid w:val="0"/>
                <w:lang w:eastAsia="en-US" w:bidi="en-US"/>
              </w:rPr>
              <w:t>4.001.658</w:t>
            </w:r>
          </w:p>
        </w:tc>
        <w:tc>
          <w:tcPr>
            <w:tcW w:w="814" w:type="pct"/>
          </w:tcPr>
          <w:p w:rsidR="00EB4ACE" w:rsidRPr="00D65056" w:rsidRDefault="00EB4ACE" w:rsidP="00D9551C">
            <w:pPr>
              <w:ind w:firstLine="264"/>
              <w:jc w:val="right"/>
              <w:cnfStyle w:val="000000100000" w:firstRow="0" w:lastRow="0" w:firstColumn="0" w:lastColumn="0" w:oddVBand="0" w:evenVBand="0" w:oddHBand="1" w:evenHBand="0" w:firstRowFirstColumn="0" w:firstRowLastColumn="0" w:lastRowFirstColumn="0" w:lastRowLastColumn="0"/>
              <w:rPr>
                <w:b/>
                <w:bCs/>
                <w:snapToGrid w:val="0"/>
                <w:lang w:eastAsia="en-US" w:bidi="en-US"/>
              </w:rPr>
            </w:pPr>
            <w:r w:rsidRPr="00D65056">
              <w:rPr>
                <w:b/>
                <w:bCs/>
                <w:snapToGrid w:val="0"/>
                <w:lang w:eastAsia="en-US" w:bidi="en-US"/>
              </w:rPr>
              <w:t>3.52</w:t>
            </w:r>
            <w:r w:rsidR="00D9551C">
              <w:rPr>
                <w:b/>
                <w:bCs/>
                <w:snapToGrid w:val="0"/>
                <w:lang w:eastAsia="en-US" w:bidi="en-US"/>
              </w:rPr>
              <w:t>5</w:t>
            </w:r>
            <w:r w:rsidRPr="00D65056">
              <w:rPr>
                <w:b/>
                <w:bCs/>
                <w:snapToGrid w:val="0"/>
                <w:lang w:eastAsia="en-US" w:bidi="en-US"/>
              </w:rPr>
              <w:t>.</w:t>
            </w:r>
            <w:r w:rsidR="00D9551C">
              <w:rPr>
                <w:b/>
                <w:bCs/>
                <w:snapToGrid w:val="0"/>
                <w:lang w:eastAsia="en-US" w:bidi="en-US"/>
              </w:rPr>
              <w:t>642</w:t>
            </w:r>
          </w:p>
        </w:tc>
        <w:tc>
          <w:tcPr>
            <w:tcW w:w="814" w:type="pct"/>
          </w:tcPr>
          <w:p w:rsidR="00EB4ACE" w:rsidRPr="00D65056" w:rsidRDefault="00EB4ACE" w:rsidP="00D9551C">
            <w:pPr>
              <w:ind w:firstLine="264"/>
              <w:jc w:val="right"/>
              <w:cnfStyle w:val="000000100000" w:firstRow="0" w:lastRow="0" w:firstColumn="0" w:lastColumn="0" w:oddVBand="0" w:evenVBand="0" w:oddHBand="1" w:evenHBand="0" w:firstRowFirstColumn="0" w:firstRowLastColumn="0" w:lastRowFirstColumn="0" w:lastRowLastColumn="0"/>
              <w:rPr>
                <w:b/>
                <w:bCs/>
                <w:snapToGrid w:val="0"/>
                <w:lang w:eastAsia="en-US" w:bidi="en-US"/>
              </w:rPr>
            </w:pPr>
            <w:r w:rsidRPr="00D65056">
              <w:rPr>
                <w:b/>
                <w:bCs/>
                <w:snapToGrid w:val="0"/>
                <w:lang w:eastAsia="en-US" w:bidi="en-US"/>
              </w:rPr>
              <w:t>(4</w:t>
            </w:r>
            <w:r w:rsidR="00D9551C">
              <w:rPr>
                <w:b/>
                <w:bCs/>
                <w:snapToGrid w:val="0"/>
                <w:lang w:eastAsia="en-US" w:bidi="en-US"/>
              </w:rPr>
              <w:t>76.016</w:t>
            </w:r>
            <w:r w:rsidRPr="00D65056">
              <w:rPr>
                <w:b/>
                <w:bCs/>
                <w:snapToGrid w:val="0"/>
                <w:lang w:eastAsia="en-US" w:bidi="en-US"/>
              </w:rPr>
              <w:t>)</w:t>
            </w:r>
          </w:p>
        </w:tc>
      </w:tr>
      <w:tr w:rsidR="00EB4ACE" w:rsidRPr="00A602B7" w:rsidTr="00C2200D">
        <w:trPr>
          <w:trHeight w:val="170"/>
        </w:trPr>
        <w:tc>
          <w:tcPr>
            <w:cnfStyle w:val="001000000000" w:firstRow="0" w:lastRow="0" w:firstColumn="1" w:lastColumn="0" w:oddVBand="0" w:evenVBand="0" w:oddHBand="0" w:evenHBand="0" w:firstRowFirstColumn="0" w:firstRowLastColumn="0" w:lastRowFirstColumn="0" w:lastRowLastColumn="0"/>
            <w:tcW w:w="2555" w:type="pct"/>
          </w:tcPr>
          <w:p w:rsidR="00EB4ACE" w:rsidRPr="00D65056" w:rsidRDefault="00EB4ACE" w:rsidP="00345D9B">
            <w:pPr>
              <w:ind w:firstLine="264"/>
              <w:rPr>
                <w:bCs w:val="0"/>
                <w:snapToGrid w:val="0"/>
                <w:lang w:eastAsia="en-US" w:bidi="en-US"/>
              </w:rPr>
            </w:pPr>
            <w:r w:rsidRPr="00D65056">
              <w:rPr>
                <w:bCs w:val="0"/>
                <w:snapToGrid w:val="0"/>
                <w:lang w:eastAsia="en-US" w:bidi="en-US"/>
              </w:rPr>
              <w:t>Receita Operacional Líquida</w:t>
            </w:r>
          </w:p>
        </w:tc>
        <w:tc>
          <w:tcPr>
            <w:tcW w:w="817" w:type="pct"/>
          </w:tcPr>
          <w:p w:rsidR="00EB4ACE" w:rsidRPr="00D65056" w:rsidRDefault="00EB4ACE" w:rsidP="00D65056">
            <w:pPr>
              <w:jc w:val="right"/>
              <w:cnfStyle w:val="000000000000" w:firstRow="0" w:lastRow="0" w:firstColumn="0" w:lastColumn="0" w:oddVBand="0" w:evenVBand="0" w:oddHBand="0" w:evenHBand="0" w:firstRowFirstColumn="0" w:firstRowLastColumn="0" w:lastRowFirstColumn="0" w:lastRowLastColumn="0"/>
              <w:rPr>
                <w:b/>
                <w:bCs/>
                <w:color w:val="000000"/>
              </w:rPr>
            </w:pPr>
            <w:r w:rsidRPr="00D65056">
              <w:rPr>
                <w:b/>
                <w:bCs/>
                <w:color w:val="000000"/>
              </w:rPr>
              <w:t>2.396.004</w:t>
            </w:r>
          </w:p>
        </w:tc>
        <w:tc>
          <w:tcPr>
            <w:tcW w:w="814" w:type="pct"/>
          </w:tcPr>
          <w:p w:rsidR="00EB4ACE" w:rsidRPr="00D65056" w:rsidRDefault="00EB4ACE" w:rsidP="00D9551C">
            <w:pPr>
              <w:jc w:val="right"/>
              <w:cnfStyle w:val="000000000000" w:firstRow="0" w:lastRow="0" w:firstColumn="0" w:lastColumn="0" w:oddVBand="0" w:evenVBand="0" w:oddHBand="0" w:evenHBand="0" w:firstRowFirstColumn="0" w:firstRowLastColumn="0" w:lastRowFirstColumn="0" w:lastRowLastColumn="0"/>
              <w:rPr>
                <w:b/>
                <w:bCs/>
                <w:color w:val="000000"/>
              </w:rPr>
            </w:pPr>
            <w:r w:rsidRPr="00D65056">
              <w:rPr>
                <w:b/>
                <w:bCs/>
                <w:color w:val="000000"/>
              </w:rPr>
              <w:t>2.11</w:t>
            </w:r>
            <w:r w:rsidR="00D9551C">
              <w:rPr>
                <w:b/>
                <w:bCs/>
                <w:color w:val="000000"/>
              </w:rPr>
              <w:t>4.554</w:t>
            </w:r>
          </w:p>
        </w:tc>
        <w:tc>
          <w:tcPr>
            <w:tcW w:w="814" w:type="pct"/>
          </w:tcPr>
          <w:p w:rsidR="00EB4ACE" w:rsidRPr="00D65056" w:rsidRDefault="00D9551C" w:rsidP="00D9551C">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(281</w:t>
            </w:r>
            <w:r w:rsidR="00EB4ACE" w:rsidRPr="00D65056">
              <w:rPr>
                <w:b/>
                <w:bCs/>
                <w:color w:val="000000"/>
              </w:rPr>
              <w:t>.</w:t>
            </w:r>
            <w:r>
              <w:rPr>
                <w:b/>
                <w:bCs/>
                <w:color w:val="000000"/>
              </w:rPr>
              <w:t>450</w:t>
            </w:r>
            <w:r w:rsidR="00EB4ACE" w:rsidRPr="00D65056">
              <w:rPr>
                <w:b/>
                <w:bCs/>
                <w:color w:val="000000"/>
              </w:rPr>
              <w:t>)</w:t>
            </w:r>
          </w:p>
        </w:tc>
      </w:tr>
      <w:tr w:rsidR="00EB4ACE" w:rsidRPr="00A602B7" w:rsidTr="00C220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55" w:type="pct"/>
          </w:tcPr>
          <w:p w:rsidR="00EB4ACE" w:rsidRPr="00D65056" w:rsidRDefault="00EB4ACE" w:rsidP="00345D9B">
            <w:pPr>
              <w:ind w:firstLine="264"/>
              <w:rPr>
                <w:bCs w:val="0"/>
                <w:snapToGrid w:val="0"/>
                <w:lang w:eastAsia="en-US" w:bidi="en-US"/>
              </w:rPr>
            </w:pPr>
            <w:r w:rsidRPr="00D65056">
              <w:rPr>
                <w:bCs w:val="0"/>
                <w:snapToGrid w:val="0"/>
                <w:lang w:eastAsia="en-US" w:bidi="en-US"/>
              </w:rPr>
              <w:t>Resultado Operacional Líquido Antes dos Tributos</w:t>
            </w:r>
          </w:p>
        </w:tc>
        <w:tc>
          <w:tcPr>
            <w:tcW w:w="817" w:type="pct"/>
          </w:tcPr>
          <w:p w:rsidR="00EB4ACE" w:rsidRPr="00D65056" w:rsidRDefault="00EB4ACE" w:rsidP="00D65056">
            <w:pPr>
              <w:jc w:val="right"/>
              <w:cnfStyle w:val="000000100000" w:firstRow="0" w:lastRow="0" w:firstColumn="0" w:lastColumn="0" w:oddVBand="0" w:evenVBand="0" w:oddHBand="1" w:evenHBand="0" w:firstRowFirstColumn="0" w:firstRowLastColumn="0" w:lastRowFirstColumn="0" w:lastRowLastColumn="0"/>
              <w:rPr>
                <w:b/>
                <w:bCs/>
                <w:color w:val="000000"/>
              </w:rPr>
            </w:pPr>
            <w:r w:rsidRPr="00D65056">
              <w:rPr>
                <w:b/>
                <w:bCs/>
                <w:color w:val="000000"/>
              </w:rPr>
              <w:t>105.064</w:t>
            </w:r>
          </w:p>
        </w:tc>
        <w:tc>
          <w:tcPr>
            <w:tcW w:w="814" w:type="pct"/>
          </w:tcPr>
          <w:p w:rsidR="00EB4ACE" w:rsidRPr="00D65056" w:rsidRDefault="00EB4ACE" w:rsidP="00D65056">
            <w:pPr>
              <w:jc w:val="right"/>
              <w:cnfStyle w:val="000000100000" w:firstRow="0" w:lastRow="0" w:firstColumn="0" w:lastColumn="0" w:oddVBand="0" w:evenVBand="0" w:oddHBand="1" w:evenHBand="0" w:firstRowFirstColumn="0" w:firstRowLastColumn="0" w:lastRowFirstColumn="0" w:lastRowLastColumn="0"/>
              <w:rPr>
                <w:b/>
                <w:bCs/>
                <w:color w:val="000000"/>
              </w:rPr>
            </w:pPr>
            <w:r w:rsidRPr="00D65056">
              <w:rPr>
                <w:b/>
                <w:bCs/>
                <w:color w:val="000000"/>
              </w:rPr>
              <w:t>99.931</w:t>
            </w:r>
          </w:p>
        </w:tc>
        <w:tc>
          <w:tcPr>
            <w:tcW w:w="814" w:type="pct"/>
          </w:tcPr>
          <w:p w:rsidR="00EB4ACE" w:rsidRPr="00D65056" w:rsidRDefault="00EB4ACE" w:rsidP="00D65056">
            <w:pPr>
              <w:jc w:val="right"/>
              <w:cnfStyle w:val="000000100000" w:firstRow="0" w:lastRow="0" w:firstColumn="0" w:lastColumn="0" w:oddVBand="0" w:evenVBand="0" w:oddHBand="1" w:evenHBand="0" w:firstRowFirstColumn="0" w:firstRowLastColumn="0" w:lastRowFirstColumn="0" w:lastRowLastColumn="0"/>
              <w:rPr>
                <w:b/>
                <w:bCs/>
                <w:color w:val="000000"/>
              </w:rPr>
            </w:pPr>
            <w:r w:rsidRPr="00D65056">
              <w:rPr>
                <w:b/>
                <w:bCs/>
                <w:color w:val="000000"/>
              </w:rPr>
              <w:t>(5.133)</w:t>
            </w:r>
          </w:p>
        </w:tc>
      </w:tr>
      <w:tr w:rsidR="00EB4ACE" w:rsidRPr="00A602B7" w:rsidTr="00C2200D">
        <w:trPr>
          <w:trHeight w:val="170"/>
        </w:trPr>
        <w:tc>
          <w:tcPr>
            <w:cnfStyle w:val="001000000000" w:firstRow="0" w:lastRow="0" w:firstColumn="1" w:lastColumn="0" w:oddVBand="0" w:evenVBand="0" w:oddHBand="0" w:evenHBand="0" w:firstRowFirstColumn="0" w:firstRowLastColumn="0" w:lastRowFirstColumn="0" w:lastRowLastColumn="0"/>
            <w:tcW w:w="2555" w:type="pct"/>
          </w:tcPr>
          <w:p w:rsidR="00EB4ACE" w:rsidRPr="00D65056" w:rsidRDefault="00EB4ACE" w:rsidP="00345D9B">
            <w:pPr>
              <w:ind w:firstLine="264"/>
              <w:rPr>
                <w:bCs w:val="0"/>
                <w:snapToGrid w:val="0"/>
                <w:lang w:eastAsia="en-US" w:bidi="en-US"/>
              </w:rPr>
            </w:pPr>
            <w:r w:rsidRPr="00D65056">
              <w:rPr>
                <w:bCs w:val="0"/>
                <w:snapToGrid w:val="0"/>
                <w:lang w:eastAsia="en-US" w:bidi="en-US"/>
              </w:rPr>
              <w:t>EBITDA (LAJIDA)</w:t>
            </w:r>
          </w:p>
        </w:tc>
        <w:tc>
          <w:tcPr>
            <w:tcW w:w="817" w:type="pct"/>
            <w:vAlign w:val="center"/>
          </w:tcPr>
          <w:p w:rsidR="00EB4ACE" w:rsidRPr="00D65056" w:rsidRDefault="00EB4ACE" w:rsidP="00D65056">
            <w:pPr>
              <w:jc w:val="right"/>
              <w:cnfStyle w:val="000000000000" w:firstRow="0" w:lastRow="0" w:firstColumn="0" w:lastColumn="0" w:oddVBand="0" w:evenVBand="0" w:oddHBand="0" w:evenHBand="0" w:firstRowFirstColumn="0" w:firstRowLastColumn="0" w:lastRowFirstColumn="0" w:lastRowLastColumn="0"/>
              <w:rPr>
                <w:b/>
                <w:bCs/>
              </w:rPr>
            </w:pPr>
            <w:r w:rsidRPr="00D65056">
              <w:rPr>
                <w:b/>
                <w:bCs/>
                <w:snapToGrid w:val="0"/>
                <w:lang w:bidi="en-US"/>
              </w:rPr>
              <w:t>289.979</w:t>
            </w:r>
          </w:p>
        </w:tc>
        <w:tc>
          <w:tcPr>
            <w:tcW w:w="814" w:type="pct"/>
            <w:vAlign w:val="center"/>
          </w:tcPr>
          <w:p w:rsidR="00EB4ACE" w:rsidRPr="00D65056" w:rsidRDefault="00EB4ACE" w:rsidP="00D65056">
            <w:pPr>
              <w:jc w:val="right"/>
              <w:cnfStyle w:val="000000000000" w:firstRow="0" w:lastRow="0" w:firstColumn="0" w:lastColumn="0" w:oddVBand="0" w:evenVBand="0" w:oddHBand="0" w:evenHBand="0" w:firstRowFirstColumn="0" w:firstRowLastColumn="0" w:lastRowFirstColumn="0" w:lastRowLastColumn="0"/>
              <w:rPr>
                <w:b/>
                <w:bCs/>
              </w:rPr>
            </w:pPr>
            <w:r w:rsidRPr="00D65056">
              <w:rPr>
                <w:b/>
                <w:bCs/>
                <w:snapToGrid w:val="0"/>
                <w:lang w:bidi="en-US"/>
              </w:rPr>
              <w:t>190.292</w:t>
            </w:r>
          </w:p>
        </w:tc>
        <w:tc>
          <w:tcPr>
            <w:tcW w:w="814" w:type="pct"/>
            <w:vAlign w:val="center"/>
          </w:tcPr>
          <w:p w:rsidR="00EB4ACE" w:rsidRPr="00D65056" w:rsidRDefault="00EB4ACE" w:rsidP="00D65056">
            <w:pPr>
              <w:jc w:val="right"/>
              <w:cnfStyle w:val="000000000000" w:firstRow="0" w:lastRow="0" w:firstColumn="0" w:lastColumn="0" w:oddVBand="0" w:evenVBand="0" w:oddHBand="0" w:evenHBand="0" w:firstRowFirstColumn="0" w:firstRowLastColumn="0" w:lastRowFirstColumn="0" w:lastRowLastColumn="0"/>
              <w:rPr>
                <w:b/>
                <w:bCs/>
              </w:rPr>
            </w:pPr>
            <w:r w:rsidRPr="00D65056">
              <w:rPr>
                <w:b/>
                <w:bCs/>
                <w:snapToGrid w:val="0"/>
                <w:lang w:bidi="en-US"/>
              </w:rPr>
              <w:t>(99.686)</w:t>
            </w:r>
          </w:p>
        </w:tc>
      </w:tr>
      <w:tr w:rsidR="00EB4ACE" w:rsidRPr="00A602B7" w:rsidTr="00C220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55" w:type="pct"/>
          </w:tcPr>
          <w:p w:rsidR="00EB4ACE" w:rsidRPr="00D65056" w:rsidRDefault="00EB4ACE" w:rsidP="00345D9B">
            <w:pPr>
              <w:ind w:firstLine="264"/>
              <w:rPr>
                <w:bCs w:val="0"/>
                <w:snapToGrid w:val="0"/>
                <w:lang w:eastAsia="en-US" w:bidi="en-US"/>
              </w:rPr>
            </w:pPr>
            <w:r w:rsidRPr="00D65056">
              <w:rPr>
                <w:bCs w:val="0"/>
                <w:snapToGrid w:val="0"/>
                <w:lang w:eastAsia="en-US" w:bidi="en-US"/>
              </w:rPr>
              <w:t>Lucro Líquido/Prejuízo Consolidado</w:t>
            </w:r>
          </w:p>
        </w:tc>
        <w:tc>
          <w:tcPr>
            <w:tcW w:w="817" w:type="pct"/>
          </w:tcPr>
          <w:p w:rsidR="00EB4ACE" w:rsidRPr="00D65056" w:rsidRDefault="00EB4ACE" w:rsidP="00D65056">
            <w:pPr>
              <w:jc w:val="right"/>
              <w:cnfStyle w:val="000000100000" w:firstRow="0" w:lastRow="0" w:firstColumn="0" w:lastColumn="0" w:oddVBand="0" w:evenVBand="0" w:oddHBand="1" w:evenHBand="0" w:firstRowFirstColumn="0" w:firstRowLastColumn="0" w:lastRowFirstColumn="0" w:lastRowLastColumn="0"/>
              <w:rPr>
                <w:b/>
                <w:bCs/>
                <w:color w:val="000000"/>
              </w:rPr>
            </w:pPr>
            <w:r w:rsidRPr="00D65056">
              <w:rPr>
                <w:b/>
                <w:bCs/>
                <w:color w:val="000000"/>
              </w:rPr>
              <w:t>49.300</w:t>
            </w:r>
          </w:p>
        </w:tc>
        <w:tc>
          <w:tcPr>
            <w:tcW w:w="814" w:type="pct"/>
          </w:tcPr>
          <w:p w:rsidR="00EB4ACE" w:rsidRPr="00D65056" w:rsidRDefault="00EB4ACE" w:rsidP="00D65056">
            <w:pPr>
              <w:jc w:val="right"/>
              <w:cnfStyle w:val="000000100000" w:firstRow="0" w:lastRow="0" w:firstColumn="0" w:lastColumn="0" w:oddVBand="0" w:evenVBand="0" w:oddHBand="1" w:evenHBand="0" w:firstRowFirstColumn="0" w:firstRowLastColumn="0" w:lastRowFirstColumn="0" w:lastRowLastColumn="0"/>
              <w:rPr>
                <w:b/>
                <w:bCs/>
                <w:color w:val="000000"/>
              </w:rPr>
            </w:pPr>
            <w:r w:rsidRPr="00D65056">
              <w:rPr>
                <w:b/>
                <w:bCs/>
                <w:color w:val="000000"/>
              </w:rPr>
              <w:t>133.693</w:t>
            </w:r>
          </w:p>
        </w:tc>
        <w:tc>
          <w:tcPr>
            <w:tcW w:w="814" w:type="pct"/>
          </w:tcPr>
          <w:p w:rsidR="00EB4ACE" w:rsidRPr="00D65056" w:rsidRDefault="00EB4ACE" w:rsidP="00D65056">
            <w:pPr>
              <w:jc w:val="right"/>
              <w:cnfStyle w:val="000000100000" w:firstRow="0" w:lastRow="0" w:firstColumn="0" w:lastColumn="0" w:oddVBand="0" w:evenVBand="0" w:oddHBand="1" w:evenHBand="0" w:firstRowFirstColumn="0" w:firstRowLastColumn="0" w:lastRowFirstColumn="0" w:lastRowLastColumn="0"/>
              <w:rPr>
                <w:b/>
                <w:bCs/>
                <w:color w:val="000000"/>
              </w:rPr>
            </w:pPr>
            <w:r w:rsidRPr="00D65056">
              <w:rPr>
                <w:b/>
                <w:bCs/>
                <w:color w:val="000000"/>
              </w:rPr>
              <w:t>84.393</w:t>
            </w:r>
          </w:p>
        </w:tc>
      </w:tr>
      <w:tr w:rsidR="00EB4ACE" w:rsidRPr="00A602B7" w:rsidTr="00C2200D">
        <w:trPr>
          <w:trHeight w:val="170"/>
        </w:trPr>
        <w:tc>
          <w:tcPr>
            <w:cnfStyle w:val="001000000000" w:firstRow="0" w:lastRow="0" w:firstColumn="1" w:lastColumn="0" w:oddVBand="0" w:evenVBand="0" w:oddHBand="0" w:evenHBand="0" w:firstRowFirstColumn="0" w:firstRowLastColumn="0" w:lastRowFirstColumn="0" w:lastRowLastColumn="0"/>
            <w:tcW w:w="2555" w:type="pct"/>
          </w:tcPr>
          <w:p w:rsidR="00EB4ACE" w:rsidRPr="00D65056" w:rsidRDefault="00EB4ACE" w:rsidP="00345D9B">
            <w:pPr>
              <w:ind w:firstLine="264"/>
              <w:rPr>
                <w:bCs w:val="0"/>
                <w:snapToGrid w:val="0"/>
                <w:lang w:eastAsia="en-US" w:bidi="en-US"/>
              </w:rPr>
            </w:pPr>
            <w:r w:rsidRPr="00D65056">
              <w:rPr>
                <w:bCs w:val="0"/>
                <w:snapToGrid w:val="0"/>
                <w:lang w:eastAsia="en-US" w:bidi="en-US"/>
              </w:rPr>
              <w:t>Patrimônio Líquido</w:t>
            </w:r>
          </w:p>
        </w:tc>
        <w:tc>
          <w:tcPr>
            <w:tcW w:w="817" w:type="pct"/>
          </w:tcPr>
          <w:p w:rsidR="00EB4ACE" w:rsidRPr="00D65056" w:rsidRDefault="00EB4ACE" w:rsidP="00D65056">
            <w:pPr>
              <w:jc w:val="right"/>
              <w:cnfStyle w:val="000000000000" w:firstRow="0" w:lastRow="0" w:firstColumn="0" w:lastColumn="0" w:oddVBand="0" w:evenVBand="0" w:oddHBand="0" w:evenHBand="0" w:firstRowFirstColumn="0" w:firstRowLastColumn="0" w:lastRowFirstColumn="0" w:lastRowLastColumn="0"/>
              <w:rPr>
                <w:b/>
                <w:bCs/>
                <w:color w:val="000000"/>
              </w:rPr>
            </w:pPr>
            <w:r w:rsidRPr="00D65056">
              <w:rPr>
                <w:b/>
                <w:bCs/>
                <w:color w:val="000000"/>
              </w:rPr>
              <w:t>781.603</w:t>
            </w:r>
          </w:p>
        </w:tc>
        <w:tc>
          <w:tcPr>
            <w:tcW w:w="814" w:type="pct"/>
          </w:tcPr>
          <w:p w:rsidR="00EB4ACE" w:rsidRPr="00D65056" w:rsidRDefault="00EB4ACE" w:rsidP="00D65056">
            <w:pPr>
              <w:jc w:val="right"/>
              <w:cnfStyle w:val="000000000000" w:firstRow="0" w:lastRow="0" w:firstColumn="0" w:lastColumn="0" w:oddVBand="0" w:evenVBand="0" w:oddHBand="0" w:evenHBand="0" w:firstRowFirstColumn="0" w:firstRowLastColumn="0" w:lastRowFirstColumn="0" w:lastRowLastColumn="0"/>
              <w:rPr>
                <w:b/>
                <w:bCs/>
                <w:color w:val="000000"/>
              </w:rPr>
            </w:pPr>
            <w:r w:rsidRPr="00D65056">
              <w:rPr>
                <w:b/>
                <w:bCs/>
                <w:color w:val="000000"/>
              </w:rPr>
              <w:t>846.476</w:t>
            </w:r>
          </w:p>
        </w:tc>
        <w:tc>
          <w:tcPr>
            <w:tcW w:w="814" w:type="pct"/>
          </w:tcPr>
          <w:p w:rsidR="00EB4ACE" w:rsidRPr="00D65056" w:rsidRDefault="00EB4ACE" w:rsidP="00D65056">
            <w:pPr>
              <w:jc w:val="right"/>
              <w:cnfStyle w:val="000000000000" w:firstRow="0" w:lastRow="0" w:firstColumn="0" w:lastColumn="0" w:oddVBand="0" w:evenVBand="0" w:oddHBand="0" w:evenHBand="0" w:firstRowFirstColumn="0" w:firstRowLastColumn="0" w:lastRowFirstColumn="0" w:lastRowLastColumn="0"/>
              <w:rPr>
                <w:b/>
                <w:bCs/>
                <w:color w:val="000000"/>
              </w:rPr>
            </w:pPr>
            <w:r w:rsidRPr="00D65056">
              <w:rPr>
                <w:b/>
                <w:bCs/>
                <w:color w:val="000000"/>
              </w:rPr>
              <w:t>64.873</w:t>
            </w:r>
          </w:p>
        </w:tc>
      </w:tr>
    </w:tbl>
    <w:p w:rsidR="00EB4ACE" w:rsidRPr="007E7E1D" w:rsidRDefault="00EB4ACE" w:rsidP="00EB4ACE">
      <w:pPr>
        <w:spacing w:before="40" w:after="240"/>
        <w:rPr>
          <w:rFonts w:eastAsia="Calibri"/>
          <w:b/>
          <w:bCs/>
          <w:sz w:val="16"/>
          <w:szCs w:val="16"/>
        </w:rPr>
      </w:pPr>
      <w:r w:rsidRPr="007E7E1D">
        <w:rPr>
          <w:rFonts w:eastAsia="Calibri"/>
          <w:b/>
          <w:bCs/>
          <w:sz w:val="16"/>
          <w:szCs w:val="16"/>
        </w:rPr>
        <w:t>Fonte: Demonstrações Contábeis da Companhia Energética de Brasília.</w:t>
      </w:r>
    </w:p>
    <w:p w:rsidR="007B14A5" w:rsidRPr="00D51D39" w:rsidRDefault="002202B8" w:rsidP="00EB4ACE">
      <w:pPr>
        <w:spacing w:after="240"/>
        <w:jc w:val="both"/>
        <w:rPr>
          <w:sz w:val="22"/>
          <w:szCs w:val="22"/>
        </w:rPr>
      </w:pPr>
      <w:r w:rsidRPr="00D51D39">
        <w:rPr>
          <w:sz w:val="22"/>
          <w:szCs w:val="22"/>
        </w:rPr>
        <w:t>Com relação à</w:t>
      </w:r>
      <w:r w:rsidR="00AA13DE" w:rsidRPr="00D51D39">
        <w:rPr>
          <w:sz w:val="22"/>
          <w:szCs w:val="22"/>
        </w:rPr>
        <w:t xml:space="preserve"> receita de F</w:t>
      </w:r>
      <w:r w:rsidR="007B14A5" w:rsidRPr="00D51D39">
        <w:rPr>
          <w:sz w:val="22"/>
          <w:szCs w:val="22"/>
        </w:rPr>
        <w:t>aturamen</w:t>
      </w:r>
      <w:r w:rsidR="00AA13DE" w:rsidRPr="00D51D39">
        <w:rPr>
          <w:sz w:val="22"/>
          <w:szCs w:val="22"/>
        </w:rPr>
        <w:t>to ao C</w:t>
      </w:r>
      <w:r w:rsidR="007B14A5" w:rsidRPr="00D51D39">
        <w:rPr>
          <w:sz w:val="22"/>
          <w:szCs w:val="22"/>
        </w:rPr>
        <w:t xml:space="preserve">onsumidor, que evidencia a energia elétrica </w:t>
      </w:r>
      <w:r w:rsidRPr="00D51D39">
        <w:rPr>
          <w:sz w:val="22"/>
          <w:szCs w:val="22"/>
        </w:rPr>
        <w:t>fornecida</w:t>
      </w:r>
      <w:r w:rsidR="007B14A5" w:rsidRPr="00D51D39">
        <w:rPr>
          <w:sz w:val="22"/>
          <w:szCs w:val="22"/>
        </w:rPr>
        <w:t xml:space="preserve">, </w:t>
      </w:r>
      <w:r w:rsidR="00552166" w:rsidRPr="00D51D39">
        <w:rPr>
          <w:sz w:val="22"/>
          <w:szCs w:val="22"/>
        </w:rPr>
        <w:t>houve crescimento de</w:t>
      </w:r>
      <w:r w:rsidR="007B14A5" w:rsidRPr="00D51D39">
        <w:rPr>
          <w:sz w:val="22"/>
          <w:szCs w:val="22"/>
        </w:rPr>
        <w:t xml:space="preserve"> </w:t>
      </w:r>
      <w:r w:rsidR="00552166" w:rsidRPr="00D51D39">
        <w:rPr>
          <w:sz w:val="22"/>
          <w:szCs w:val="22"/>
        </w:rPr>
        <w:t>3,1</w:t>
      </w:r>
      <w:r w:rsidR="007B14A5" w:rsidRPr="00D51D39">
        <w:rPr>
          <w:sz w:val="22"/>
          <w:szCs w:val="22"/>
        </w:rPr>
        <w:t xml:space="preserve">%, </w:t>
      </w:r>
      <w:r w:rsidR="00552166" w:rsidRPr="00D51D39">
        <w:rPr>
          <w:sz w:val="22"/>
          <w:szCs w:val="22"/>
        </w:rPr>
        <w:t>evoluindo de</w:t>
      </w:r>
      <w:r w:rsidR="007B14A5" w:rsidRPr="00D51D39">
        <w:rPr>
          <w:sz w:val="22"/>
          <w:szCs w:val="22"/>
        </w:rPr>
        <w:t xml:space="preserve"> R$ </w:t>
      </w:r>
      <w:r w:rsidR="00552166" w:rsidRPr="00D51D39">
        <w:rPr>
          <w:sz w:val="22"/>
          <w:szCs w:val="22"/>
        </w:rPr>
        <w:t>3.224.448 mil</w:t>
      </w:r>
      <w:r w:rsidR="007B14A5" w:rsidRPr="00D51D39">
        <w:rPr>
          <w:sz w:val="22"/>
          <w:szCs w:val="22"/>
        </w:rPr>
        <w:t xml:space="preserve">, em 2015, para R$ </w:t>
      </w:r>
      <w:r w:rsidR="00552166" w:rsidRPr="00D51D39">
        <w:rPr>
          <w:sz w:val="22"/>
          <w:szCs w:val="22"/>
        </w:rPr>
        <w:t>3</w:t>
      </w:r>
      <w:r w:rsidR="007B14A5" w:rsidRPr="00D51D39">
        <w:rPr>
          <w:sz w:val="22"/>
          <w:szCs w:val="22"/>
        </w:rPr>
        <w:t>.</w:t>
      </w:r>
      <w:r w:rsidR="00552166" w:rsidRPr="00D51D39">
        <w:rPr>
          <w:sz w:val="22"/>
          <w:szCs w:val="22"/>
        </w:rPr>
        <w:t>324.987 mil</w:t>
      </w:r>
      <w:r w:rsidR="007B14A5" w:rsidRPr="00D51D39">
        <w:rPr>
          <w:sz w:val="22"/>
          <w:szCs w:val="22"/>
        </w:rPr>
        <w:t xml:space="preserve"> em 2016.</w:t>
      </w:r>
    </w:p>
    <w:p w:rsidR="007B14A5" w:rsidRPr="00D51D39" w:rsidRDefault="00552166" w:rsidP="00EB4ACE">
      <w:pPr>
        <w:spacing w:after="240"/>
        <w:jc w:val="both"/>
        <w:rPr>
          <w:sz w:val="22"/>
          <w:szCs w:val="22"/>
        </w:rPr>
      </w:pPr>
      <w:r w:rsidRPr="00D51D39">
        <w:rPr>
          <w:sz w:val="22"/>
          <w:szCs w:val="22"/>
        </w:rPr>
        <w:t>Por sua vez, o</w:t>
      </w:r>
      <w:r w:rsidR="007B14A5" w:rsidRPr="00D51D39">
        <w:rPr>
          <w:sz w:val="22"/>
          <w:szCs w:val="22"/>
        </w:rPr>
        <w:t xml:space="preserve">s </w:t>
      </w:r>
      <w:r w:rsidRPr="00D51D39">
        <w:rPr>
          <w:sz w:val="22"/>
          <w:szCs w:val="22"/>
        </w:rPr>
        <w:t>Custos e Despesas O</w:t>
      </w:r>
      <w:r w:rsidR="007B14A5" w:rsidRPr="00D51D39">
        <w:rPr>
          <w:sz w:val="22"/>
          <w:szCs w:val="22"/>
        </w:rPr>
        <w:t xml:space="preserve">peracionais, que em 2016, sofreram vários ajustes não recorrentes, caíram 8,8%, ao </w:t>
      </w:r>
      <w:proofErr w:type="spellStart"/>
      <w:r w:rsidR="007B14A5" w:rsidRPr="00D51D39">
        <w:rPr>
          <w:sz w:val="22"/>
          <w:szCs w:val="22"/>
        </w:rPr>
        <w:t>involuirem</w:t>
      </w:r>
      <w:proofErr w:type="spellEnd"/>
      <w:r w:rsidR="007B14A5" w:rsidRPr="00D51D39">
        <w:rPr>
          <w:sz w:val="22"/>
          <w:szCs w:val="22"/>
        </w:rPr>
        <w:t xml:space="preserve"> de R$ 2</w:t>
      </w:r>
      <w:r w:rsidRPr="00D51D39">
        <w:rPr>
          <w:sz w:val="22"/>
          <w:szCs w:val="22"/>
        </w:rPr>
        <w:t>.</w:t>
      </w:r>
      <w:r w:rsidR="007B14A5" w:rsidRPr="00D51D39">
        <w:rPr>
          <w:sz w:val="22"/>
          <w:szCs w:val="22"/>
        </w:rPr>
        <w:t>106</w:t>
      </w:r>
      <w:r w:rsidRPr="00D51D39">
        <w:rPr>
          <w:sz w:val="22"/>
          <w:szCs w:val="22"/>
        </w:rPr>
        <w:t>.025 mil</w:t>
      </w:r>
      <w:r w:rsidR="007B14A5" w:rsidRPr="00D51D39">
        <w:rPr>
          <w:sz w:val="22"/>
          <w:szCs w:val="22"/>
        </w:rPr>
        <w:t xml:space="preserve"> em 2015, para R$ 1</w:t>
      </w:r>
      <w:r w:rsidRPr="00D51D39">
        <w:rPr>
          <w:sz w:val="22"/>
          <w:szCs w:val="22"/>
        </w:rPr>
        <w:t>.</w:t>
      </w:r>
      <w:r w:rsidR="007B14A5" w:rsidRPr="00D51D39">
        <w:rPr>
          <w:sz w:val="22"/>
          <w:szCs w:val="22"/>
        </w:rPr>
        <w:t>920</w:t>
      </w:r>
      <w:r w:rsidRPr="00D51D39">
        <w:rPr>
          <w:sz w:val="22"/>
          <w:szCs w:val="22"/>
        </w:rPr>
        <w:t>.051 mil</w:t>
      </w:r>
      <w:r w:rsidR="007B14A5" w:rsidRPr="00D51D39">
        <w:rPr>
          <w:sz w:val="22"/>
          <w:szCs w:val="22"/>
        </w:rPr>
        <w:t xml:space="preserve"> em 2016.</w:t>
      </w:r>
    </w:p>
    <w:p w:rsidR="003328B1" w:rsidRDefault="00552166" w:rsidP="00EB4ACE">
      <w:pPr>
        <w:spacing w:after="240"/>
        <w:jc w:val="both"/>
        <w:rPr>
          <w:sz w:val="22"/>
          <w:szCs w:val="22"/>
        </w:rPr>
      </w:pPr>
      <w:r>
        <w:rPr>
          <w:sz w:val="22"/>
          <w:szCs w:val="22"/>
        </w:rPr>
        <w:t>O</w:t>
      </w:r>
      <w:r w:rsidR="00EB4ACE" w:rsidRPr="005630AC">
        <w:rPr>
          <w:sz w:val="22"/>
          <w:szCs w:val="22"/>
        </w:rPr>
        <w:t xml:space="preserve"> </w:t>
      </w:r>
      <w:r>
        <w:rPr>
          <w:sz w:val="22"/>
          <w:szCs w:val="22"/>
        </w:rPr>
        <w:t>L</w:t>
      </w:r>
      <w:r w:rsidR="00EB4ACE" w:rsidRPr="005630AC">
        <w:rPr>
          <w:sz w:val="22"/>
          <w:szCs w:val="22"/>
        </w:rPr>
        <w:t xml:space="preserve">ucro </w:t>
      </w:r>
      <w:r>
        <w:rPr>
          <w:sz w:val="22"/>
          <w:szCs w:val="22"/>
        </w:rPr>
        <w:t>C</w:t>
      </w:r>
      <w:r w:rsidR="00EB4ACE" w:rsidRPr="005630AC">
        <w:rPr>
          <w:sz w:val="22"/>
          <w:szCs w:val="22"/>
        </w:rPr>
        <w:t xml:space="preserve">onsolidado </w:t>
      </w:r>
      <w:r>
        <w:rPr>
          <w:sz w:val="22"/>
          <w:szCs w:val="22"/>
        </w:rPr>
        <w:t>atingiu</w:t>
      </w:r>
      <w:r w:rsidR="00EB4ACE" w:rsidRPr="005630AC">
        <w:rPr>
          <w:sz w:val="22"/>
          <w:szCs w:val="22"/>
        </w:rPr>
        <w:t xml:space="preserve"> R$ </w:t>
      </w:r>
      <w:r w:rsidR="00EB4ACE">
        <w:rPr>
          <w:sz w:val="22"/>
          <w:szCs w:val="22"/>
        </w:rPr>
        <w:t>133.693</w:t>
      </w:r>
      <w:r w:rsidR="00EB4ACE" w:rsidRPr="005630AC">
        <w:rPr>
          <w:sz w:val="22"/>
          <w:szCs w:val="22"/>
        </w:rPr>
        <w:t xml:space="preserve"> mil no exercício de 201</w:t>
      </w:r>
      <w:r w:rsidR="00EB4ACE">
        <w:rPr>
          <w:sz w:val="22"/>
          <w:szCs w:val="22"/>
        </w:rPr>
        <w:t>6</w:t>
      </w:r>
      <w:r w:rsidR="00EB4ACE" w:rsidRPr="005630AC">
        <w:rPr>
          <w:sz w:val="22"/>
          <w:szCs w:val="22"/>
        </w:rPr>
        <w:t>, representando um aumento de</w:t>
      </w:r>
      <w:r w:rsidR="00B01CC3">
        <w:rPr>
          <w:sz w:val="22"/>
          <w:szCs w:val="22"/>
        </w:rPr>
        <w:t xml:space="preserve"> </w:t>
      </w:r>
      <w:r w:rsidR="00EB4ACE" w:rsidRPr="005630AC">
        <w:rPr>
          <w:sz w:val="22"/>
          <w:szCs w:val="22"/>
        </w:rPr>
        <w:t xml:space="preserve">R$ </w:t>
      </w:r>
      <w:r w:rsidR="002B5CB0">
        <w:rPr>
          <w:sz w:val="22"/>
          <w:szCs w:val="22"/>
        </w:rPr>
        <w:t>84.393</w:t>
      </w:r>
      <w:r w:rsidR="00EB4ACE" w:rsidRPr="005630AC">
        <w:rPr>
          <w:sz w:val="22"/>
          <w:szCs w:val="22"/>
        </w:rPr>
        <w:t xml:space="preserve"> mil, em relação </w:t>
      </w:r>
      <w:r w:rsidR="00263313">
        <w:rPr>
          <w:sz w:val="22"/>
          <w:szCs w:val="22"/>
        </w:rPr>
        <w:t>àquele</w:t>
      </w:r>
      <w:r w:rsidR="00EB4ACE" w:rsidRPr="005630AC">
        <w:rPr>
          <w:sz w:val="22"/>
          <w:szCs w:val="22"/>
        </w:rPr>
        <w:t xml:space="preserve"> </w:t>
      </w:r>
      <w:r w:rsidR="00EB4ACE">
        <w:rPr>
          <w:sz w:val="22"/>
          <w:szCs w:val="22"/>
        </w:rPr>
        <w:t xml:space="preserve">reapresentado </w:t>
      </w:r>
      <w:r w:rsidR="00263313">
        <w:rPr>
          <w:sz w:val="22"/>
          <w:szCs w:val="22"/>
        </w:rPr>
        <w:t>em</w:t>
      </w:r>
      <w:r w:rsidR="00EB4ACE" w:rsidRPr="005630AC">
        <w:rPr>
          <w:sz w:val="22"/>
          <w:szCs w:val="22"/>
        </w:rPr>
        <w:t xml:space="preserve"> </w:t>
      </w:r>
      <w:r w:rsidR="00921B1B">
        <w:rPr>
          <w:sz w:val="22"/>
          <w:szCs w:val="22"/>
        </w:rPr>
        <w:t>2015</w:t>
      </w:r>
      <w:r w:rsidR="00EB4ACE">
        <w:rPr>
          <w:sz w:val="22"/>
          <w:szCs w:val="22"/>
        </w:rPr>
        <w:t xml:space="preserve"> (</w:t>
      </w:r>
      <w:r w:rsidR="00EB4ACE" w:rsidRPr="005630AC">
        <w:rPr>
          <w:sz w:val="22"/>
          <w:szCs w:val="22"/>
        </w:rPr>
        <w:t xml:space="preserve">R$ </w:t>
      </w:r>
      <w:r w:rsidR="00EB4ACE">
        <w:rPr>
          <w:sz w:val="22"/>
          <w:szCs w:val="22"/>
        </w:rPr>
        <w:t>49.300</w:t>
      </w:r>
      <w:r w:rsidR="00EB4ACE" w:rsidRPr="005630AC">
        <w:rPr>
          <w:sz w:val="22"/>
          <w:szCs w:val="22"/>
        </w:rPr>
        <w:t xml:space="preserve"> mil</w:t>
      </w:r>
      <w:r w:rsidR="00EB4ACE">
        <w:rPr>
          <w:sz w:val="22"/>
          <w:szCs w:val="22"/>
        </w:rPr>
        <w:t>)</w:t>
      </w:r>
      <w:r w:rsidR="00263313">
        <w:rPr>
          <w:sz w:val="22"/>
          <w:szCs w:val="22"/>
        </w:rPr>
        <w:t>.</w:t>
      </w:r>
    </w:p>
    <w:p w:rsidR="008D7AD6" w:rsidRDefault="008D7AD6" w:rsidP="00EB4ACE">
      <w:pPr>
        <w:spacing w:after="240"/>
        <w:jc w:val="both"/>
        <w:rPr>
          <w:sz w:val="22"/>
          <w:szCs w:val="22"/>
        </w:rPr>
      </w:pPr>
      <w:r>
        <w:rPr>
          <w:sz w:val="22"/>
          <w:szCs w:val="22"/>
        </w:rPr>
        <w:t xml:space="preserve">Por último, vale a pena </w:t>
      </w:r>
      <w:proofErr w:type="spellStart"/>
      <w:r>
        <w:rPr>
          <w:sz w:val="22"/>
          <w:szCs w:val="22"/>
        </w:rPr>
        <w:t>destacare</w:t>
      </w:r>
      <w:proofErr w:type="spellEnd"/>
      <w:r>
        <w:rPr>
          <w:sz w:val="22"/>
          <w:szCs w:val="22"/>
        </w:rPr>
        <w:t xml:space="preserve"> a evolução do </w:t>
      </w:r>
      <w:proofErr w:type="spellStart"/>
      <w:r>
        <w:rPr>
          <w:sz w:val="22"/>
          <w:szCs w:val="22"/>
        </w:rPr>
        <w:t>Patrimôpnio</w:t>
      </w:r>
      <w:proofErr w:type="spellEnd"/>
      <w:r>
        <w:rPr>
          <w:sz w:val="22"/>
          <w:szCs w:val="22"/>
        </w:rPr>
        <w:t xml:space="preserve"> Líquido que, em 2016, foi de 8,29%, ao evoluir de R$ 781</w:t>
      </w:r>
      <w:r w:rsidR="00D51D39">
        <w:rPr>
          <w:sz w:val="22"/>
          <w:szCs w:val="22"/>
        </w:rPr>
        <w:t>.</w:t>
      </w:r>
      <w:r>
        <w:rPr>
          <w:sz w:val="22"/>
          <w:szCs w:val="22"/>
        </w:rPr>
        <w:t>6</w:t>
      </w:r>
      <w:r w:rsidR="00D51D39">
        <w:rPr>
          <w:sz w:val="22"/>
          <w:szCs w:val="22"/>
        </w:rPr>
        <w:t>03 mil</w:t>
      </w:r>
      <w:r>
        <w:rPr>
          <w:sz w:val="22"/>
          <w:szCs w:val="22"/>
        </w:rPr>
        <w:t>, em 2015, para R$ 8</w:t>
      </w:r>
      <w:r w:rsidR="00D51D39">
        <w:rPr>
          <w:sz w:val="22"/>
          <w:szCs w:val="22"/>
        </w:rPr>
        <w:t>46.476 mil</w:t>
      </w:r>
      <w:r>
        <w:rPr>
          <w:sz w:val="22"/>
          <w:szCs w:val="22"/>
        </w:rPr>
        <w:t xml:space="preserve"> em 2016.</w:t>
      </w:r>
    </w:p>
    <w:p w:rsidR="008D7AD6" w:rsidRDefault="008D7AD6" w:rsidP="00EB4ACE">
      <w:pPr>
        <w:spacing w:after="240"/>
        <w:jc w:val="both"/>
        <w:rPr>
          <w:sz w:val="22"/>
          <w:szCs w:val="22"/>
        </w:rPr>
      </w:pPr>
      <w:r>
        <w:rPr>
          <w:sz w:val="22"/>
          <w:szCs w:val="22"/>
        </w:rPr>
        <w:t xml:space="preserve">Esse é um </w:t>
      </w:r>
      <w:r w:rsidR="00D51D39">
        <w:rPr>
          <w:sz w:val="22"/>
          <w:szCs w:val="22"/>
        </w:rPr>
        <w:t>desempenho</w:t>
      </w:r>
      <w:r>
        <w:rPr>
          <w:sz w:val="22"/>
          <w:szCs w:val="22"/>
        </w:rPr>
        <w:t xml:space="preserve"> que tem um significado importante, exatamente porque mostra de forma clara que</w:t>
      </w:r>
      <w:r w:rsidR="00D51D39">
        <w:rPr>
          <w:sz w:val="22"/>
          <w:szCs w:val="22"/>
        </w:rPr>
        <w:t>,</w:t>
      </w:r>
      <w:r>
        <w:rPr>
          <w:sz w:val="22"/>
          <w:szCs w:val="22"/>
        </w:rPr>
        <w:t xml:space="preserve"> mesmo com a Companhia operando e realizando seus investimentos, </w:t>
      </w:r>
      <w:r w:rsidR="00D51D39">
        <w:rPr>
          <w:sz w:val="22"/>
          <w:szCs w:val="22"/>
        </w:rPr>
        <w:t xml:space="preserve">houve redução do </w:t>
      </w:r>
      <w:r>
        <w:rPr>
          <w:sz w:val="22"/>
          <w:szCs w:val="22"/>
        </w:rPr>
        <w:t>seu nível de alavancagem.</w:t>
      </w:r>
    </w:p>
    <w:p w:rsidR="008D7AD6" w:rsidRDefault="008D7AD6" w:rsidP="00EB4ACE">
      <w:pPr>
        <w:spacing w:after="240"/>
        <w:jc w:val="both"/>
        <w:rPr>
          <w:sz w:val="22"/>
          <w:szCs w:val="22"/>
        </w:rPr>
      </w:pPr>
      <w:r>
        <w:rPr>
          <w:sz w:val="22"/>
          <w:szCs w:val="22"/>
        </w:rPr>
        <w:t>Em 2014, por exemplo, para cada R$ 1,00 de total do passivo, R$ 0,</w:t>
      </w:r>
      <w:r w:rsidR="00C73DFD">
        <w:rPr>
          <w:sz w:val="22"/>
          <w:szCs w:val="22"/>
        </w:rPr>
        <w:t>88</w:t>
      </w:r>
      <w:r>
        <w:rPr>
          <w:sz w:val="22"/>
          <w:szCs w:val="22"/>
        </w:rPr>
        <w:t xml:space="preserve"> representava obrigações. Em 2016, essa relação melhorou para R$ 0,</w:t>
      </w:r>
      <w:r w:rsidR="00C73DFD">
        <w:rPr>
          <w:sz w:val="22"/>
          <w:szCs w:val="22"/>
        </w:rPr>
        <w:t>73</w:t>
      </w:r>
      <w:r>
        <w:rPr>
          <w:sz w:val="22"/>
          <w:szCs w:val="22"/>
        </w:rPr>
        <w:t xml:space="preserve">, ou seja, a Companhia melhorou bastante, porque o capital, as reservas e a conta prejuízos acumulados apresentaram </w:t>
      </w:r>
      <w:r w:rsidR="00C73DFD" w:rsidRPr="00C73DFD">
        <w:rPr>
          <w:i/>
          <w:sz w:val="22"/>
          <w:szCs w:val="22"/>
        </w:rPr>
        <w:t>performances</w:t>
      </w:r>
      <w:r w:rsidR="00E00D18">
        <w:rPr>
          <w:sz w:val="22"/>
          <w:szCs w:val="22"/>
        </w:rPr>
        <w:t xml:space="preserve"> positiva</w:t>
      </w:r>
      <w:r>
        <w:rPr>
          <w:sz w:val="22"/>
          <w:szCs w:val="22"/>
        </w:rPr>
        <w:t>s.</w:t>
      </w:r>
    </w:p>
    <w:p w:rsidR="00620EC6" w:rsidRPr="007E7E1D" w:rsidRDefault="004C227D" w:rsidP="00FA2F3A">
      <w:pPr>
        <w:pStyle w:val="Ttulo3"/>
        <w:numPr>
          <w:ilvl w:val="0"/>
          <w:numId w:val="10"/>
        </w:numPr>
      </w:pPr>
      <w:bookmarkStart w:id="3" w:name="_Toc478141840"/>
      <w:r w:rsidRPr="007E7E1D">
        <w:t>NEGÓCIOS DA COMPANHIA</w:t>
      </w:r>
      <w:bookmarkEnd w:id="3"/>
    </w:p>
    <w:p w:rsidR="00B3446C" w:rsidRPr="007E7E1D" w:rsidRDefault="00B3446C" w:rsidP="00B3446C">
      <w:pPr>
        <w:spacing w:before="240" w:after="240"/>
        <w:rPr>
          <w:b/>
          <w:bCs/>
          <w:sz w:val="22"/>
          <w:szCs w:val="22"/>
        </w:rPr>
      </w:pPr>
      <w:bookmarkStart w:id="4" w:name="_Toc444790554"/>
      <w:r w:rsidRPr="007E7E1D">
        <w:rPr>
          <w:b/>
          <w:bCs/>
          <w:sz w:val="22"/>
          <w:szCs w:val="22"/>
        </w:rPr>
        <w:t>Empresas Controladas</w:t>
      </w:r>
      <w:bookmarkEnd w:id="4"/>
    </w:p>
    <w:p w:rsidR="00B3446C" w:rsidRPr="007E7E1D" w:rsidRDefault="00B3446C" w:rsidP="00B3446C">
      <w:pPr>
        <w:spacing w:before="240" w:after="240"/>
        <w:rPr>
          <w:b/>
          <w:bCs/>
          <w:sz w:val="22"/>
          <w:szCs w:val="22"/>
        </w:rPr>
      </w:pPr>
      <w:r w:rsidRPr="007E7E1D">
        <w:rPr>
          <w:b/>
          <w:bCs/>
          <w:sz w:val="22"/>
          <w:szCs w:val="22"/>
        </w:rPr>
        <w:t>CEB Distribuição S.A.</w:t>
      </w:r>
    </w:p>
    <w:p w:rsidR="00B3446C" w:rsidRPr="007E7E1D" w:rsidRDefault="00F728D7" w:rsidP="00B3446C">
      <w:pPr>
        <w:spacing w:before="240" w:after="240"/>
        <w:jc w:val="both"/>
        <w:rPr>
          <w:sz w:val="22"/>
          <w:szCs w:val="22"/>
        </w:rPr>
      </w:pPr>
      <w:r w:rsidRPr="007E7E1D">
        <w:rPr>
          <w:sz w:val="22"/>
          <w:szCs w:val="22"/>
        </w:rPr>
        <w:t xml:space="preserve">Nos termos do Contrato de Concessão nº 66/1999 – ANEEL, a Empresa </w:t>
      </w:r>
      <w:r w:rsidR="00276684" w:rsidRPr="007E7E1D">
        <w:rPr>
          <w:sz w:val="22"/>
          <w:szCs w:val="22"/>
        </w:rPr>
        <w:t>tem por objeto a</w:t>
      </w:r>
      <w:r w:rsidR="00B3446C" w:rsidRPr="007E7E1D">
        <w:rPr>
          <w:sz w:val="22"/>
          <w:szCs w:val="22"/>
        </w:rPr>
        <w:t xml:space="preserve"> distribuição e comercialização de energia elétrica no Distrito Federal</w:t>
      </w:r>
      <w:r w:rsidRPr="007E7E1D">
        <w:rPr>
          <w:sz w:val="22"/>
          <w:szCs w:val="22"/>
        </w:rPr>
        <w:t xml:space="preserve"> </w:t>
      </w:r>
      <w:r w:rsidR="00B3446C" w:rsidRPr="007E7E1D">
        <w:rPr>
          <w:sz w:val="22"/>
          <w:szCs w:val="22"/>
        </w:rPr>
        <w:t>ou em outras áreas do País, cuja concessão para exploração seja-lhe outorgada.</w:t>
      </w:r>
    </w:p>
    <w:p w:rsidR="00F728D7" w:rsidRDefault="00F728D7" w:rsidP="0075333C">
      <w:pPr>
        <w:spacing w:before="240" w:after="240"/>
        <w:jc w:val="both"/>
        <w:rPr>
          <w:sz w:val="22"/>
          <w:szCs w:val="22"/>
        </w:rPr>
      </w:pPr>
      <w:r w:rsidRPr="007E7E1D">
        <w:rPr>
          <w:sz w:val="22"/>
          <w:szCs w:val="22"/>
        </w:rPr>
        <w:t>Em 9 de dezembro de 2015, a CEB D</w:t>
      </w:r>
      <w:r w:rsidR="001D6166" w:rsidRPr="007E7E1D">
        <w:rPr>
          <w:sz w:val="22"/>
          <w:szCs w:val="22"/>
        </w:rPr>
        <w:t xml:space="preserve">istribuição S.A. </w:t>
      </w:r>
      <w:r w:rsidRPr="007E7E1D">
        <w:rPr>
          <w:sz w:val="22"/>
          <w:szCs w:val="22"/>
        </w:rPr>
        <w:t>e o Poder Concedente, por intermédio do Ministério de Minas e Energia – MME, celebraram o Quarto Termo Aditivo ao Contrato de Concessão nº 66/1999 – ANEEL, publicado na edição de 24 de dezembro de 2015 do Diário Oficial da União, que formalizou a prorrogação do Contrato de Concessão do Serviço Público de Distribuição de Energia Elétrica por mais 30 anos, vigente até 7 de julho de 2045.</w:t>
      </w:r>
    </w:p>
    <w:p w:rsidR="00B3446C" w:rsidRPr="007E7E1D" w:rsidRDefault="00B3446C" w:rsidP="00B3446C">
      <w:pPr>
        <w:spacing w:before="240" w:after="240"/>
        <w:jc w:val="both"/>
        <w:rPr>
          <w:sz w:val="22"/>
          <w:szCs w:val="22"/>
        </w:rPr>
      </w:pPr>
      <w:r w:rsidRPr="007E7E1D">
        <w:rPr>
          <w:sz w:val="22"/>
          <w:szCs w:val="22"/>
        </w:rPr>
        <w:t>A área de concessão da CEB Distribuição S.A. corresponde a 5.780 km</w:t>
      </w:r>
      <w:r w:rsidRPr="007E7E1D">
        <w:rPr>
          <w:sz w:val="22"/>
          <w:szCs w:val="22"/>
          <w:vertAlign w:val="superscript"/>
        </w:rPr>
        <w:t>2</w:t>
      </w:r>
      <w:r w:rsidRPr="007E7E1D">
        <w:rPr>
          <w:sz w:val="22"/>
          <w:szCs w:val="22"/>
        </w:rPr>
        <w:t xml:space="preserve"> e abrange todo o Distrito Federal, dividido em regiões administrativas, atendendo </w:t>
      </w:r>
      <w:r w:rsidRPr="002A0A2B">
        <w:rPr>
          <w:sz w:val="22"/>
          <w:szCs w:val="22"/>
        </w:rPr>
        <w:t>a 1.0</w:t>
      </w:r>
      <w:r w:rsidR="002A0A2B" w:rsidRPr="002A0A2B">
        <w:rPr>
          <w:sz w:val="22"/>
          <w:szCs w:val="22"/>
        </w:rPr>
        <w:t>35</w:t>
      </w:r>
      <w:r w:rsidRPr="002A0A2B">
        <w:rPr>
          <w:sz w:val="22"/>
          <w:szCs w:val="22"/>
        </w:rPr>
        <w:t>.</w:t>
      </w:r>
      <w:r w:rsidR="002A0A2B" w:rsidRPr="002A0A2B">
        <w:rPr>
          <w:sz w:val="22"/>
          <w:szCs w:val="22"/>
        </w:rPr>
        <w:t>948</w:t>
      </w:r>
      <w:r w:rsidRPr="002A0A2B">
        <w:rPr>
          <w:sz w:val="22"/>
          <w:szCs w:val="22"/>
        </w:rPr>
        <w:t xml:space="preserve"> clientes.</w:t>
      </w:r>
    </w:p>
    <w:p w:rsidR="00690BCF" w:rsidRDefault="00690BCF">
      <w:pPr>
        <w:rPr>
          <w:b/>
          <w:sz w:val="22"/>
          <w:szCs w:val="22"/>
        </w:rPr>
      </w:pPr>
      <w:r>
        <w:rPr>
          <w:b/>
          <w:sz w:val="22"/>
          <w:szCs w:val="22"/>
        </w:rPr>
        <w:br w:type="page"/>
      </w:r>
    </w:p>
    <w:p w:rsidR="00B3446C" w:rsidRDefault="00B3446C" w:rsidP="00B3446C">
      <w:pPr>
        <w:spacing w:before="240" w:after="240"/>
        <w:rPr>
          <w:b/>
          <w:sz w:val="22"/>
          <w:szCs w:val="22"/>
        </w:rPr>
      </w:pPr>
      <w:r w:rsidRPr="007E7E1D">
        <w:rPr>
          <w:b/>
          <w:sz w:val="22"/>
          <w:szCs w:val="22"/>
        </w:rPr>
        <w:lastRenderedPageBreak/>
        <w:t xml:space="preserve">Dados Econômico-Financeiros </w:t>
      </w:r>
    </w:p>
    <w:tbl>
      <w:tblPr>
        <w:tblStyle w:val="ListaClara-nfase11"/>
        <w:tblW w:w="5000" w:type="pct"/>
        <w:tblLook w:val="04A0" w:firstRow="1" w:lastRow="0" w:firstColumn="1" w:lastColumn="0" w:noHBand="0" w:noVBand="1"/>
      </w:tblPr>
      <w:tblGrid>
        <w:gridCol w:w="5178"/>
        <w:gridCol w:w="1655"/>
        <w:gridCol w:w="1655"/>
        <w:gridCol w:w="1650"/>
      </w:tblGrid>
      <w:tr w:rsidR="00D65056" w:rsidRPr="00085CC1" w:rsidTr="0014033F">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554" w:type="pct"/>
            <w:shd w:val="clear" w:color="auto" w:fill="0070C0"/>
            <w:vAlign w:val="center"/>
          </w:tcPr>
          <w:p w:rsidR="00D65056" w:rsidRPr="00085CC1" w:rsidRDefault="00D65056" w:rsidP="002F0DD6">
            <w:pPr>
              <w:ind w:right="-1"/>
              <w:jc w:val="center"/>
              <w:rPr>
                <w:bCs w:val="0"/>
                <w:snapToGrid w:val="0"/>
                <w:lang w:eastAsia="en-US" w:bidi="en-US"/>
              </w:rPr>
            </w:pPr>
            <w:r w:rsidRPr="00085CC1">
              <w:rPr>
                <w:rFonts w:eastAsia="Calibri"/>
                <w:bCs w:val="0"/>
                <w:lang w:eastAsia="en-US" w:bidi="en-US"/>
              </w:rPr>
              <w:t>(R$ Mil)</w:t>
            </w:r>
          </w:p>
        </w:tc>
        <w:tc>
          <w:tcPr>
            <w:tcW w:w="816" w:type="pct"/>
            <w:shd w:val="clear" w:color="auto" w:fill="0070C0"/>
            <w:vAlign w:val="center"/>
          </w:tcPr>
          <w:p w:rsidR="00D65056" w:rsidRPr="00085CC1" w:rsidRDefault="00D65056" w:rsidP="002F0DD6">
            <w:pPr>
              <w:jc w:val="center"/>
              <w:cnfStyle w:val="100000000000" w:firstRow="1" w:lastRow="0" w:firstColumn="0" w:lastColumn="0" w:oddVBand="0" w:evenVBand="0" w:oddHBand="0" w:evenHBand="0" w:firstRowFirstColumn="0" w:firstRowLastColumn="0" w:lastRowFirstColumn="0" w:lastRowLastColumn="0"/>
              <w:rPr>
                <w:bCs w:val="0"/>
                <w:snapToGrid w:val="0"/>
                <w:lang w:eastAsia="en-US" w:bidi="en-US"/>
              </w:rPr>
            </w:pPr>
            <w:r w:rsidRPr="00085CC1">
              <w:rPr>
                <w:bCs w:val="0"/>
                <w:snapToGrid w:val="0"/>
                <w:lang w:eastAsia="en-US" w:bidi="en-US"/>
              </w:rPr>
              <w:t>2015</w:t>
            </w:r>
          </w:p>
          <w:p w:rsidR="00D65056" w:rsidRPr="00085CC1" w:rsidRDefault="00D65056" w:rsidP="002F0DD6">
            <w:pPr>
              <w:jc w:val="center"/>
              <w:cnfStyle w:val="100000000000" w:firstRow="1" w:lastRow="0" w:firstColumn="0" w:lastColumn="0" w:oddVBand="0" w:evenVBand="0" w:oddHBand="0" w:evenHBand="0" w:firstRowFirstColumn="0" w:firstRowLastColumn="0" w:lastRowFirstColumn="0" w:lastRowLastColumn="0"/>
              <w:rPr>
                <w:bCs w:val="0"/>
                <w:snapToGrid w:val="0"/>
                <w:sz w:val="16"/>
                <w:szCs w:val="16"/>
                <w:lang w:eastAsia="en-US" w:bidi="en-US"/>
              </w:rPr>
            </w:pPr>
            <w:r w:rsidRPr="00085CC1">
              <w:rPr>
                <w:bCs w:val="0"/>
                <w:snapToGrid w:val="0"/>
                <w:sz w:val="16"/>
                <w:szCs w:val="16"/>
                <w:lang w:eastAsia="en-US" w:bidi="en-US"/>
              </w:rPr>
              <w:t>Reapresentado</w:t>
            </w:r>
          </w:p>
        </w:tc>
        <w:tc>
          <w:tcPr>
            <w:tcW w:w="816" w:type="pct"/>
            <w:shd w:val="clear" w:color="auto" w:fill="0070C0"/>
            <w:vAlign w:val="center"/>
          </w:tcPr>
          <w:p w:rsidR="00D65056" w:rsidRPr="00085CC1" w:rsidRDefault="00D65056" w:rsidP="009552DB">
            <w:pPr>
              <w:jc w:val="right"/>
              <w:cnfStyle w:val="100000000000" w:firstRow="1" w:lastRow="0" w:firstColumn="0" w:lastColumn="0" w:oddVBand="0" w:evenVBand="0" w:oddHBand="0" w:evenHBand="0" w:firstRowFirstColumn="0" w:firstRowLastColumn="0" w:lastRowFirstColumn="0" w:lastRowLastColumn="0"/>
              <w:rPr>
                <w:bCs w:val="0"/>
                <w:snapToGrid w:val="0"/>
                <w:lang w:eastAsia="en-US" w:bidi="en-US"/>
              </w:rPr>
            </w:pPr>
            <w:r w:rsidRPr="00085CC1">
              <w:rPr>
                <w:bCs w:val="0"/>
                <w:snapToGrid w:val="0"/>
                <w:lang w:eastAsia="en-US" w:bidi="en-US"/>
              </w:rPr>
              <w:t>2016</w:t>
            </w:r>
          </w:p>
        </w:tc>
        <w:tc>
          <w:tcPr>
            <w:tcW w:w="814" w:type="pct"/>
            <w:shd w:val="clear" w:color="auto" w:fill="0070C0"/>
            <w:vAlign w:val="center"/>
          </w:tcPr>
          <w:p w:rsidR="00D65056" w:rsidRPr="00085CC1" w:rsidRDefault="00D65056" w:rsidP="009552DB">
            <w:pPr>
              <w:jc w:val="right"/>
              <w:cnfStyle w:val="100000000000" w:firstRow="1" w:lastRow="0" w:firstColumn="0" w:lastColumn="0" w:oddVBand="0" w:evenVBand="0" w:oddHBand="0" w:evenHBand="0" w:firstRowFirstColumn="0" w:firstRowLastColumn="0" w:lastRowFirstColumn="0" w:lastRowLastColumn="0"/>
              <w:rPr>
                <w:bCs w:val="0"/>
                <w:snapToGrid w:val="0"/>
                <w:lang w:eastAsia="en-US" w:bidi="en-US"/>
              </w:rPr>
            </w:pPr>
            <w:r w:rsidRPr="00085CC1">
              <w:rPr>
                <w:bCs w:val="0"/>
                <w:snapToGrid w:val="0"/>
                <w:lang w:eastAsia="en-US" w:bidi="en-US"/>
              </w:rPr>
              <w:t>Δ (R$)</w:t>
            </w:r>
          </w:p>
        </w:tc>
      </w:tr>
      <w:tr w:rsidR="00D65056" w:rsidRPr="007E7E1D" w:rsidTr="00345D9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54" w:type="pct"/>
          </w:tcPr>
          <w:p w:rsidR="00D65056" w:rsidRPr="00345D9B" w:rsidRDefault="00D65056" w:rsidP="00345D9B">
            <w:pPr>
              <w:ind w:firstLine="142"/>
              <w:rPr>
                <w:bCs w:val="0"/>
                <w:snapToGrid w:val="0"/>
                <w:lang w:eastAsia="en-US" w:bidi="en-US"/>
              </w:rPr>
            </w:pPr>
            <w:r w:rsidRPr="00345D9B">
              <w:rPr>
                <w:bCs w:val="0"/>
                <w:snapToGrid w:val="0"/>
                <w:lang w:eastAsia="en-US" w:bidi="en-US"/>
              </w:rPr>
              <w:t>Receita Operacional Bruta</w:t>
            </w:r>
          </w:p>
        </w:tc>
        <w:tc>
          <w:tcPr>
            <w:tcW w:w="816" w:type="pct"/>
          </w:tcPr>
          <w:p w:rsidR="00D65056" w:rsidRPr="00345D9B" w:rsidRDefault="00D65056" w:rsidP="00345D9B">
            <w:pPr>
              <w:jc w:val="right"/>
              <w:cnfStyle w:val="000000100000" w:firstRow="0" w:lastRow="0" w:firstColumn="0" w:lastColumn="0" w:oddVBand="0" w:evenVBand="0" w:oddHBand="1" w:evenHBand="0" w:firstRowFirstColumn="0" w:firstRowLastColumn="0" w:lastRowFirstColumn="0" w:lastRowLastColumn="0"/>
              <w:rPr>
                <w:b/>
                <w:snapToGrid w:val="0"/>
                <w:lang w:eastAsia="en-US" w:bidi="en-US"/>
              </w:rPr>
            </w:pPr>
            <w:r w:rsidRPr="00345D9B">
              <w:rPr>
                <w:b/>
                <w:snapToGrid w:val="0"/>
                <w:lang w:eastAsia="en-US" w:bidi="en-US"/>
              </w:rPr>
              <w:t>3.934.556</w:t>
            </w:r>
          </w:p>
        </w:tc>
        <w:tc>
          <w:tcPr>
            <w:tcW w:w="816" w:type="pct"/>
          </w:tcPr>
          <w:p w:rsidR="00D65056" w:rsidRPr="00345D9B" w:rsidRDefault="00D65056" w:rsidP="00191038">
            <w:pPr>
              <w:jc w:val="right"/>
              <w:cnfStyle w:val="000000100000" w:firstRow="0" w:lastRow="0" w:firstColumn="0" w:lastColumn="0" w:oddVBand="0" w:evenVBand="0" w:oddHBand="1" w:evenHBand="0" w:firstRowFirstColumn="0" w:firstRowLastColumn="0" w:lastRowFirstColumn="0" w:lastRowLastColumn="0"/>
              <w:rPr>
                <w:b/>
                <w:snapToGrid w:val="0"/>
                <w:lang w:eastAsia="en-US" w:bidi="en-US"/>
              </w:rPr>
            </w:pPr>
            <w:r w:rsidRPr="00345D9B">
              <w:rPr>
                <w:b/>
                <w:snapToGrid w:val="0"/>
                <w:lang w:eastAsia="en-US" w:bidi="en-US"/>
              </w:rPr>
              <w:t>3.44</w:t>
            </w:r>
            <w:r w:rsidR="00191038">
              <w:rPr>
                <w:b/>
                <w:snapToGrid w:val="0"/>
                <w:lang w:eastAsia="en-US" w:bidi="en-US"/>
              </w:rPr>
              <w:t>2.356</w:t>
            </w:r>
          </w:p>
        </w:tc>
        <w:tc>
          <w:tcPr>
            <w:tcW w:w="814" w:type="pct"/>
            <w:vAlign w:val="center"/>
          </w:tcPr>
          <w:p w:rsidR="00D65056" w:rsidRPr="00345D9B" w:rsidRDefault="00655AA7" w:rsidP="00191038">
            <w:pPr>
              <w:jc w:val="right"/>
              <w:cnfStyle w:val="000000100000" w:firstRow="0" w:lastRow="0" w:firstColumn="0" w:lastColumn="0" w:oddVBand="0" w:evenVBand="0" w:oddHBand="1" w:evenHBand="0" w:firstRowFirstColumn="0" w:firstRowLastColumn="0" w:lastRowFirstColumn="0" w:lastRowLastColumn="0"/>
              <w:rPr>
                <w:b/>
                <w:color w:val="000000"/>
              </w:rPr>
            </w:pPr>
            <w:r>
              <w:rPr>
                <w:b/>
                <w:snapToGrid w:val="0"/>
                <w:color w:val="000000"/>
                <w:lang w:eastAsia="en-US" w:bidi="en-US"/>
              </w:rPr>
              <w:t>(</w:t>
            </w:r>
            <w:r w:rsidR="00D65056" w:rsidRPr="00345D9B">
              <w:rPr>
                <w:b/>
                <w:snapToGrid w:val="0"/>
                <w:color w:val="000000"/>
                <w:lang w:eastAsia="en-US" w:bidi="en-US"/>
              </w:rPr>
              <w:t>4</w:t>
            </w:r>
            <w:r w:rsidR="00191038">
              <w:rPr>
                <w:b/>
                <w:snapToGrid w:val="0"/>
                <w:color w:val="000000"/>
                <w:lang w:eastAsia="en-US" w:bidi="en-US"/>
              </w:rPr>
              <w:t>92.200</w:t>
            </w:r>
            <w:r>
              <w:rPr>
                <w:b/>
                <w:snapToGrid w:val="0"/>
                <w:color w:val="000000"/>
                <w:lang w:eastAsia="en-US" w:bidi="en-US"/>
              </w:rPr>
              <w:t>)</w:t>
            </w:r>
          </w:p>
        </w:tc>
      </w:tr>
      <w:tr w:rsidR="00D65056" w:rsidRPr="007E7E1D" w:rsidTr="00345D9B">
        <w:trPr>
          <w:trHeight w:val="170"/>
        </w:trPr>
        <w:tc>
          <w:tcPr>
            <w:cnfStyle w:val="001000000000" w:firstRow="0" w:lastRow="0" w:firstColumn="1" w:lastColumn="0" w:oddVBand="0" w:evenVBand="0" w:oddHBand="0" w:evenHBand="0" w:firstRowFirstColumn="0" w:firstRowLastColumn="0" w:lastRowFirstColumn="0" w:lastRowLastColumn="0"/>
            <w:tcW w:w="2554" w:type="pct"/>
          </w:tcPr>
          <w:p w:rsidR="00D65056" w:rsidRPr="00345D9B" w:rsidRDefault="00D65056" w:rsidP="00345D9B">
            <w:pPr>
              <w:ind w:firstLine="142"/>
              <w:rPr>
                <w:bCs w:val="0"/>
                <w:snapToGrid w:val="0"/>
                <w:lang w:eastAsia="en-US" w:bidi="en-US"/>
              </w:rPr>
            </w:pPr>
            <w:r w:rsidRPr="00345D9B">
              <w:rPr>
                <w:bCs w:val="0"/>
                <w:snapToGrid w:val="0"/>
                <w:lang w:eastAsia="en-US" w:bidi="en-US"/>
              </w:rPr>
              <w:t>Receita Operacional Líquida</w:t>
            </w:r>
          </w:p>
        </w:tc>
        <w:tc>
          <w:tcPr>
            <w:tcW w:w="816" w:type="pct"/>
          </w:tcPr>
          <w:p w:rsidR="00D65056" w:rsidRPr="00345D9B" w:rsidRDefault="00D65056" w:rsidP="00345D9B">
            <w:pPr>
              <w:jc w:val="right"/>
              <w:cnfStyle w:val="000000000000" w:firstRow="0" w:lastRow="0" w:firstColumn="0" w:lastColumn="0" w:oddVBand="0" w:evenVBand="0" w:oddHBand="0" w:evenHBand="0" w:firstRowFirstColumn="0" w:firstRowLastColumn="0" w:lastRowFirstColumn="0" w:lastRowLastColumn="0"/>
              <w:rPr>
                <w:b/>
                <w:snapToGrid w:val="0"/>
                <w:lang w:eastAsia="en-US" w:bidi="en-US"/>
              </w:rPr>
            </w:pPr>
            <w:r w:rsidRPr="00345D9B">
              <w:rPr>
                <w:b/>
                <w:snapToGrid w:val="0"/>
                <w:lang w:eastAsia="en-US" w:bidi="en-US"/>
              </w:rPr>
              <w:t>2.348.022</w:t>
            </w:r>
          </w:p>
        </w:tc>
        <w:tc>
          <w:tcPr>
            <w:tcW w:w="816" w:type="pct"/>
          </w:tcPr>
          <w:p w:rsidR="00D65056" w:rsidRPr="00345D9B" w:rsidRDefault="00D65056" w:rsidP="008F48FE">
            <w:pPr>
              <w:jc w:val="right"/>
              <w:cnfStyle w:val="000000000000" w:firstRow="0" w:lastRow="0" w:firstColumn="0" w:lastColumn="0" w:oddVBand="0" w:evenVBand="0" w:oddHBand="0" w:evenHBand="0" w:firstRowFirstColumn="0" w:firstRowLastColumn="0" w:lastRowFirstColumn="0" w:lastRowLastColumn="0"/>
              <w:rPr>
                <w:b/>
                <w:snapToGrid w:val="0"/>
                <w:lang w:eastAsia="en-US" w:bidi="en-US"/>
              </w:rPr>
            </w:pPr>
            <w:r w:rsidRPr="00453069">
              <w:rPr>
                <w:b/>
                <w:snapToGrid w:val="0"/>
                <w:lang w:eastAsia="en-US" w:bidi="en-US"/>
              </w:rPr>
              <w:t>2.05</w:t>
            </w:r>
            <w:r w:rsidR="008F48FE" w:rsidRPr="00453069">
              <w:rPr>
                <w:b/>
                <w:snapToGrid w:val="0"/>
                <w:lang w:eastAsia="en-US" w:bidi="en-US"/>
              </w:rPr>
              <w:t>2.795</w:t>
            </w:r>
          </w:p>
        </w:tc>
        <w:tc>
          <w:tcPr>
            <w:tcW w:w="814" w:type="pct"/>
            <w:vAlign w:val="center"/>
          </w:tcPr>
          <w:p w:rsidR="00D65056" w:rsidRPr="00345D9B" w:rsidRDefault="00655AA7" w:rsidP="008F48FE">
            <w:pPr>
              <w:jc w:val="right"/>
              <w:cnfStyle w:val="000000000000" w:firstRow="0" w:lastRow="0" w:firstColumn="0" w:lastColumn="0" w:oddVBand="0" w:evenVBand="0" w:oddHBand="0" w:evenHBand="0" w:firstRowFirstColumn="0" w:firstRowLastColumn="0" w:lastRowFirstColumn="0" w:lastRowLastColumn="0"/>
              <w:rPr>
                <w:b/>
                <w:color w:val="000000"/>
              </w:rPr>
            </w:pPr>
            <w:r>
              <w:rPr>
                <w:b/>
                <w:snapToGrid w:val="0"/>
                <w:color w:val="000000"/>
                <w:lang w:eastAsia="en-US" w:bidi="en-US"/>
              </w:rPr>
              <w:t>(</w:t>
            </w:r>
            <w:r w:rsidR="00D65056" w:rsidRPr="00345D9B">
              <w:rPr>
                <w:b/>
                <w:snapToGrid w:val="0"/>
                <w:color w:val="000000"/>
                <w:lang w:eastAsia="en-US" w:bidi="en-US"/>
              </w:rPr>
              <w:t>29</w:t>
            </w:r>
            <w:r w:rsidR="008F48FE">
              <w:rPr>
                <w:b/>
                <w:snapToGrid w:val="0"/>
                <w:color w:val="000000"/>
                <w:lang w:eastAsia="en-US" w:bidi="en-US"/>
              </w:rPr>
              <w:t>5</w:t>
            </w:r>
            <w:r w:rsidR="00D65056" w:rsidRPr="00345D9B">
              <w:rPr>
                <w:b/>
                <w:snapToGrid w:val="0"/>
                <w:color w:val="000000"/>
                <w:lang w:eastAsia="en-US" w:bidi="en-US"/>
              </w:rPr>
              <w:t>.</w:t>
            </w:r>
            <w:r w:rsidR="008F48FE">
              <w:rPr>
                <w:b/>
                <w:snapToGrid w:val="0"/>
                <w:color w:val="000000"/>
                <w:lang w:eastAsia="en-US" w:bidi="en-US"/>
              </w:rPr>
              <w:t>227</w:t>
            </w:r>
            <w:r>
              <w:rPr>
                <w:b/>
                <w:snapToGrid w:val="0"/>
                <w:color w:val="000000"/>
                <w:lang w:eastAsia="en-US" w:bidi="en-US"/>
              </w:rPr>
              <w:t>)</w:t>
            </w:r>
          </w:p>
        </w:tc>
      </w:tr>
      <w:tr w:rsidR="00D65056" w:rsidRPr="007E7E1D" w:rsidTr="00345D9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54" w:type="pct"/>
          </w:tcPr>
          <w:p w:rsidR="00D65056" w:rsidRPr="00345D9B" w:rsidRDefault="00D65056" w:rsidP="00345D9B">
            <w:pPr>
              <w:ind w:firstLine="142"/>
              <w:rPr>
                <w:bCs w:val="0"/>
                <w:snapToGrid w:val="0"/>
                <w:lang w:eastAsia="en-US" w:bidi="en-US"/>
              </w:rPr>
            </w:pPr>
            <w:r w:rsidRPr="00345D9B">
              <w:rPr>
                <w:bCs w:val="0"/>
                <w:snapToGrid w:val="0"/>
                <w:lang w:eastAsia="en-US" w:bidi="en-US"/>
              </w:rPr>
              <w:t>Resultado Operacional Líquido Antes dos Tributos</w:t>
            </w:r>
          </w:p>
        </w:tc>
        <w:tc>
          <w:tcPr>
            <w:tcW w:w="816" w:type="pct"/>
          </w:tcPr>
          <w:p w:rsidR="00D65056" w:rsidRPr="00345D9B" w:rsidRDefault="00D65056" w:rsidP="00345D9B">
            <w:pPr>
              <w:jc w:val="right"/>
              <w:cnfStyle w:val="000000100000" w:firstRow="0" w:lastRow="0" w:firstColumn="0" w:lastColumn="0" w:oddVBand="0" w:evenVBand="0" w:oddHBand="1" w:evenHBand="0" w:firstRowFirstColumn="0" w:firstRowLastColumn="0" w:lastRowFirstColumn="0" w:lastRowLastColumn="0"/>
              <w:rPr>
                <w:b/>
                <w:snapToGrid w:val="0"/>
                <w:lang w:eastAsia="en-US" w:bidi="en-US"/>
              </w:rPr>
            </w:pPr>
            <w:r w:rsidRPr="00345D9B">
              <w:rPr>
                <w:b/>
                <w:snapToGrid w:val="0"/>
                <w:lang w:eastAsia="en-US" w:bidi="en-US"/>
              </w:rPr>
              <w:t>89.128</w:t>
            </w:r>
          </w:p>
        </w:tc>
        <w:tc>
          <w:tcPr>
            <w:tcW w:w="816" w:type="pct"/>
          </w:tcPr>
          <w:p w:rsidR="00D65056" w:rsidRPr="00345D9B" w:rsidRDefault="00D65056" w:rsidP="00345D9B">
            <w:pPr>
              <w:jc w:val="right"/>
              <w:cnfStyle w:val="000000100000" w:firstRow="0" w:lastRow="0" w:firstColumn="0" w:lastColumn="0" w:oddVBand="0" w:evenVBand="0" w:oddHBand="1" w:evenHBand="0" w:firstRowFirstColumn="0" w:firstRowLastColumn="0" w:lastRowFirstColumn="0" w:lastRowLastColumn="0"/>
              <w:rPr>
                <w:b/>
                <w:snapToGrid w:val="0"/>
                <w:lang w:eastAsia="en-US" w:bidi="en-US"/>
              </w:rPr>
            </w:pPr>
            <w:r w:rsidRPr="00345D9B">
              <w:rPr>
                <w:b/>
                <w:snapToGrid w:val="0"/>
                <w:lang w:eastAsia="en-US" w:bidi="en-US"/>
              </w:rPr>
              <w:t>34.346</w:t>
            </w:r>
          </w:p>
        </w:tc>
        <w:tc>
          <w:tcPr>
            <w:tcW w:w="814" w:type="pct"/>
            <w:vAlign w:val="center"/>
          </w:tcPr>
          <w:p w:rsidR="00D65056" w:rsidRPr="00345D9B" w:rsidRDefault="00655AA7"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Pr>
                <w:b/>
                <w:snapToGrid w:val="0"/>
                <w:color w:val="000000"/>
                <w:lang w:eastAsia="en-US" w:bidi="en-US"/>
              </w:rPr>
              <w:t>(</w:t>
            </w:r>
            <w:r w:rsidR="00D65056" w:rsidRPr="00345D9B">
              <w:rPr>
                <w:b/>
                <w:snapToGrid w:val="0"/>
                <w:color w:val="000000"/>
                <w:lang w:eastAsia="en-US" w:bidi="en-US"/>
              </w:rPr>
              <w:t>54.782</w:t>
            </w:r>
            <w:r>
              <w:rPr>
                <w:b/>
                <w:snapToGrid w:val="0"/>
                <w:color w:val="000000"/>
                <w:lang w:eastAsia="en-US" w:bidi="en-US"/>
              </w:rPr>
              <w:t>)</w:t>
            </w:r>
          </w:p>
        </w:tc>
      </w:tr>
      <w:tr w:rsidR="00D65056" w:rsidRPr="007E7E1D" w:rsidTr="00345D9B">
        <w:trPr>
          <w:trHeight w:val="170"/>
        </w:trPr>
        <w:tc>
          <w:tcPr>
            <w:cnfStyle w:val="001000000000" w:firstRow="0" w:lastRow="0" w:firstColumn="1" w:lastColumn="0" w:oddVBand="0" w:evenVBand="0" w:oddHBand="0" w:evenHBand="0" w:firstRowFirstColumn="0" w:firstRowLastColumn="0" w:lastRowFirstColumn="0" w:lastRowLastColumn="0"/>
            <w:tcW w:w="2554" w:type="pct"/>
          </w:tcPr>
          <w:p w:rsidR="00D65056" w:rsidRPr="00345D9B" w:rsidRDefault="00D65056" w:rsidP="00345D9B">
            <w:pPr>
              <w:ind w:firstLine="142"/>
              <w:rPr>
                <w:bCs w:val="0"/>
                <w:snapToGrid w:val="0"/>
                <w:lang w:eastAsia="en-US" w:bidi="en-US"/>
              </w:rPr>
            </w:pPr>
            <w:r w:rsidRPr="00345D9B">
              <w:rPr>
                <w:bCs w:val="0"/>
                <w:snapToGrid w:val="0"/>
                <w:lang w:eastAsia="en-US" w:bidi="en-US"/>
              </w:rPr>
              <w:t>EBITDA</w:t>
            </w:r>
            <w:r w:rsidR="00345D9B">
              <w:rPr>
                <w:bCs w:val="0"/>
                <w:snapToGrid w:val="0"/>
                <w:lang w:eastAsia="en-US" w:bidi="en-US"/>
              </w:rPr>
              <w:t xml:space="preserve"> (LAJIDA)</w:t>
            </w:r>
          </w:p>
        </w:tc>
        <w:tc>
          <w:tcPr>
            <w:tcW w:w="816" w:type="pct"/>
          </w:tcPr>
          <w:p w:rsidR="00D65056" w:rsidRPr="00345D9B" w:rsidRDefault="00D65056" w:rsidP="00345D9B">
            <w:pPr>
              <w:jc w:val="right"/>
              <w:cnfStyle w:val="000000000000" w:firstRow="0" w:lastRow="0" w:firstColumn="0" w:lastColumn="0" w:oddVBand="0" w:evenVBand="0" w:oddHBand="0" w:evenHBand="0" w:firstRowFirstColumn="0" w:firstRowLastColumn="0" w:lastRowFirstColumn="0" w:lastRowLastColumn="0"/>
              <w:rPr>
                <w:b/>
                <w:snapToGrid w:val="0"/>
                <w:lang w:eastAsia="en-US" w:bidi="en-US"/>
              </w:rPr>
            </w:pPr>
            <w:r w:rsidRPr="00345D9B">
              <w:rPr>
                <w:b/>
                <w:snapToGrid w:val="0"/>
                <w:lang w:eastAsia="en-US" w:bidi="en-US"/>
              </w:rPr>
              <w:t>256.053</w:t>
            </w:r>
          </w:p>
        </w:tc>
        <w:tc>
          <w:tcPr>
            <w:tcW w:w="816" w:type="pct"/>
          </w:tcPr>
          <w:p w:rsidR="00D65056" w:rsidRPr="00345D9B" w:rsidRDefault="00D65056" w:rsidP="00345D9B">
            <w:pPr>
              <w:jc w:val="right"/>
              <w:cnfStyle w:val="000000000000" w:firstRow="0" w:lastRow="0" w:firstColumn="0" w:lastColumn="0" w:oddVBand="0" w:evenVBand="0" w:oddHBand="0" w:evenHBand="0" w:firstRowFirstColumn="0" w:firstRowLastColumn="0" w:lastRowFirstColumn="0" w:lastRowLastColumn="0"/>
              <w:rPr>
                <w:b/>
                <w:snapToGrid w:val="0"/>
                <w:lang w:eastAsia="en-US" w:bidi="en-US"/>
              </w:rPr>
            </w:pPr>
            <w:r w:rsidRPr="00345D9B">
              <w:rPr>
                <w:b/>
                <w:snapToGrid w:val="0"/>
                <w:lang w:eastAsia="en-US" w:bidi="en-US"/>
              </w:rPr>
              <w:t>125.599</w:t>
            </w:r>
          </w:p>
        </w:tc>
        <w:tc>
          <w:tcPr>
            <w:tcW w:w="814" w:type="pct"/>
          </w:tcPr>
          <w:p w:rsidR="00D65056" w:rsidRPr="00345D9B" w:rsidRDefault="00655AA7" w:rsidP="00345D9B">
            <w:pPr>
              <w:jc w:val="right"/>
              <w:cnfStyle w:val="000000000000" w:firstRow="0" w:lastRow="0" w:firstColumn="0" w:lastColumn="0" w:oddVBand="0" w:evenVBand="0" w:oddHBand="0" w:evenHBand="0" w:firstRowFirstColumn="0" w:firstRowLastColumn="0" w:lastRowFirstColumn="0" w:lastRowLastColumn="0"/>
              <w:rPr>
                <w:b/>
                <w:snapToGrid w:val="0"/>
                <w:lang w:eastAsia="en-US" w:bidi="en-US"/>
              </w:rPr>
            </w:pPr>
            <w:r>
              <w:rPr>
                <w:b/>
                <w:snapToGrid w:val="0"/>
                <w:lang w:eastAsia="en-US" w:bidi="en-US"/>
              </w:rPr>
              <w:t>(</w:t>
            </w:r>
            <w:r w:rsidR="00D65056" w:rsidRPr="00345D9B">
              <w:rPr>
                <w:b/>
                <w:snapToGrid w:val="0"/>
                <w:lang w:eastAsia="en-US" w:bidi="en-US"/>
              </w:rPr>
              <w:t>130.454</w:t>
            </w:r>
            <w:r>
              <w:rPr>
                <w:b/>
                <w:snapToGrid w:val="0"/>
                <w:lang w:eastAsia="en-US" w:bidi="en-US"/>
              </w:rPr>
              <w:t>)</w:t>
            </w:r>
          </w:p>
        </w:tc>
      </w:tr>
      <w:tr w:rsidR="00D65056" w:rsidRPr="009552DB" w:rsidTr="00345D9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54" w:type="pct"/>
          </w:tcPr>
          <w:p w:rsidR="00D65056" w:rsidRPr="009552DB" w:rsidRDefault="00D65056" w:rsidP="00345D9B">
            <w:pPr>
              <w:ind w:firstLine="142"/>
              <w:rPr>
                <w:bCs w:val="0"/>
                <w:snapToGrid w:val="0"/>
                <w:lang w:eastAsia="en-US" w:bidi="en-US"/>
              </w:rPr>
            </w:pPr>
            <w:r w:rsidRPr="009552DB">
              <w:rPr>
                <w:bCs w:val="0"/>
                <w:snapToGrid w:val="0"/>
                <w:lang w:eastAsia="en-US" w:bidi="en-US"/>
              </w:rPr>
              <w:t>Lucro Líquido (Prejuízo)</w:t>
            </w:r>
          </w:p>
        </w:tc>
        <w:tc>
          <w:tcPr>
            <w:tcW w:w="816" w:type="pct"/>
          </w:tcPr>
          <w:p w:rsidR="00D65056" w:rsidRPr="009552DB" w:rsidRDefault="00D65056" w:rsidP="00345D9B">
            <w:pPr>
              <w:jc w:val="right"/>
              <w:cnfStyle w:val="000000100000" w:firstRow="0" w:lastRow="0" w:firstColumn="0" w:lastColumn="0" w:oddVBand="0" w:evenVBand="0" w:oddHBand="1" w:evenHBand="0" w:firstRowFirstColumn="0" w:firstRowLastColumn="0" w:lastRowFirstColumn="0" w:lastRowLastColumn="0"/>
              <w:rPr>
                <w:b/>
                <w:snapToGrid w:val="0"/>
                <w:lang w:eastAsia="en-US" w:bidi="en-US"/>
              </w:rPr>
            </w:pPr>
            <w:r w:rsidRPr="009552DB">
              <w:rPr>
                <w:b/>
                <w:snapToGrid w:val="0"/>
                <w:lang w:eastAsia="en-US" w:bidi="en-US"/>
              </w:rPr>
              <w:t>36.446</w:t>
            </w:r>
          </w:p>
        </w:tc>
        <w:tc>
          <w:tcPr>
            <w:tcW w:w="816" w:type="pct"/>
          </w:tcPr>
          <w:p w:rsidR="00D65056" w:rsidRPr="009552DB" w:rsidRDefault="00D65056" w:rsidP="00345D9B">
            <w:pPr>
              <w:jc w:val="right"/>
              <w:cnfStyle w:val="000000100000" w:firstRow="0" w:lastRow="0" w:firstColumn="0" w:lastColumn="0" w:oddVBand="0" w:evenVBand="0" w:oddHBand="1" w:evenHBand="0" w:firstRowFirstColumn="0" w:firstRowLastColumn="0" w:lastRowFirstColumn="0" w:lastRowLastColumn="0"/>
              <w:rPr>
                <w:b/>
                <w:snapToGrid w:val="0"/>
                <w:lang w:eastAsia="en-US" w:bidi="en-US"/>
              </w:rPr>
            </w:pPr>
            <w:r w:rsidRPr="009552DB">
              <w:rPr>
                <w:b/>
                <w:snapToGrid w:val="0"/>
                <w:lang w:eastAsia="en-US" w:bidi="en-US"/>
              </w:rPr>
              <w:t>50.270</w:t>
            </w:r>
          </w:p>
        </w:tc>
        <w:tc>
          <w:tcPr>
            <w:tcW w:w="814" w:type="pct"/>
            <w:vAlign w:val="center"/>
          </w:tcPr>
          <w:p w:rsidR="00D65056" w:rsidRPr="009552DB" w:rsidRDefault="00D65056"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sidRPr="009552DB">
              <w:rPr>
                <w:b/>
                <w:snapToGrid w:val="0"/>
                <w:color w:val="000000"/>
                <w:lang w:eastAsia="en-US" w:bidi="en-US"/>
              </w:rPr>
              <w:t>13.824</w:t>
            </w:r>
          </w:p>
        </w:tc>
      </w:tr>
      <w:tr w:rsidR="00D65056" w:rsidRPr="009552DB" w:rsidTr="00345D9B">
        <w:trPr>
          <w:trHeight w:val="170"/>
        </w:trPr>
        <w:tc>
          <w:tcPr>
            <w:cnfStyle w:val="001000000000" w:firstRow="0" w:lastRow="0" w:firstColumn="1" w:lastColumn="0" w:oddVBand="0" w:evenVBand="0" w:oddHBand="0" w:evenHBand="0" w:firstRowFirstColumn="0" w:firstRowLastColumn="0" w:lastRowFirstColumn="0" w:lastRowLastColumn="0"/>
            <w:tcW w:w="2554" w:type="pct"/>
          </w:tcPr>
          <w:p w:rsidR="00D65056" w:rsidRPr="009552DB" w:rsidRDefault="00D65056" w:rsidP="00345D9B">
            <w:pPr>
              <w:ind w:firstLine="142"/>
              <w:rPr>
                <w:bCs w:val="0"/>
                <w:snapToGrid w:val="0"/>
                <w:lang w:eastAsia="en-US" w:bidi="en-US"/>
              </w:rPr>
            </w:pPr>
            <w:r w:rsidRPr="009552DB">
              <w:rPr>
                <w:bCs w:val="0"/>
                <w:snapToGrid w:val="0"/>
                <w:lang w:eastAsia="en-US" w:bidi="en-US"/>
              </w:rPr>
              <w:t>Patrimônio Líquido</w:t>
            </w:r>
          </w:p>
        </w:tc>
        <w:tc>
          <w:tcPr>
            <w:tcW w:w="816" w:type="pct"/>
          </w:tcPr>
          <w:p w:rsidR="00D65056" w:rsidRPr="009552DB" w:rsidRDefault="00D65056" w:rsidP="00345D9B">
            <w:pPr>
              <w:jc w:val="right"/>
              <w:cnfStyle w:val="000000000000" w:firstRow="0" w:lastRow="0" w:firstColumn="0" w:lastColumn="0" w:oddVBand="0" w:evenVBand="0" w:oddHBand="0" w:evenHBand="0" w:firstRowFirstColumn="0" w:firstRowLastColumn="0" w:lastRowFirstColumn="0" w:lastRowLastColumn="0"/>
              <w:rPr>
                <w:b/>
                <w:snapToGrid w:val="0"/>
                <w:lang w:eastAsia="en-US" w:bidi="en-US"/>
              </w:rPr>
            </w:pPr>
            <w:r w:rsidRPr="009552DB">
              <w:rPr>
                <w:b/>
                <w:snapToGrid w:val="0"/>
                <w:lang w:eastAsia="en-US" w:bidi="en-US"/>
              </w:rPr>
              <w:t>308.875</w:t>
            </w:r>
          </w:p>
        </w:tc>
        <w:tc>
          <w:tcPr>
            <w:tcW w:w="816" w:type="pct"/>
          </w:tcPr>
          <w:p w:rsidR="00D65056" w:rsidRPr="009552DB" w:rsidRDefault="00D65056" w:rsidP="00345D9B">
            <w:pPr>
              <w:jc w:val="right"/>
              <w:cnfStyle w:val="000000000000" w:firstRow="0" w:lastRow="0" w:firstColumn="0" w:lastColumn="0" w:oddVBand="0" w:evenVBand="0" w:oddHBand="0" w:evenHBand="0" w:firstRowFirstColumn="0" w:firstRowLastColumn="0" w:lastRowFirstColumn="0" w:lastRowLastColumn="0"/>
              <w:rPr>
                <w:b/>
                <w:snapToGrid w:val="0"/>
                <w:lang w:eastAsia="en-US" w:bidi="en-US"/>
              </w:rPr>
            </w:pPr>
            <w:r w:rsidRPr="009552DB">
              <w:rPr>
                <w:b/>
                <w:snapToGrid w:val="0"/>
                <w:lang w:eastAsia="en-US" w:bidi="en-US"/>
              </w:rPr>
              <w:t>359.180</w:t>
            </w:r>
          </w:p>
        </w:tc>
        <w:tc>
          <w:tcPr>
            <w:tcW w:w="814" w:type="pct"/>
            <w:vAlign w:val="center"/>
          </w:tcPr>
          <w:p w:rsidR="00D65056" w:rsidRPr="009552DB" w:rsidRDefault="00D65056" w:rsidP="00345D9B">
            <w:pPr>
              <w:jc w:val="right"/>
              <w:cnfStyle w:val="000000000000" w:firstRow="0" w:lastRow="0" w:firstColumn="0" w:lastColumn="0" w:oddVBand="0" w:evenVBand="0" w:oddHBand="0" w:evenHBand="0" w:firstRowFirstColumn="0" w:firstRowLastColumn="0" w:lastRowFirstColumn="0" w:lastRowLastColumn="0"/>
              <w:rPr>
                <w:b/>
                <w:color w:val="000000"/>
              </w:rPr>
            </w:pPr>
            <w:r w:rsidRPr="009552DB">
              <w:rPr>
                <w:b/>
                <w:snapToGrid w:val="0"/>
                <w:color w:val="000000"/>
                <w:lang w:eastAsia="en-US" w:bidi="en-US"/>
              </w:rPr>
              <w:t>50.305</w:t>
            </w:r>
          </w:p>
        </w:tc>
      </w:tr>
    </w:tbl>
    <w:p w:rsidR="00D65056" w:rsidRPr="007E7E1D" w:rsidRDefault="00D65056" w:rsidP="00D65056">
      <w:pPr>
        <w:spacing w:before="40" w:after="240"/>
        <w:rPr>
          <w:rFonts w:eastAsia="Calibri"/>
          <w:b/>
          <w:bCs/>
          <w:sz w:val="16"/>
          <w:szCs w:val="16"/>
        </w:rPr>
      </w:pPr>
      <w:r w:rsidRPr="009552DB">
        <w:rPr>
          <w:rFonts w:eastAsia="Calibri"/>
          <w:b/>
          <w:bCs/>
          <w:sz w:val="16"/>
          <w:szCs w:val="16"/>
        </w:rPr>
        <w:t>Fonte: Demonstrações Contábeis da CEB Distribuição S.A.</w:t>
      </w:r>
    </w:p>
    <w:p w:rsidR="003071A5" w:rsidRPr="00345D9B" w:rsidRDefault="0048766A" w:rsidP="003071A5">
      <w:pPr>
        <w:spacing w:before="240"/>
        <w:jc w:val="both"/>
        <w:rPr>
          <w:sz w:val="22"/>
          <w:szCs w:val="22"/>
        </w:rPr>
      </w:pPr>
      <w:r w:rsidRPr="00345D9B">
        <w:rPr>
          <w:sz w:val="22"/>
          <w:szCs w:val="22"/>
        </w:rPr>
        <w:t>No exercício de 201</w:t>
      </w:r>
      <w:r w:rsidR="00345D9B" w:rsidRPr="00345D9B">
        <w:rPr>
          <w:sz w:val="22"/>
          <w:szCs w:val="22"/>
        </w:rPr>
        <w:t>6</w:t>
      </w:r>
      <w:r w:rsidRPr="00345D9B">
        <w:rPr>
          <w:sz w:val="22"/>
          <w:szCs w:val="22"/>
        </w:rPr>
        <w:t>,</w:t>
      </w:r>
      <w:r w:rsidR="003071A5" w:rsidRPr="00345D9B">
        <w:rPr>
          <w:sz w:val="22"/>
          <w:szCs w:val="22"/>
        </w:rPr>
        <w:t xml:space="preserve"> apesar </w:t>
      </w:r>
      <w:r w:rsidR="002B5CF1">
        <w:rPr>
          <w:sz w:val="22"/>
          <w:szCs w:val="22"/>
        </w:rPr>
        <w:t>d</w:t>
      </w:r>
      <w:r w:rsidR="00345D9B" w:rsidRPr="00345D9B">
        <w:rPr>
          <w:sz w:val="22"/>
          <w:szCs w:val="22"/>
        </w:rPr>
        <w:t>a continuidade do</w:t>
      </w:r>
      <w:r w:rsidR="003071A5" w:rsidRPr="00345D9B">
        <w:rPr>
          <w:sz w:val="22"/>
          <w:szCs w:val="22"/>
        </w:rPr>
        <w:t xml:space="preserve"> cenário de recessão econômica que afetou o consumo de energia,</w:t>
      </w:r>
      <w:r w:rsidRPr="00345D9B">
        <w:rPr>
          <w:sz w:val="22"/>
          <w:szCs w:val="22"/>
        </w:rPr>
        <w:t xml:space="preserve"> </w:t>
      </w:r>
      <w:r w:rsidR="00D65282" w:rsidRPr="00345D9B">
        <w:rPr>
          <w:sz w:val="22"/>
          <w:szCs w:val="22"/>
        </w:rPr>
        <w:t>a CEB Distribuição S.A. registrou</w:t>
      </w:r>
      <w:r w:rsidRPr="00345D9B">
        <w:rPr>
          <w:sz w:val="22"/>
          <w:szCs w:val="22"/>
        </w:rPr>
        <w:t xml:space="preserve"> um lucro expressivo de </w:t>
      </w:r>
      <w:r w:rsidR="003071A5" w:rsidRPr="00345D9B">
        <w:rPr>
          <w:sz w:val="22"/>
          <w:szCs w:val="22"/>
        </w:rPr>
        <w:t xml:space="preserve">R$ </w:t>
      </w:r>
      <w:r w:rsidR="00345D9B" w:rsidRPr="00345D9B">
        <w:rPr>
          <w:sz w:val="22"/>
          <w:szCs w:val="22"/>
        </w:rPr>
        <w:t>50</w:t>
      </w:r>
      <w:r w:rsidRPr="00345D9B">
        <w:rPr>
          <w:sz w:val="22"/>
          <w:szCs w:val="22"/>
        </w:rPr>
        <w:t>.</w:t>
      </w:r>
      <w:r w:rsidR="00345D9B" w:rsidRPr="00345D9B">
        <w:rPr>
          <w:sz w:val="22"/>
          <w:szCs w:val="22"/>
        </w:rPr>
        <w:t>270</w:t>
      </w:r>
      <w:r w:rsidRPr="00345D9B">
        <w:rPr>
          <w:sz w:val="22"/>
          <w:szCs w:val="22"/>
        </w:rPr>
        <w:t xml:space="preserve"> </w:t>
      </w:r>
      <w:r w:rsidR="003071A5" w:rsidRPr="00345D9B">
        <w:rPr>
          <w:sz w:val="22"/>
          <w:szCs w:val="22"/>
        </w:rPr>
        <w:t>mil</w:t>
      </w:r>
      <w:r w:rsidRPr="00345D9B">
        <w:rPr>
          <w:sz w:val="22"/>
          <w:szCs w:val="22"/>
        </w:rPr>
        <w:t xml:space="preserve">, </w:t>
      </w:r>
      <w:r w:rsidR="003071A5" w:rsidRPr="00345D9B">
        <w:rPr>
          <w:sz w:val="22"/>
          <w:szCs w:val="22"/>
        </w:rPr>
        <w:t>resultado superior</w:t>
      </w:r>
      <w:r w:rsidRPr="00345D9B">
        <w:rPr>
          <w:sz w:val="22"/>
          <w:szCs w:val="22"/>
        </w:rPr>
        <w:t xml:space="preserve"> </w:t>
      </w:r>
      <w:r w:rsidR="00345D9B" w:rsidRPr="00345D9B">
        <w:rPr>
          <w:sz w:val="22"/>
          <w:szCs w:val="22"/>
        </w:rPr>
        <w:t>àquele alcançado em 2015 (R$ 36.446 mil)</w:t>
      </w:r>
      <w:r w:rsidRPr="00345D9B">
        <w:rPr>
          <w:sz w:val="22"/>
          <w:szCs w:val="22"/>
        </w:rPr>
        <w:t>.</w:t>
      </w:r>
    </w:p>
    <w:p w:rsidR="002B5CF1" w:rsidRPr="002B5CF1" w:rsidRDefault="00345D9B" w:rsidP="003071A5">
      <w:pPr>
        <w:spacing w:before="240"/>
        <w:jc w:val="both"/>
        <w:rPr>
          <w:sz w:val="22"/>
          <w:szCs w:val="22"/>
        </w:rPr>
      </w:pPr>
      <w:r w:rsidRPr="002B5CF1">
        <w:rPr>
          <w:sz w:val="22"/>
          <w:szCs w:val="22"/>
        </w:rPr>
        <w:t>Por sua vez, em 2016, registrou-se um EBITDA (LAJIDA</w:t>
      </w:r>
      <w:r w:rsidR="00690BCF">
        <w:rPr>
          <w:sz w:val="22"/>
          <w:szCs w:val="22"/>
        </w:rPr>
        <w:t>)</w:t>
      </w:r>
      <w:r w:rsidR="00DA4E73">
        <w:rPr>
          <w:sz w:val="22"/>
          <w:szCs w:val="22"/>
        </w:rPr>
        <w:t xml:space="preserve"> </w:t>
      </w:r>
      <w:r w:rsidRPr="002B5CF1">
        <w:rPr>
          <w:sz w:val="22"/>
          <w:szCs w:val="22"/>
        </w:rPr>
        <w:t xml:space="preserve">no montante de R$ </w:t>
      </w:r>
      <w:r w:rsidR="00690BCF">
        <w:rPr>
          <w:sz w:val="22"/>
          <w:szCs w:val="22"/>
        </w:rPr>
        <w:t xml:space="preserve">125.599 </w:t>
      </w:r>
      <w:r w:rsidRPr="002B5CF1">
        <w:rPr>
          <w:sz w:val="22"/>
          <w:szCs w:val="22"/>
        </w:rPr>
        <w:t>mil, inferior ao apurado em 2015</w:t>
      </w:r>
      <w:r w:rsidR="0075333C">
        <w:rPr>
          <w:sz w:val="22"/>
          <w:szCs w:val="22"/>
        </w:rPr>
        <w:t>,</w:t>
      </w:r>
      <w:r w:rsidRPr="002B5CF1">
        <w:rPr>
          <w:sz w:val="22"/>
          <w:szCs w:val="22"/>
        </w:rPr>
        <w:t xml:space="preserve"> no valor de R$ </w:t>
      </w:r>
      <w:r w:rsidR="00690BCF">
        <w:rPr>
          <w:sz w:val="22"/>
          <w:szCs w:val="22"/>
        </w:rPr>
        <w:t>256.053</w:t>
      </w:r>
      <w:r w:rsidRPr="002B5CF1">
        <w:rPr>
          <w:sz w:val="22"/>
          <w:szCs w:val="22"/>
        </w:rPr>
        <w:t xml:space="preserve"> mil.</w:t>
      </w:r>
    </w:p>
    <w:p w:rsidR="004B4F9D" w:rsidRDefault="004B4F9D" w:rsidP="004B4F9D">
      <w:pPr>
        <w:spacing w:before="240"/>
        <w:jc w:val="both"/>
        <w:rPr>
          <w:sz w:val="22"/>
          <w:szCs w:val="22"/>
        </w:rPr>
      </w:pPr>
      <w:r>
        <w:rPr>
          <w:sz w:val="22"/>
          <w:szCs w:val="22"/>
        </w:rPr>
        <w:t>Note-se</w:t>
      </w:r>
      <w:r w:rsidR="002B5CF1" w:rsidRPr="002B5CF1">
        <w:rPr>
          <w:sz w:val="22"/>
          <w:szCs w:val="22"/>
        </w:rPr>
        <w:t xml:space="preserve"> que em 2015, esse agregado</w:t>
      </w:r>
      <w:r w:rsidR="003071A5" w:rsidRPr="002B5CF1">
        <w:rPr>
          <w:sz w:val="22"/>
          <w:szCs w:val="22"/>
        </w:rPr>
        <w:t xml:space="preserve"> </w:t>
      </w:r>
      <w:r w:rsidR="0048766A" w:rsidRPr="002B5CF1">
        <w:rPr>
          <w:sz w:val="22"/>
          <w:szCs w:val="22"/>
        </w:rPr>
        <w:t xml:space="preserve">foi </w:t>
      </w:r>
      <w:r w:rsidR="003071A5" w:rsidRPr="002B5CF1">
        <w:rPr>
          <w:sz w:val="22"/>
          <w:szCs w:val="22"/>
        </w:rPr>
        <w:t>influenciado</w:t>
      </w:r>
      <w:r w:rsidR="0075333C">
        <w:rPr>
          <w:sz w:val="22"/>
          <w:szCs w:val="22"/>
        </w:rPr>
        <w:t>,</w:t>
      </w:r>
      <w:r w:rsidR="002B5CF1" w:rsidRPr="002B5CF1">
        <w:rPr>
          <w:sz w:val="22"/>
          <w:szCs w:val="22"/>
        </w:rPr>
        <w:t xml:space="preserve"> positivamente</w:t>
      </w:r>
      <w:r w:rsidR="0048766A" w:rsidRPr="002B5CF1">
        <w:rPr>
          <w:sz w:val="22"/>
          <w:szCs w:val="22"/>
        </w:rPr>
        <w:t>, pri</w:t>
      </w:r>
      <w:r w:rsidR="003071A5" w:rsidRPr="002B5CF1">
        <w:rPr>
          <w:sz w:val="22"/>
          <w:szCs w:val="22"/>
        </w:rPr>
        <w:t>ncipal</w:t>
      </w:r>
      <w:r w:rsidR="0048766A" w:rsidRPr="002B5CF1">
        <w:rPr>
          <w:sz w:val="22"/>
          <w:szCs w:val="22"/>
        </w:rPr>
        <w:t>mente, pel</w:t>
      </w:r>
      <w:r w:rsidR="00D65282" w:rsidRPr="002B5CF1">
        <w:rPr>
          <w:sz w:val="22"/>
          <w:szCs w:val="22"/>
        </w:rPr>
        <w:t>a</w:t>
      </w:r>
      <w:r w:rsidR="0048766A" w:rsidRPr="002B5CF1">
        <w:rPr>
          <w:sz w:val="22"/>
          <w:szCs w:val="22"/>
        </w:rPr>
        <w:t xml:space="preserve"> </w:t>
      </w:r>
      <w:r w:rsidR="003071A5" w:rsidRPr="002B5CF1">
        <w:rPr>
          <w:sz w:val="22"/>
          <w:szCs w:val="22"/>
        </w:rPr>
        <w:t>r</w:t>
      </w:r>
      <w:r w:rsidR="0048766A" w:rsidRPr="002B5CF1">
        <w:rPr>
          <w:sz w:val="22"/>
          <w:szCs w:val="22"/>
        </w:rPr>
        <w:t xml:space="preserve">eversão do </w:t>
      </w:r>
      <w:r w:rsidR="002B5CF1" w:rsidRPr="002B5CF1">
        <w:rPr>
          <w:sz w:val="22"/>
          <w:szCs w:val="22"/>
        </w:rPr>
        <w:t>P</w:t>
      </w:r>
      <w:r w:rsidR="0048766A" w:rsidRPr="002B5CF1">
        <w:rPr>
          <w:sz w:val="22"/>
          <w:szCs w:val="22"/>
        </w:rPr>
        <w:t xml:space="preserve">lano </w:t>
      </w:r>
      <w:r w:rsidR="002B5CF1" w:rsidRPr="002B5CF1">
        <w:rPr>
          <w:sz w:val="22"/>
          <w:szCs w:val="22"/>
        </w:rPr>
        <w:t>A</w:t>
      </w:r>
      <w:r w:rsidR="0048766A" w:rsidRPr="002B5CF1">
        <w:rPr>
          <w:sz w:val="22"/>
          <w:szCs w:val="22"/>
        </w:rPr>
        <w:t>ssistencial</w:t>
      </w:r>
      <w:r w:rsidR="002B5CF1" w:rsidRPr="002B5CF1">
        <w:rPr>
          <w:sz w:val="22"/>
          <w:szCs w:val="22"/>
        </w:rPr>
        <w:t>,</w:t>
      </w:r>
      <w:r w:rsidR="0048766A" w:rsidRPr="002B5CF1">
        <w:rPr>
          <w:sz w:val="22"/>
          <w:szCs w:val="22"/>
        </w:rPr>
        <w:t xml:space="preserve"> no valor de R$ 90.712 mil, decorrente da Ação Direta de Inconstitucionalidade – ADI </w:t>
      </w:r>
      <w:r w:rsidR="00B01CC3">
        <w:rPr>
          <w:sz w:val="22"/>
          <w:szCs w:val="22"/>
        </w:rPr>
        <w:t xml:space="preserve">                  </w:t>
      </w:r>
      <w:r w:rsidR="0048766A" w:rsidRPr="002B5CF1">
        <w:rPr>
          <w:sz w:val="22"/>
          <w:szCs w:val="22"/>
        </w:rPr>
        <w:t>nº 2014002032055-2</w:t>
      </w:r>
      <w:r w:rsidR="002B5CF1" w:rsidRPr="002B5CF1">
        <w:rPr>
          <w:sz w:val="22"/>
          <w:szCs w:val="22"/>
        </w:rPr>
        <w:t>; e pela</w:t>
      </w:r>
      <w:r w:rsidR="0027434B" w:rsidRPr="002B5CF1">
        <w:rPr>
          <w:sz w:val="22"/>
          <w:szCs w:val="22"/>
        </w:rPr>
        <w:t xml:space="preserve"> atualização do </w:t>
      </w:r>
      <w:r w:rsidR="002B5CF1" w:rsidRPr="002B5CF1">
        <w:rPr>
          <w:sz w:val="22"/>
          <w:szCs w:val="22"/>
        </w:rPr>
        <w:t>A</w:t>
      </w:r>
      <w:r w:rsidR="0027434B" w:rsidRPr="002B5CF1">
        <w:rPr>
          <w:sz w:val="22"/>
          <w:szCs w:val="22"/>
        </w:rPr>
        <w:t>tiv</w:t>
      </w:r>
      <w:r w:rsidR="002B5CF1" w:rsidRPr="002B5CF1">
        <w:rPr>
          <w:sz w:val="22"/>
          <w:szCs w:val="22"/>
        </w:rPr>
        <w:t>o Financeiro da Concessão – VNR, cujo</w:t>
      </w:r>
      <w:r w:rsidR="0027434B" w:rsidRPr="002B5CF1">
        <w:rPr>
          <w:sz w:val="22"/>
          <w:szCs w:val="22"/>
        </w:rPr>
        <w:t xml:space="preserve"> indexador passou a ser o IPCA e não mais o IGP-</w:t>
      </w:r>
      <w:proofErr w:type="gramStart"/>
      <w:r w:rsidR="0027434B" w:rsidRPr="002B5CF1">
        <w:rPr>
          <w:sz w:val="22"/>
          <w:szCs w:val="22"/>
        </w:rPr>
        <w:t>M .</w:t>
      </w:r>
      <w:proofErr w:type="gramEnd"/>
      <w:r w:rsidR="0027434B" w:rsidRPr="002B5CF1">
        <w:rPr>
          <w:sz w:val="22"/>
          <w:szCs w:val="22"/>
        </w:rPr>
        <w:t xml:space="preserve"> Esta alteração </w:t>
      </w:r>
      <w:r w:rsidR="00782660" w:rsidRPr="002B5CF1">
        <w:rPr>
          <w:sz w:val="22"/>
          <w:szCs w:val="22"/>
        </w:rPr>
        <w:t xml:space="preserve">contribuiu para </w:t>
      </w:r>
      <w:r w:rsidR="0027434B" w:rsidRPr="002B5CF1">
        <w:rPr>
          <w:sz w:val="22"/>
          <w:szCs w:val="22"/>
        </w:rPr>
        <w:t xml:space="preserve">um aumento no valor do VNR de R$ 12.754 mil em 2014 para R$ 53.882 mil </w:t>
      </w:r>
      <w:r w:rsidR="00752FFF">
        <w:rPr>
          <w:sz w:val="22"/>
          <w:szCs w:val="22"/>
        </w:rPr>
        <w:t>em 2015</w:t>
      </w:r>
      <w:r>
        <w:rPr>
          <w:sz w:val="22"/>
          <w:szCs w:val="22"/>
        </w:rPr>
        <w:t xml:space="preserve">, enquanto em 2016, o EBITDA (LAJIDA) teve como contribuições mais relevantes os seguintes componentes: </w:t>
      </w:r>
      <w:r w:rsidRPr="00921B1B">
        <w:rPr>
          <w:sz w:val="22"/>
          <w:szCs w:val="22"/>
        </w:rPr>
        <w:t xml:space="preserve">a Reversão de Perdas Estimadas Com Créditos de Liquidação Duvidosa; </w:t>
      </w:r>
      <w:r w:rsidR="008F48FE">
        <w:rPr>
          <w:sz w:val="22"/>
          <w:szCs w:val="22"/>
        </w:rPr>
        <w:t xml:space="preserve">e </w:t>
      </w:r>
      <w:r>
        <w:rPr>
          <w:sz w:val="22"/>
          <w:szCs w:val="22"/>
        </w:rPr>
        <w:t xml:space="preserve">os </w:t>
      </w:r>
      <w:r w:rsidRPr="00921B1B">
        <w:rPr>
          <w:sz w:val="22"/>
          <w:szCs w:val="22"/>
        </w:rPr>
        <w:t>Créditos Trib</w:t>
      </w:r>
      <w:r>
        <w:rPr>
          <w:sz w:val="22"/>
          <w:szCs w:val="22"/>
        </w:rPr>
        <w:t xml:space="preserve">utários (PIS/PASEP e </w:t>
      </w:r>
      <w:proofErr w:type="spellStart"/>
      <w:r>
        <w:rPr>
          <w:sz w:val="22"/>
          <w:szCs w:val="22"/>
        </w:rPr>
        <w:t>Finsocial</w:t>
      </w:r>
      <w:proofErr w:type="spellEnd"/>
      <w:r>
        <w:rPr>
          <w:sz w:val="22"/>
          <w:szCs w:val="22"/>
        </w:rPr>
        <w:t>)</w:t>
      </w:r>
      <w:r w:rsidRPr="00921B1B">
        <w:rPr>
          <w:sz w:val="22"/>
          <w:szCs w:val="22"/>
        </w:rPr>
        <w:t>.</w:t>
      </w:r>
    </w:p>
    <w:p w:rsidR="004B4F9D" w:rsidRPr="005630AC" w:rsidRDefault="004B4F9D" w:rsidP="004B4F9D">
      <w:pPr>
        <w:spacing w:before="240"/>
        <w:jc w:val="both"/>
        <w:rPr>
          <w:sz w:val="22"/>
          <w:szCs w:val="22"/>
        </w:rPr>
      </w:pPr>
      <w:r>
        <w:rPr>
          <w:sz w:val="22"/>
          <w:szCs w:val="22"/>
        </w:rPr>
        <w:t>Ainda no âmbito da CEB Distribuição S.A., em contrapartida, atu</w:t>
      </w:r>
      <w:r w:rsidR="00AC5AC6">
        <w:rPr>
          <w:sz w:val="22"/>
          <w:szCs w:val="22"/>
        </w:rPr>
        <w:t>ou</w:t>
      </w:r>
      <w:r>
        <w:rPr>
          <w:sz w:val="22"/>
          <w:szCs w:val="22"/>
        </w:rPr>
        <w:t xml:space="preserve"> negativamente na apuração do EBITDA (LAJIDA) de 2016</w:t>
      </w:r>
      <w:r w:rsidR="00AC5AC6">
        <w:rPr>
          <w:sz w:val="22"/>
          <w:szCs w:val="22"/>
        </w:rPr>
        <w:t xml:space="preserve">, </w:t>
      </w:r>
      <w:r>
        <w:rPr>
          <w:sz w:val="22"/>
          <w:szCs w:val="22"/>
        </w:rPr>
        <w:t xml:space="preserve">a Sobrecontratação de Energia, </w:t>
      </w:r>
      <w:r w:rsidR="00AC5AC6">
        <w:rPr>
          <w:sz w:val="22"/>
          <w:szCs w:val="22"/>
        </w:rPr>
        <w:t xml:space="preserve">cujos efeitos, dentre outros, estão registrados na rubrica Receita de Energia Elétrica de Curto Prazo, que </w:t>
      </w:r>
      <w:r w:rsidR="00AC5AC6" w:rsidRPr="00AC5AC6">
        <w:rPr>
          <w:sz w:val="22"/>
          <w:szCs w:val="22"/>
        </w:rPr>
        <w:t xml:space="preserve">foi </w:t>
      </w:r>
      <w:r w:rsidRPr="00AC5AC6">
        <w:rPr>
          <w:sz w:val="22"/>
          <w:szCs w:val="22"/>
        </w:rPr>
        <w:t xml:space="preserve">R$ </w:t>
      </w:r>
      <w:r w:rsidR="005556E9">
        <w:rPr>
          <w:sz w:val="22"/>
          <w:szCs w:val="22"/>
        </w:rPr>
        <w:t>79.476</w:t>
      </w:r>
      <w:r w:rsidRPr="00AC5AC6">
        <w:rPr>
          <w:sz w:val="22"/>
          <w:szCs w:val="22"/>
        </w:rPr>
        <w:t xml:space="preserve"> mil</w:t>
      </w:r>
      <w:r w:rsidR="00AC5AC6" w:rsidRPr="00AC5AC6">
        <w:rPr>
          <w:sz w:val="22"/>
          <w:szCs w:val="22"/>
        </w:rPr>
        <w:t xml:space="preserve"> inferior ao apurado no exercício anterior</w:t>
      </w:r>
      <w:r w:rsidRPr="00AC5AC6">
        <w:rPr>
          <w:sz w:val="22"/>
          <w:szCs w:val="22"/>
        </w:rPr>
        <w:t>.</w:t>
      </w:r>
    </w:p>
    <w:p w:rsidR="004C1CCC" w:rsidRDefault="00752FFF" w:rsidP="00904360">
      <w:pPr>
        <w:spacing w:before="240"/>
        <w:jc w:val="both"/>
        <w:rPr>
          <w:sz w:val="22"/>
          <w:szCs w:val="22"/>
        </w:rPr>
      </w:pPr>
      <w:r>
        <w:rPr>
          <w:sz w:val="22"/>
          <w:szCs w:val="22"/>
        </w:rPr>
        <w:t>Finalmente, observe-se</w:t>
      </w:r>
      <w:r w:rsidR="002B5CF1" w:rsidRPr="0063367D">
        <w:rPr>
          <w:sz w:val="22"/>
          <w:szCs w:val="22"/>
        </w:rPr>
        <w:t xml:space="preserve"> que houve um aumento do Patrimônio Líquido de R$ 50.305 mil</w:t>
      </w:r>
      <w:r w:rsidR="0063367D" w:rsidRPr="0063367D">
        <w:rPr>
          <w:sz w:val="22"/>
          <w:szCs w:val="22"/>
        </w:rPr>
        <w:t xml:space="preserve"> ocasionado pelo Lucro Líquido do exercício.</w:t>
      </w:r>
    </w:p>
    <w:p w:rsidR="00B3446C" w:rsidRPr="007E7E1D" w:rsidRDefault="00B3446C" w:rsidP="00980C98">
      <w:pPr>
        <w:spacing w:before="240"/>
        <w:rPr>
          <w:b/>
          <w:bCs/>
          <w:sz w:val="22"/>
          <w:szCs w:val="22"/>
        </w:rPr>
      </w:pPr>
      <w:r w:rsidRPr="007E7E1D">
        <w:rPr>
          <w:b/>
          <w:bCs/>
          <w:sz w:val="22"/>
          <w:szCs w:val="22"/>
        </w:rPr>
        <w:t>CEB Geração S.A.</w:t>
      </w:r>
    </w:p>
    <w:p w:rsidR="00053D44" w:rsidRPr="007E7E1D" w:rsidRDefault="00053D44" w:rsidP="00053D44">
      <w:pPr>
        <w:spacing w:before="240" w:after="240"/>
        <w:jc w:val="both"/>
        <w:rPr>
          <w:sz w:val="22"/>
          <w:szCs w:val="22"/>
        </w:rPr>
      </w:pPr>
      <w:r w:rsidRPr="007E7E1D">
        <w:rPr>
          <w:sz w:val="22"/>
          <w:szCs w:val="22"/>
        </w:rPr>
        <w:t>A CEB Geração S.A. tem como objeto social a geração e a comercialização da energia produzida pelos seus ativos de geração, a Usina Hidrelétrica do Paranoá, com capacidade instalada de 30 MW e a Usina Termelétrica de Brasília – UTE Brasília, com potência nominal de 10 MW.</w:t>
      </w:r>
    </w:p>
    <w:p w:rsidR="00053D44" w:rsidRDefault="00053D44" w:rsidP="00053D44">
      <w:pPr>
        <w:spacing w:before="240" w:after="240"/>
        <w:jc w:val="both"/>
        <w:rPr>
          <w:sz w:val="22"/>
          <w:szCs w:val="22"/>
        </w:rPr>
      </w:pPr>
      <w:r w:rsidRPr="00F71904">
        <w:rPr>
          <w:sz w:val="22"/>
          <w:szCs w:val="22"/>
        </w:rPr>
        <w:t>A UTE Brasília devido ao seu alto custo operacional e defasagem tecnológica</w:t>
      </w:r>
      <w:r>
        <w:rPr>
          <w:sz w:val="22"/>
          <w:szCs w:val="22"/>
        </w:rPr>
        <w:t>,</w:t>
      </w:r>
      <w:r w:rsidRPr="00F71904">
        <w:rPr>
          <w:sz w:val="22"/>
          <w:szCs w:val="22"/>
        </w:rPr>
        <w:t xml:space="preserve"> não se presta mais </w:t>
      </w:r>
      <w:r>
        <w:rPr>
          <w:sz w:val="22"/>
          <w:szCs w:val="22"/>
        </w:rPr>
        <w:t>à</w:t>
      </w:r>
      <w:r w:rsidRPr="00F71904">
        <w:rPr>
          <w:sz w:val="22"/>
          <w:szCs w:val="22"/>
        </w:rPr>
        <w:t xml:space="preserve"> geração de energia elétrica</w:t>
      </w:r>
      <w:r>
        <w:rPr>
          <w:sz w:val="22"/>
          <w:szCs w:val="22"/>
        </w:rPr>
        <w:t>, por isso, iniciaram-se procedimentos visando a alienação de seus ativos. O Contrato de Concessão venceu em 7 de julho de 2015 e tramita no Governo Federal decreto visando regulamentar a desvinculação de bens de usinas termelétricas, ato necessário para a livre disponibilização dos bens.</w:t>
      </w:r>
    </w:p>
    <w:p w:rsidR="00053D44" w:rsidRPr="000A7E4C" w:rsidRDefault="00053D44" w:rsidP="00053D44">
      <w:pPr>
        <w:spacing w:before="240" w:after="240"/>
        <w:jc w:val="both"/>
        <w:rPr>
          <w:sz w:val="22"/>
          <w:szCs w:val="22"/>
        </w:rPr>
      </w:pPr>
      <w:r>
        <w:rPr>
          <w:sz w:val="22"/>
          <w:szCs w:val="22"/>
        </w:rPr>
        <w:t>Com relação à Usina Hidrelétrica do Paranoá, houve seu enquadramento como</w:t>
      </w:r>
      <w:r w:rsidRPr="000A7E4C">
        <w:rPr>
          <w:sz w:val="22"/>
          <w:szCs w:val="22"/>
        </w:rPr>
        <w:t xml:space="preserve"> Pequena Central Hidroelétrica </w:t>
      </w:r>
      <w:r>
        <w:rPr>
          <w:sz w:val="22"/>
          <w:szCs w:val="22"/>
        </w:rPr>
        <w:t>–</w:t>
      </w:r>
      <w:r w:rsidRPr="000A7E4C">
        <w:rPr>
          <w:sz w:val="22"/>
          <w:szCs w:val="22"/>
        </w:rPr>
        <w:t xml:space="preserve"> PCH</w:t>
      </w:r>
      <w:r>
        <w:rPr>
          <w:sz w:val="22"/>
          <w:szCs w:val="22"/>
        </w:rPr>
        <w:t xml:space="preserve"> em novembro de 2016</w:t>
      </w:r>
      <w:r w:rsidRPr="000A7E4C">
        <w:rPr>
          <w:sz w:val="22"/>
          <w:szCs w:val="22"/>
        </w:rPr>
        <w:t xml:space="preserve">. Essa alteração </w:t>
      </w:r>
      <w:r>
        <w:rPr>
          <w:sz w:val="22"/>
          <w:szCs w:val="22"/>
        </w:rPr>
        <w:t xml:space="preserve">proporciona redução da </w:t>
      </w:r>
      <w:r w:rsidRPr="000A7E4C">
        <w:rPr>
          <w:sz w:val="22"/>
          <w:szCs w:val="22"/>
        </w:rPr>
        <w:t xml:space="preserve">Tarifa de Uso do Sistema de Distribuição </w:t>
      </w:r>
      <w:r>
        <w:rPr>
          <w:sz w:val="22"/>
          <w:szCs w:val="22"/>
        </w:rPr>
        <w:t>–</w:t>
      </w:r>
      <w:r w:rsidRPr="000A7E4C">
        <w:rPr>
          <w:sz w:val="22"/>
          <w:szCs w:val="22"/>
        </w:rPr>
        <w:t xml:space="preserve"> TUSD</w:t>
      </w:r>
      <w:r>
        <w:rPr>
          <w:sz w:val="22"/>
          <w:szCs w:val="22"/>
        </w:rPr>
        <w:t xml:space="preserve"> de 50%, bem como</w:t>
      </w:r>
      <w:r w:rsidRPr="000A7E4C">
        <w:rPr>
          <w:sz w:val="22"/>
          <w:szCs w:val="22"/>
        </w:rPr>
        <w:t xml:space="preserve"> a isenção da aplicação de 1% da </w:t>
      </w:r>
      <w:r>
        <w:rPr>
          <w:sz w:val="22"/>
          <w:szCs w:val="22"/>
        </w:rPr>
        <w:t>R</w:t>
      </w:r>
      <w:r w:rsidRPr="000A7E4C">
        <w:rPr>
          <w:sz w:val="22"/>
          <w:szCs w:val="22"/>
        </w:rPr>
        <w:t xml:space="preserve">eceita </w:t>
      </w:r>
      <w:r>
        <w:rPr>
          <w:sz w:val="22"/>
          <w:szCs w:val="22"/>
        </w:rPr>
        <w:t>O</w:t>
      </w:r>
      <w:r w:rsidRPr="000A7E4C">
        <w:rPr>
          <w:sz w:val="22"/>
          <w:szCs w:val="22"/>
        </w:rPr>
        <w:t xml:space="preserve">peracional </w:t>
      </w:r>
      <w:r>
        <w:rPr>
          <w:sz w:val="22"/>
          <w:szCs w:val="22"/>
        </w:rPr>
        <w:t>L</w:t>
      </w:r>
      <w:r w:rsidRPr="000A7E4C">
        <w:rPr>
          <w:sz w:val="22"/>
          <w:szCs w:val="22"/>
        </w:rPr>
        <w:t>íquida</w:t>
      </w:r>
      <w:r>
        <w:rPr>
          <w:sz w:val="22"/>
          <w:szCs w:val="22"/>
        </w:rPr>
        <w:t xml:space="preserve"> </w:t>
      </w:r>
      <w:r w:rsidRPr="000A7E4C">
        <w:rPr>
          <w:sz w:val="22"/>
          <w:szCs w:val="22"/>
        </w:rPr>
        <w:t xml:space="preserve">em Pesquisa e Desenvolvimento </w:t>
      </w:r>
      <w:r>
        <w:rPr>
          <w:sz w:val="22"/>
          <w:szCs w:val="22"/>
        </w:rPr>
        <w:t>–</w:t>
      </w:r>
      <w:r w:rsidRPr="000A7E4C">
        <w:rPr>
          <w:sz w:val="22"/>
          <w:szCs w:val="22"/>
        </w:rPr>
        <w:t xml:space="preserve"> P&amp;D, apesar d</w:t>
      </w:r>
      <w:r>
        <w:rPr>
          <w:sz w:val="22"/>
          <w:szCs w:val="22"/>
        </w:rPr>
        <w:t>a</w:t>
      </w:r>
      <w:r w:rsidRPr="000A7E4C">
        <w:rPr>
          <w:sz w:val="22"/>
          <w:szCs w:val="22"/>
        </w:rPr>
        <w:t xml:space="preserve"> </w:t>
      </w:r>
      <w:r>
        <w:rPr>
          <w:sz w:val="22"/>
          <w:szCs w:val="22"/>
        </w:rPr>
        <w:t>obrigatoriedade do p</w:t>
      </w:r>
      <w:r w:rsidRPr="000A7E4C">
        <w:rPr>
          <w:sz w:val="22"/>
          <w:szCs w:val="22"/>
        </w:rPr>
        <w:t xml:space="preserve">agamento do encargo de Uso de Bem Público </w:t>
      </w:r>
      <w:r>
        <w:rPr>
          <w:sz w:val="22"/>
          <w:szCs w:val="22"/>
        </w:rPr>
        <w:t>–</w:t>
      </w:r>
      <w:r w:rsidRPr="000A7E4C">
        <w:rPr>
          <w:sz w:val="22"/>
          <w:szCs w:val="22"/>
        </w:rPr>
        <w:t xml:space="preserve"> UBP. </w:t>
      </w:r>
      <w:r>
        <w:rPr>
          <w:sz w:val="22"/>
          <w:szCs w:val="22"/>
        </w:rPr>
        <w:t>Outro benefício, do ponto de vista da receita, foi a venda de energia em dezembro de 2016 já como Fonte Incentivada, cujo preço ficou superior à energia comercializada anteriormente como Fonte Convencional.</w:t>
      </w:r>
      <w:r w:rsidRPr="000A7E4C">
        <w:rPr>
          <w:sz w:val="22"/>
          <w:szCs w:val="22"/>
        </w:rPr>
        <w:t xml:space="preserve"> </w:t>
      </w:r>
    </w:p>
    <w:p w:rsidR="00053D44" w:rsidRPr="000A7E4C" w:rsidRDefault="00053D44" w:rsidP="00053D44">
      <w:pPr>
        <w:spacing w:before="240" w:after="240"/>
        <w:jc w:val="both"/>
        <w:rPr>
          <w:sz w:val="22"/>
          <w:szCs w:val="22"/>
        </w:rPr>
      </w:pPr>
      <w:r>
        <w:rPr>
          <w:sz w:val="22"/>
          <w:szCs w:val="22"/>
        </w:rPr>
        <w:t>Assim, com o</w:t>
      </w:r>
      <w:r w:rsidRPr="000A7E4C">
        <w:rPr>
          <w:sz w:val="22"/>
          <w:szCs w:val="22"/>
        </w:rPr>
        <w:t xml:space="preserve"> enquadramento da UPA em PCH</w:t>
      </w:r>
      <w:r>
        <w:rPr>
          <w:sz w:val="22"/>
          <w:szCs w:val="22"/>
        </w:rPr>
        <w:t>,</w:t>
      </w:r>
      <w:r w:rsidRPr="000A7E4C">
        <w:rPr>
          <w:sz w:val="22"/>
          <w:szCs w:val="22"/>
        </w:rPr>
        <w:t xml:space="preserve"> foi assinado novo contrato de concessão com Agência Nacional de Energia Elétrica – ANEEL. O </w:t>
      </w:r>
      <w:r>
        <w:rPr>
          <w:sz w:val="22"/>
          <w:szCs w:val="22"/>
        </w:rPr>
        <w:t>Contrato</w:t>
      </w:r>
      <w:r w:rsidRPr="000A7E4C">
        <w:rPr>
          <w:sz w:val="22"/>
          <w:szCs w:val="22"/>
        </w:rPr>
        <w:t xml:space="preserve"> </w:t>
      </w:r>
      <w:r>
        <w:rPr>
          <w:sz w:val="22"/>
          <w:szCs w:val="22"/>
        </w:rPr>
        <w:t xml:space="preserve">nº </w:t>
      </w:r>
      <w:r w:rsidRPr="000A7E4C">
        <w:rPr>
          <w:sz w:val="22"/>
          <w:szCs w:val="22"/>
        </w:rPr>
        <w:t xml:space="preserve">01/2016-ANEEL, teve como objeto a transformação em PCH e a </w:t>
      </w:r>
      <w:r w:rsidRPr="000A7E4C">
        <w:rPr>
          <w:sz w:val="22"/>
          <w:szCs w:val="22"/>
        </w:rPr>
        <w:lastRenderedPageBreak/>
        <w:t xml:space="preserve">consequente alteração da modalidade da </w:t>
      </w:r>
      <w:r>
        <w:rPr>
          <w:sz w:val="22"/>
          <w:szCs w:val="22"/>
        </w:rPr>
        <w:t>C</w:t>
      </w:r>
      <w:r w:rsidRPr="000A7E4C">
        <w:rPr>
          <w:sz w:val="22"/>
          <w:szCs w:val="22"/>
        </w:rPr>
        <w:t xml:space="preserve">oncessão de Serviço Público para Produtor Independente de Energia, </w:t>
      </w:r>
      <w:r>
        <w:rPr>
          <w:sz w:val="22"/>
          <w:szCs w:val="22"/>
        </w:rPr>
        <w:t>resultando em</w:t>
      </w:r>
      <w:r w:rsidRPr="000A7E4C">
        <w:rPr>
          <w:sz w:val="22"/>
          <w:szCs w:val="22"/>
        </w:rPr>
        <w:t xml:space="preserve"> mais liberdade na gestão do empreendimento.</w:t>
      </w:r>
    </w:p>
    <w:p w:rsidR="00053D44" w:rsidRDefault="00053D44" w:rsidP="00053D44">
      <w:pPr>
        <w:spacing w:before="240" w:after="240"/>
        <w:jc w:val="both"/>
        <w:rPr>
          <w:sz w:val="22"/>
          <w:szCs w:val="22"/>
        </w:rPr>
      </w:pPr>
      <w:r>
        <w:rPr>
          <w:sz w:val="22"/>
          <w:szCs w:val="22"/>
        </w:rPr>
        <w:t>Também foram formalizados dois</w:t>
      </w:r>
      <w:r w:rsidRPr="000A7E4C">
        <w:rPr>
          <w:sz w:val="22"/>
          <w:szCs w:val="22"/>
        </w:rPr>
        <w:t xml:space="preserve"> termos aditivos</w:t>
      </w:r>
      <w:r>
        <w:rPr>
          <w:sz w:val="22"/>
          <w:szCs w:val="22"/>
        </w:rPr>
        <w:t xml:space="preserve"> ao mencionado Contrato de Concessão.</w:t>
      </w:r>
      <w:r w:rsidRPr="000A7E4C">
        <w:rPr>
          <w:sz w:val="22"/>
          <w:szCs w:val="22"/>
        </w:rPr>
        <w:t xml:space="preserve"> </w:t>
      </w:r>
      <w:r>
        <w:rPr>
          <w:sz w:val="22"/>
          <w:szCs w:val="22"/>
        </w:rPr>
        <w:t>O</w:t>
      </w:r>
      <w:r w:rsidRPr="000A7E4C">
        <w:rPr>
          <w:sz w:val="22"/>
          <w:szCs w:val="22"/>
        </w:rPr>
        <w:t xml:space="preserve"> primeiro</w:t>
      </w:r>
      <w:r>
        <w:rPr>
          <w:sz w:val="22"/>
          <w:szCs w:val="22"/>
        </w:rPr>
        <w:t>,</w:t>
      </w:r>
      <w:r w:rsidRPr="000A7E4C">
        <w:rPr>
          <w:sz w:val="22"/>
          <w:szCs w:val="22"/>
        </w:rPr>
        <w:t xml:space="preserve"> diz respeito </w:t>
      </w:r>
      <w:r>
        <w:rPr>
          <w:sz w:val="22"/>
          <w:szCs w:val="22"/>
        </w:rPr>
        <w:t>à</w:t>
      </w:r>
      <w:r w:rsidRPr="000A7E4C">
        <w:rPr>
          <w:sz w:val="22"/>
          <w:szCs w:val="22"/>
        </w:rPr>
        <w:t xml:space="preserve"> transferência da </w:t>
      </w:r>
      <w:r>
        <w:rPr>
          <w:sz w:val="22"/>
          <w:szCs w:val="22"/>
        </w:rPr>
        <w:t>C</w:t>
      </w:r>
      <w:r w:rsidRPr="000A7E4C">
        <w:rPr>
          <w:sz w:val="22"/>
          <w:szCs w:val="22"/>
        </w:rPr>
        <w:t>oncessão da Usina do Paranoá da Companhia Energética de Brasília S.A. para a CEB Geração S.A, conforme Resolução Autorizativa nº 318 da ANEEL, de 14.09.2005</w:t>
      </w:r>
      <w:r>
        <w:rPr>
          <w:sz w:val="22"/>
          <w:szCs w:val="22"/>
        </w:rPr>
        <w:t>;</w:t>
      </w:r>
      <w:r w:rsidRPr="000A7E4C">
        <w:rPr>
          <w:sz w:val="22"/>
          <w:szCs w:val="22"/>
        </w:rPr>
        <w:t xml:space="preserve"> </w:t>
      </w:r>
      <w:r>
        <w:rPr>
          <w:sz w:val="22"/>
          <w:szCs w:val="22"/>
        </w:rPr>
        <w:t>o</w:t>
      </w:r>
      <w:r w:rsidRPr="000A7E4C">
        <w:rPr>
          <w:sz w:val="22"/>
          <w:szCs w:val="22"/>
        </w:rPr>
        <w:t xml:space="preserve"> </w:t>
      </w:r>
      <w:r>
        <w:rPr>
          <w:sz w:val="22"/>
          <w:szCs w:val="22"/>
        </w:rPr>
        <w:t>segundo</w:t>
      </w:r>
      <w:r w:rsidRPr="000A7E4C">
        <w:rPr>
          <w:sz w:val="22"/>
          <w:szCs w:val="22"/>
        </w:rPr>
        <w:t xml:space="preserve">, </w:t>
      </w:r>
      <w:r>
        <w:rPr>
          <w:sz w:val="22"/>
          <w:szCs w:val="22"/>
        </w:rPr>
        <w:t>prorrogou</w:t>
      </w:r>
      <w:r w:rsidRPr="000A7E4C">
        <w:rPr>
          <w:sz w:val="22"/>
          <w:szCs w:val="22"/>
        </w:rPr>
        <w:t xml:space="preserve"> o prazo de concessão da usina,</w:t>
      </w:r>
      <w:r>
        <w:rPr>
          <w:sz w:val="22"/>
          <w:szCs w:val="22"/>
        </w:rPr>
        <w:t xml:space="preserve"> cujo vencimento passou</w:t>
      </w:r>
      <w:r w:rsidRPr="000A7E4C">
        <w:rPr>
          <w:sz w:val="22"/>
          <w:szCs w:val="22"/>
        </w:rPr>
        <w:t xml:space="preserve"> de outubro de 2019 para abril de 2020.</w:t>
      </w:r>
    </w:p>
    <w:p w:rsidR="00053D44" w:rsidRDefault="00053D44" w:rsidP="00053D44">
      <w:pPr>
        <w:spacing w:before="240" w:after="240"/>
        <w:jc w:val="both"/>
        <w:rPr>
          <w:sz w:val="22"/>
          <w:szCs w:val="22"/>
        </w:rPr>
      </w:pPr>
      <w:r>
        <w:rPr>
          <w:sz w:val="22"/>
          <w:szCs w:val="22"/>
        </w:rPr>
        <w:t>Por outro lado, em 2016, a Empresa manteve seus procedimentos de manutenção e conservação da Barragem do Lago Paranoá e investiu na contratação de firma especializada para elaboração do Plano de Segurança da barragem, que será concluído em 2017.</w:t>
      </w:r>
    </w:p>
    <w:p w:rsidR="00B3446C" w:rsidRDefault="00A70731" w:rsidP="00B3446C">
      <w:pPr>
        <w:spacing w:before="240" w:after="240"/>
        <w:rPr>
          <w:b/>
          <w:sz w:val="22"/>
          <w:szCs w:val="22"/>
        </w:rPr>
      </w:pPr>
      <w:r>
        <w:rPr>
          <w:b/>
          <w:sz w:val="22"/>
          <w:szCs w:val="22"/>
        </w:rPr>
        <w:t>Dados Econômico-Financeiros</w:t>
      </w:r>
    </w:p>
    <w:tbl>
      <w:tblPr>
        <w:tblW w:w="5000"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5196"/>
        <w:gridCol w:w="1652"/>
        <w:gridCol w:w="1652"/>
        <w:gridCol w:w="1638"/>
      </w:tblGrid>
      <w:tr w:rsidR="00A70731" w:rsidRPr="00FD4D77" w:rsidTr="004446A0">
        <w:trPr>
          <w:trHeight w:val="408"/>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A70731" w:rsidRPr="00A70731" w:rsidRDefault="00A70731" w:rsidP="00B54C44">
            <w:pPr>
              <w:ind w:right="-1"/>
              <w:jc w:val="center"/>
              <w:rPr>
                <w:b/>
                <w:bCs/>
                <w:snapToGrid w:val="0"/>
                <w:color w:val="FFFFFF" w:themeColor="background1"/>
                <w:lang w:eastAsia="en-US" w:bidi="en-US"/>
              </w:rPr>
            </w:pPr>
            <w:r w:rsidRPr="00A70731">
              <w:rPr>
                <w:b/>
                <w:bCs/>
                <w:snapToGrid w:val="0"/>
                <w:color w:val="FFFFFF" w:themeColor="background1"/>
                <w:lang w:eastAsia="en-US" w:bidi="en-US"/>
              </w:rPr>
              <w:t>(R$ Mil)</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A70731" w:rsidRPr="00A70731" w:rsidRDefault="00A70731" w:rsidP="0017274E">
            <w:pPr>
              <w:jc w:val="center"/>
              <w:rPr>
                <w:b/>
                <w:bCs/>
                <w:snapToGrid w:val="0"/>
                <w:color w:val="FFFFFF" w:themeColor="background1"/>
                <w:lang w:eastAsia="en-US" w:bidi="en-US"/>
              </w:rPr>
            </w:pPr>
            <w:r w:rsidRPr="00A70731">
              <w:rPr>
                <w:b/>
                <w:bCs/>
                <w:snapToGrid w:val="0"/>
                <w:color w:val="FFFFFF" w:themeColor="background1"/>
                <w:lang w:eastAsia="en-US" w:bidi="en-US"/>
              </w:rPr>
              <w:t>2015</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A70731" w:rsidRPr="00A70731" w:rsidRDefault="00A70731" w:rsidP="00B54C44">
            <w:pPr>
              <w:jc w:val="center"/>
              <w:rPr>
                <w:b/>
                <w:bCs/>
                <w:snapToGrid w:val="0"/>
                <w:color w:val="FFFFFF" w:themeColor="background1"/>
                <w:lang w:eastAsia="en-US" w:bidi="en-US"/>
              </w:rPr>
            </w:pPr>
            <w:r w:rsidRPr="00A70731">
              <w:rPr>
                <w:b/>
                <w:bCs/>
                <w:snapToGrid w:val="0"/>
                <w:color w:val="FFFFFF" w:themeColor="background1"/>
                <w:lang w:eastAsia="en-US" w:bidi="en-US"/>
              </w:rPr>
              <w:t>2016</w:t>
            </w:r>
          </w:p>
        </w:tc>
        <w:tc>
          <w:tcPr>
            <w:tcW w:w="809"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A70731" w:rsidRPr="00A70731" w:rsidRDefault="00A70731" w:rsidP="00B54C44">
            <w:pPr>
              <w:jc w:val="center"/>
              <w:rPr>
                <w:b/>
                <w:bCs/>
                <w:snapToGrid w:val="0"/>
                <w:color w:val="FFFFFF" w:themeColor="background1"/>
                <w:lang w:eastAsia="en-US" w:bidi="en-US"/>
              </w:rPr>
            </w:pPr>
            <w:r w:rsidRPr="00A70731">
              <w:rPr>
                <w:b/>
                <w:bCs/>
                <w:snapToGrid w:val="0"/>
                <w:color w:val="FFFFFF" w:themeColor="background1"/>
                <w:lang w:eastAsia="en-US" w:bidi="en-US"/>
              </w:rPr>
              <w:t>Δ (R$)</w:t>
            </w:r>
          </w:p>
        </w:tc>
      </w:tr>
      <w:tr w:rsidR="00A70731" w:rsidRPr="00FD4D77" w:rsidTr="00A70731">
        <w:trPr>
          <w:trHeight w:val="170"/>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A70731">
            <w:pPr>
              <w:ind w:right="-1"/>
              <w:rPr>
                <w:b/>
                <w:bCs/>
                <w:snapToGrid w:val="0"/>
                <w:lang w:eastAsia="en-US" w:bidi="en-US"/>
              </w:rPr>
            </w:pPr>
            <w:r w:rsidRPr="00A70731">
              <w:rPr>
                <w:b/>
                <w:bCs/>
                <w:snapToGrid w:val="0"/>
                <w:lang w:eastAsia="en-US" w:bidi="en-US"/>
              </w:rPr>
              <w:t>Receita Operacional Bruta</w:t>
            </w:r>
          </w:p>
        </w:tc>
        <w:tc>
          <w:tcPr>
            <w:tcW w:w="815"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B54C44">
            <w:pPr>
              <w:jc w:val="center"/>
              <w:rPr>
                <w:b/>
                <w:bCs/>
                <w:snapToGrid w:val="0"/>
                <w:lang w:eastAsia="en-US" w:bidi="en-US"/>
              </w:rPr>
            </w:pPr>
            <w:r w:rsidRPr="00A70731">
              <w:rPr>
                <w:b/>
                <w:bCs/>
                <w:snapToGrid w:val="0"/>
                <w:lang w:eastAsia="en-US" w:bidi="en-US"/>
              </w:rPr>
              <w:t>15.335</w:t>
            </w:r>
          </w:p>
        </w:tc>
        <w:tc>
          <w:tcPr>
            <w:tcW w:w="815" w:type="pct"/>
            <w:tcBorders>
              <w:top w:val="single" w:sz="8" w:space="0" w:color="DDDDDD"/>
              <w:left w:val="single" w:sz="8" w:space="0" w:color="DDDDDD"/>
              <w:bottom w:val="single" w:sz="18" w:space="0" w:color="DDDDDD"/>
              <w:right w:val="single" w:sz="8" w:space="0" w:color="DDDDDD"/>
            </w:tcBorders>
            <w:shd w:val="clear" w:color="auto" w:fill="F6F6F6"/>
            <w:vAlign w:val="center"/>
          </w:tcPr>
          <w:p w:rsidR="00A70731" w:rsidRPr="00A70731" w:rsidRDefault="00A70731" w:rsidP="00B54C44">
            <w:pPr>
              <w:jc w:val="center"/>
              <w:rPr>
                <w:b/>
                <w:bCs/>
                <w:snapToGrid w:val="0"/>
                <w:lang w:eastAsia="en-US" w:bidi="en-US"/>
              </w:rPr>
            </w:pPr>
            <w:r w:rsidRPr="00A70731">
              <w:rPr>
                <w:b/>
                <w:bCs/>
                <w:snapToGrid w:val="0"/>
                <w:lang w:eastAsia="en-US" w:bidi="en-US"/>
              </w:rPr>
              <w:t>16.486</w:t>
            </w:r>
          </w:p>
        </w:tc>
        <w:tc>
          <w:tcPr>
            <w:tcW w:w="809" w:type="pct"/>
            <w:tcBorders>
              <w:top w:val="single" w:sz="8" w:space="0" w:color="DDDDDD"/>
              <w:left w:val="single" w:sz="8" w:space="0" w:color="DDDDDD"/>
              <w:bottom w:val="single" w:sz="18" w:space="0" w:color="DDDDDD"/>
              <w:right w:val="single" w:sz="8" w:space="0" w:color="DDDDDD"/>
            </w:tcBorders>
            <w:shd w:val="clear" w:color="auto" w:fill="F6F6F6"/>
            <w:vAlign w:val="center"/>
          </w:tcPr>
          <w:p w:rsidR="00A70731" w:rsidRPr="00A70731" w:rsidRDefault="00A70731" w:rsidP="00B54C44">
            <w:pPr>
              <w:jc w:val="center"/>
              <w:rPr>
                <w:b/>
                <w:bCs/>
                <w:snapToGrid w:val="0"/>
                <w:lang w:eastAsia="en-US" w:bidi="en-US"/>
              </w:rPr>
            </w:pPr>
            <w:r w:rsidRPr="00A70731">
              <w:rPr>
                <w:b/>
                <w:bCs/>
                <w:snapToGrid w:val="0"/>
                <w:lang w:eastAsia="en-US" w:bidi="en-US"/>
              </w:rPr>
              <w:t>1.151</w:t>
            </w:r>
          </w:p>
        </w:tc>
      </w:tr>
      <w:tr w:rsidR="00A70731" w:rsidRPr="00FD4D77" w:rsidTr="00A70731">
        <w:trPr>
          <w:trHeight w:val="170"/>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A70731">
            <w:pPr>
              <w:ind w:right="-1"/>
              <w:rPr>
                <w:b/>
                <w:bCs/>
                <w:snapToGrid w:val="0"/>
                <w:lang w:eastAsia="en-US" w:bidi="en-US"/>
              </w:rPr>
            </w:pPr>
            <w:r w:rsidRPr="00A70731">
              <w:rPr>
                <w:b/>
                <w:bCs/>
                <w:snapToGrid w:val="0"/>
                <w:lang w:eastAsia="en-US" w:bidi="en-US"/>
              </w:rPr>
              <w:t>Receita Operacional Líquida</w:t>
            </w:r>
          </w:p>
        </w:tc>
        <w:tc>
          <w:tcPr>
            <w:tcW w:w="815"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B54C44">
            <w:pPr>
              <w:jc w:val="center"/>
              <w:rPr>
                <w:b/>
                <w:bCs/>
                <w:snapToGrid w:val="0"/>
                <w:lang w:eastAsia="en-US" w:bidi="en-US"/>
              </w:rPr>
            </w:pPr>
            <w:r w:rsidRPr="00A70731">
              <w:rPr>
                <w:b/>
                <w:bCs/>
                <w:snapToGrid w:val="0"/>
                <w:lang w:eastAsia="en-US" w:bidi="en-US"/>
              </w:rPr>
              <w:t>13.832</w:t>
            </w:r>
          </w:p>
        </w:tc>
        <w:tc>
          <w:tcPr>
            <w:tcW w:w="815" w:type="pct"/>
            <w:tcBorders>
              <w:top w:val="single" w:sz="8" w:space="0" w:color="DDDDDD"/>
              <w:left w:val="single" w:sz="8" w:space="0" w:color="DDDDDD"/>
              <w:bottom w:val="single" w:sz="18" w:space="0" w:color="DDDDDD"/>
              <w:right w:val="single" w:sz="8" w:space="0" w:color="DDDDDD"/>
            </w:tcBorders>
            <w:vAlign w:val="center"/>
          </w:tcPr>
          <w:p w:rsidR="00A70731" w:rsidRPr="00A70731" w:rsidRDefault="00A70731" w:rsidP="00B54C44">
            <w:pPr>
              <w:jc w:val="center"/>
              <w:rPr>
                <w:b/>
                <w:bCs/>
                <w:snapToGrid w:val="0"/>
                <w:lang w:eastAsia="en-US" w:bidi="en-US"/>
              </w:rPr>
            </w:pPr>
            <w:r w:rsidRPr="00A70731">
              <w:rPr>
                <w:b/>
                <w:bCs/>
                <w:snapToGrid w:val="0"/>
                <w:lang w:eastAsia="en-US" w:bidi="en-US"/>
              </w:rPr>
              <w:t>15.101</w:t>
            </w:r>
          </w:p>
        </w:tc>
        <w:tc>
          <w:tcPr>
            <w:tcW w:w="809" w:type="pct"/>
            <w:tcBorders>
              <w:top w:val="single" w:sz="8" w:space="0" w:color="DDDDDD"/>
              <w:left w:val="single" w:sz="8" w:space="0" w:color="DDDDDD"/>
              <w:bottom w:val="single" w:sz="18" w:space="0" w:color="DDDDDD"/>
              <w:right w:val="single" w:sz="8" w:space="0" w:color="DDDDDD"/>
            </w:tcBorders>
            <w:vAlign w:val="center"/>
          </w:tcPr>
          <w:p w:rsidR="00A70731" w:rsidRPr="00A70731" w:rsidRDefault="00A70731" w:rsidP="00B54C44">
            <w:pPr>
              <w:jc w:val="center"/>
              <w:rPr>
                <w:b/>
                <w:bCs/>
                <w:snapToGrid w:val="0"/>
                <w:lang w:eastAsia="en-US" w:bidi="en-US"/>
              </w:rPr>
            </w:pPr>
            <w:r w:rsidRPr="00A70731">
              <w:rPr>
                <w:b/>
                <w:bCs/>
                <w:snapToGrid w:val="0"/>
                <w:lang w:eastAsia="en-US" w:bidi="en-US"/>
              </w:rPr>
              <w:t>1.269</w:t>
            </w:r>
          </w:p>
        </w:tc>
      </w:tr>
      <w:tr w:rsidR="00A70731" w:rsidRPr="00FD4D77" w:rsidTr="00A70731">
        <w:trPr>
          <w:trHeight w:val="170"/>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A70731">
            <w:pPr>
              <w:ind w:right="-1"/>
              <w:rPr>
                <w:b/>
                <w:bCs/>
                <w:snapToGrid w:val="0"/>
                <w:lang w:eastAsia="en-US" w:bidi="en-US"/>
              </w:rPr>
            </w:pPr>
            <w:r w:rsidRPr="00A70731">
              <w:rPr>
                <w:b/>
                <w:bCs/>
                <w:snapToGrid w:val="0"/>
                <w:lang w:eastAsia="en-US" w:bidi="en-US"/>
              </w:rPr>
              <w:t>Resultado Operacional Líquido Antes dos Tributos</w:t>
            </w:r>
          </w:p>
        </w:tc>
        <w:tc>
          <w:tcPr>
            <w:tcW w:w="815"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B54C44">
            <w:pPr>
              <w:jc w:val="center"/>
              <w:rPr>
                <w:b/>
                <w:bCs/>
                <w:snapToGrid w:val="0"/>
                <w:lang w:eastAsia="en-US" w:bidi="en-US"/>
              </w:rPr>
            </w:pPr>
            <w:r w:rsidRPr="00A70731">
              <w:rPr>
                <w:b/>
                <w:bCs/>
                <w:snapToGrid w:val="0"/>
                <w:lang w:eastAsia="en-US" w:bidi="en-US"/>
              </w:rPr>
              <w:t>8.211</w:t>
            </w:r>
          </w:p>
        </w:tc>
        <w:tc>
          <w:tcPr>
            <w:tcW w:w="815" w:type="pct"/>
            <w:tcBorders>
              <w:top w:val="single" w:sz="8" w:space="0" w:color="DDDDDD"/>
              <w:left w:val="single" w:sz="8" w:space="0" w:color="DDDDDD"/>
              <w:bottom w:val="single" w:sz="18" w:space="0" w:color="DDDDDD"/>
              <w:right w:val="single" w:sz="8" w:space="0" w:color="DDDDDD"/>
            </w:tcBorders>
            <w:shd w:val="clear" w:color="auto" w:fill="F6F6F6"/>
            <w:vAlign w:val="center"/>
          </w:tcPr>
          <w:p w:rsidR="00A70731" w:rsidRPr="00A70731" w:rsidRDefault="00A70731" w:rsidP="00B54C44">
            <w:pPr>
              <w:jc w:val="center"/>
              <w:rPr>
                <w:b/>
                <w:bCs/>
                <w:snapToGrid w:val="0"/>
                <w:lang w:eastAsia="en-US" w:bidi="en-US"/>
              </w:rPr>
            </w:pPr>
            <w:r w:rsidRPr="00A70731">
              <w:rPr>
                <w:b/>
                <w:bCs/>
                <w:snapToGrid w:val="0"/>
                <w:lang w:eastAsia="en-US" w:bidi="en-US"/>
              </w:rPr>
              <w:t>9.067</w:t>
            </w:r>
          </w:p>
        </w:tc>
        <w:tc>
          <w:tcPr>
            <w:tcW w:w="809" w:type="pct"/>
            <w:tcBorders>
              <w:top w:val="single" w:sz="8" w:space="0" w:color="DDDDDD"/>
              <w:left w:val="single" w:sz="8" w:space="0" w:color="DDDDDD"/>
              <w:bottom w:val="single" w:sz="18" w:space="0" w:color="DDDDDD"/>
              <w:right w:val="single" w:sz="8" w:space="0" w:color="DDDDDD"/>
            </w:tcBorders>
            <w:shd w:val="clear" w:color="auto" w:fill="F6F6F6"/>
            <w:vAlign w:val="center"/>
          </w:tcPr>
          <w:p w:rsidR="00A70731" w:rsidRPr="00A70731" w:rsidRDefault="00A70731" w:rsidP="00B54C44">
            <w:pPr>
              <w:jc w:val="center"/>
              <w:rPr>
                <w:b/>
                <w:bCs/>
                <w:snapToGrid w:val="0"/>
                <w:lang w:eastAsia="en-US" w:bidi="en-US"/>
              </w:rPr>
            </w:pPr>
            <w:r w:rsidRPr="00A70731">
              <w:rPr>
                <w:b/>
                <w:bCs/>
                <w:snapToGrid w:val="0"/>
                <w:lang w:eastAsia="en-US" w:bidi="en-US"/>
              </w:rPr>
              <w:t>856</w:t>
            </w:r>
          </w:p>
        </w:tc>
      </w:tr>
      <w:tr w:rsidR="00A70731" w:rsidRPr="00FD4D77" w:rsidTr="00A70731">
        <w:trPr>
          <w:trHeight w:val="170"/>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A70731">
            <w:pPr>
              <w:ind w:right="-1"/>
              <w:rPr>
                <w:b/>
                <w:bCs/>
                <w:snapToGrid w:val="0"/>
                <w:lang w:eastAsia="en-US" w:bidi="en-US"/>
              </w:rPr>
            </w:pPr>
            <w:r w:rsidRPr="00A70731">
              <w:rPr>
                <w:b/>
                <w:bCs/>
                <w:snapToGrid w:val="0"/>
                <w:lang w:eastAsia="en-US" w:bidi="en-US"/>
              </w:rPr>
              <w:t>EBITDA</w:t>
            </w:r>
            <w:r w:rsidR="00CC6DFB">
              <w:rPr>
                <w:b/>
                <w:bCs/>
                <w:snapToGrid w:val="0"/>
                <w:lang w:eastAsia="en-US" w:bidi="en-US"/>
              </w:rPr>
              <w:t xml:space="preserve"> (LAJIDA)</w:t>
            </w:r>
          </w:p>
        </w:tc>
        <w:tc>
          <w:tcPr>
            <w:tcW w:w="815"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B54C44">
            <w:pPr>
              <w:jc w:val="center"/>
              <w:rPr>
                <w:b/>
                <w:bCs/>
                <w:snapToGrid w:val="0"/>
                <w:lang w:eastAsia="en-US" w:bidi="en-US"/>
              </w:rPr>
            </w:pPr>
            <w:r w:rsidRPr="00A70731">
              <w:rPr>
                <w:b/>
                <w:bCs/>
                <w:snapToGrid w:val="0"/>
                <w:lang w:eastAsia="en-US" w:bidi="en-US"/>
              </w:rPr>
              <w:t>7.718</w:t>
            </w:r>
          </w:p>
        </w:tc>
        <w:tc>
          <w:tcPr>
            <w:tcW w:w="815" w:type="pct"/>
            <w:tcBorders>
              <w:top w:val="single" w:sz="8" w:space="0" w:color="DDDDDD"/>
              <w:left w:val="single" w:sz="8" w:space="0" w:color="DDDDDD"/>
              <w:bottom w:val="single" w:sz="18" w:space="0" w:color="DDDDDD"/>
              <w:right w:val="single" w:sz="8" w:space="0" w:color="DDDDDD"/>
            </w:tcBorders>
            <w:vAlign w:val="center"/>
          </w:tcPr>
          <w:p w:rsidR="00A70731" w:rsidRPr="00A70731" w:rsidRDefault="00A70731" w:rsidP="00B54C44">
            <w:pPr>
              <w:jc w:val="center"/>
              <w:rPr>
                <w:b/>
                <w:bCs/>
                <w:snapToGrid w:val="0"/>
                <w:lang w:eastAsia="en-US" w:bidi="en-US"/>
              </w:rPr>
            </w:pPr>
            <w:r w:rsidRPr="00A70731">
              <w:rPr>
                <w:b/>
                <w:bCs/>
                <w:snapToGrid w:val="0"/>
                <w:lang w:eastAsia="en-US" w:bidi="en-US"/>
              </w:rPr>
              <w:t>8.762</w:t>
            </w:r>
          </w:p>
        </w:tc>
        <w:tc>
          <w:tcPr>
            <w:tcW w:w="809" w:type="pct"/>
            <w:tcBorders>
              <w:top w:val="single" w:sz="8" w:space="0" w:color="DDDDDD"/>
              <w:left w:val="single" w:sz="8" w:space="0" w:color="DDDDDD"/>
              <w:bottom w:val="single" w:sz="18" w:space="0" w:color="DDDDDD"/>
              <w:right w:val="single" w:sz="8" w:space="0" w:color="DDDDDD"/>
            </w:tcBorders>
            <w:vAlign w:val="center"/>
          </w:tcPr>
          <w:p w:rsidR="00A70731" w:rsidRPr="00A70731" w:rsidRDefault="00A70731" w:rsidP="00B54C44">
            <w:pPr>
              <w:jc w:val="center"/>
              <w:rPr>
                <w:b/>
                <w:bCs/>
                <w:snapToGrid w:val="0"/>
                <w:lang w:eastAsia="en-US" w:bidi="en-US"/>
              </w:rPr>
            </w:pPr>
            <w:r w:rsidRPr="00A70731">
              <w:rPr>
                <w:b/>
                <w:bCs/>
                <w:snapToGrid w:val="0"/>
                <w:lang w:eastAsia="en-US" w:bidi="en-US"/>
              </w:rPr>
              <w:t>1.044</w:t>
            </w:r>
          </w:p>
        </w:tc>
      </w:tr>
      <w:tr w:rsidR="00A70731" w:rsidRPr="00FD4D77" w:rsidTr="00A70731">
        <w:trPr>
          <w:trHeight w:val="170"/>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A70731">
            <w:pPr>
              <w:ind w:right="-1"/>
              <w:rPr>
                <w:b/>
                <w:bCs/>
                <w:snapToGrid w:val="0"/>
                <w:lang w:eastAsia="en-US" w:bidi="en-US"/>
              </w:rPr>
            </w:pPr>
            <w:r w:rsidRPr="00A70731">
              <w:rPr>
                <w:b/>
                <w:bCs/>
                <w:snapToGrid w:val="0"/>
                <w:lang w:eastAsia="en-US" w:bidi="en-US"/>
              </w:rPr>
              <w:t>Lucro Líquido (Prejuízo)</w:t>
            </w:r>
          </w:p>
        </w:tc>
        <w:tc>
          <w:tcPr>
            <w:tcW w:w="815"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B54C44">
            <w:pPr>
              <w:jc w:val="center"/>
              <w:rPr>
                <w:b/>
                <w:bCs/>
                <w:snapToGrid w:val="0"/>
                <w:lang w:eastAsia="en-US" w:bidi="en-US"/>
              </w:rPr>
            </w:pPr>
            <w:r w:rsidRPr="00A70731">
              <w:rPr>
                <w:b/>
                <w:bCs/>
                <w:snapToGrid w:val="0"/>
                <w:lang w:eastAsia="en-US" w:bidi="en-US"/>
              </w:rPr>
              <w:t>7.458</w:t>
            </w:r>
          </w:p>
        </w:tc>
        <w:tc>
          <w:tcPr>
            <w:tcW w:w="815" w:type="pct"/>
            <w:tcBorders>
              <w:top w:val="single" w:sz="8" w:space="0" w:color="DDDDDD"/>
              <w:left w:val="single" w:sz="8" w:space="0" w:color="DDDDDD"/>
              <w:bottom w:val="single" w:sz="18" w:space="0" w:color="DDDDDD"/>
              <w:right w:val="single" w:sz="8" w:space="0" w:color="DDDDDD"/>
            </w:tcBorders>
            <w:shd w:val="clear" w:color="auto" w:fill="F6F6F6"/>
            <w:vAlign w:val="center"/>
          </w:tcPr>
          <w:p w:rsidR="00A70731" w:rsidRPr="00A70731" w:rsidRDefault="00A70731" w:rsidP="00B54C44">
            <w:pPr>
              <w:jc w:val="center"/>
              <w:rPr>
                <w:b/>
                <w:bCs/>
                <w:snapToGrid w:val="0"/>
                <w:lang w:eastAsia="en-US" w:bidi="en-US"/>
              </w:rPr>
            </w:pPr>
            <w:r w:rsidRPr="00A70731">
              <w:rPr>
                <w:b/>
                <w:bCs/>
                <w:snapToGrid w:val="0"/>
                <w:lang w:eastAsia="en-US" w:bidi="en-US"/>
              </w:rPr>
              <w:t>8.324</w:t>
            </w:r>
          </w:p>
        </w:tc>
        <w:tc>
          <w:tcPr>
            <w:tcW w:w="809" w:type="pct"/>
            <w:tcBorders>
              <w:top w:val="single" w:sz="8" w:space="0" w:color="DDDDDD"/>
              <w:left w:val="single" w:sz="8" w:space="0" w:color="DDDDDD"/>
              <w:bottom w:val="single" w:sz="18" w:space="0" w:color="DDDDDD"/>
              <w:right w:val="single" w:sz="8" w:space="0" w:color="DDDDDD"/>
            </w:tcBorders>
            <w:shd w:val="clear" w:color="auto" w:fill="F6F6F6"/>
            <w:vAlign w:val="center"/>
          </w:tcPr>
          <w:p w:rsidR="00A70731" w:rsidRPr="00A70731" w:rsidRDefault="00A70731" w:rsidP="00B54C44">
            <w:pPr>
              <w:jc w:val="center"/>
              <w:rPr>
                <w:b/>
                <w:bCs/>
                <w:snapToGrid w:val="0"/>
                <w:lang w:eastAsia="en-US" w:bidi="en-US"/>
              </w:rPr>
            </w:pPr>
            <w:r w:rsidRPr="00A70731">
              <w:rPr>
                <w:b/>
                <w:bCs/>
                <w:snapToGrid w:val="0"/>
                <w:lang w:eastAsia="en-US" w:bidi="en-US"/>
              </w:rPr>
              <w:t>866</w:t>
            </w:r>
          </w:p>
        </w:tc>
      </w:tr>
      <w:tr w:rsidR="00A70731" w:rsidRPr="00FD4D77" w:rsidTr="00A70731">
        <w:trPr>
          <w:trHeight w:val="170"/>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A70731">
            <w:pPr>
              <w:ind w:right="-1"/>
              <w:rPr>
                <w:b/>
                <w:bCs/>
                <w:snapToGrid w:val="0"/>
                <w:lang w:eastAsia="en-US" w:bidi="en-US"/>
              </w:rPr>
            </w:pPr>
            <w:r w:rsidRPr="00A70731">
              <w:rPr>
                <w:b/>
                <w:bCs/>
                <w:snapToGrid w:val="0"/>
                <w:lang w:eastAsia="en-US" w:bidi="en-US"/>
              </w:rPr>
              <w:t>Patrimônio Líquido</w:t>
            </w:r>
          </w:p>
        </w:tc>
        <w:tc>
          <w:tcPr>
            <w:tcW w:w="815" w:type="pct"/>
            <w:tcBorders>
              <w:top w:val="single" w:sz="8" w:space="0" w:color="DDDDDD"/>
              <w:left w:val="single" w:sz="8" w:space="0" w:color="DDDDDD"/>
              <w:bottom w:val="single" w:sz="18" w:space="0" w:color="DDDDDD"/>
              <w:right w:val="single" w:sz="8" w:space="0" w:color="DDDDDD"/>
            </w:tcBorders>
            <w:shd w:val="clear" w:color="auto" w:fill="auto"/>
            <w:vAlign w:val="center"/>
          </w:tcPr>
          <w:p w:rsidR="00A70731" w:rsidRPr="00A70731" w:rsidRDefault="00A70731" w:rsidP="00B54C44">
            <w:pPr>
              <w:jc w:val="center"/>
              <w:rPr>
                <w:b/>
                <w:bCs/>
                <w:snapToGrid w:val="0"/>
                <w:lang w:eastAsia="en-US" w:bidi="en-US"/>
              </w:rPr>
            </w:pPr>
            <w:r w:rsidRPr="00A70731">
              <w:rPr>
                <w:b/>
                <w:bCs/>
                <w:snapToGrid w:val="0"/>
                <w:lang w:eastAsia="en-US" w:bidi="en-US"/>
              </w:rPr>
              <w:t>13.602</w:t>
            </w:r>
          </w:p>
        </w:tc>
        <w:tc>
          <w:tcPr>
            <w:tcW w:w="815" w:type="pct"/>
            <w:tcBorders>
              <w:top w:val="single" w:sz="8" w:space="0" w:color="DDDDDD"/>
              <w:left w:val="single" w:sz="8" w:space="0" w:color="DDDDDD"/>
              <w:bottom w:val="single" w:sz="18" w:space="0" w:color="DDDDDD"/>
              <w:right w:val="single" w:sz="8" w:space="0" w:color="DDDDDD"/>
            </w:tcBorders>
            <w:vAlign w:val="center"/>
          </w:tcPr>
          <w:p w:rsidR="00A70731" w:rsidRPr="00A70731" w:rsidRDefault="00A70731" w:rsidP="00B54C44">
            <w:pPr>
              <w:jc w:val="center"/>
              <w:rPr>
                <w:b/>
                <w:bCs/>
                <w:snapToGrid w:val="0"/>
                <w:lang w:eastAsia="en-US" w:bidi="en-US"/>
              </w:rPr>
            </w:pPr>
            <w:r w:rsidRPr="00A70731">
              <w:rPr>
                <w:b/>
                <w:bCs/>
                <w:snapToGrid w:val="0"/>
                <w:lang w:eastAsia="en-US" w:bidi="en-US"/>
              </w:rPr>
              <w:t>14.035</w:t>
            </w:r>
          </w:p>
        </w:tc>
        <w:tc>
          <w:tcPr>
            <w:tcW w:w="809" w:type="pct"/>
            <w:tcBorders>
              <w:top w:val="single" w:sz="8" w:space="0" w:color="DDDDDD"/>
              <w:left w:val="single" w:sz="8" w:space="0" w:color="DDDDDD"/>
              <w:bottom w:val="single" w:sz="18" w:space="0" w:color="DDDDDD"/>
              <w:right w:val="single" w:sz="8" w:space="0" w:color="DDDDDD"/>
            </w:tcBorders>
            <w:vAlign w:val="center"/>
          </w:tcPr>
          <w:p w:rsidR="00A70731" w:rsidRPr="00A70731" w:rsidRDefault="00A70731" w:rsidP="00B54C44">
            <w:pPr>
              <w:jc w:val="center"/>
              <w:rPr>
                <w:b/>
                <w:bCs/>
                <w:snapToGrid w:val="0"/>
                <w:lang w:eastAsia="en-US" w:bidi="en-US"/>
              </w:rPr>
            </w:pPr>
            <w:r w:rsidRPr="00A70731">
              <w:rPr>
                <w:b/>
                <w:bCs/>
                <w:snapToGrid w:val="0"/>
                <w:lang w:eastAsia="en-US" w:bidi="en-US"/>
              </w:rPr>
              <w:t>433</w:t>
            </w:r>
          </w:p>
        </w:tc>
      </w:tr>
    </w:tbl>
    <w:p w:rsidR="00904360" w:rsidRPr="007E7E1D" w:rsidRDefault="00904360" w:rsidP="00A70731">
      <w:pPr>
        <w:spacing w:before="40" w:after="240"/>
        <w:rPr>
          <w:rFonts w:eastAsia="Calibri"/>
          <w:b/>
          <w:bCs/>
          <w:sz w:val="16"/>
          <w:szCs w:val="16"/>
        </w:rPr>
      </w:pPr>
      <w:r w:rsidRPr="007E7E1D">
        <w:rPr>
          <w:rFonts w:eastAsia="Calibri"/>
          <w:b/>
          <w:bCs/>
          <w:sz w:val="16"/>
          <w:szCs w:val="16"/>
        </w:rPr>
        <w:t>Fonte: Demonstrações Contábeis da CEB Geração S.A.</w:t>
      </w:r>
    </w:p>
    <w:p w:rsidR="003A714B" w:rsidRDefault="003A714B" w:rsidP="003A714B">
      <w:pPr>
        <w:spacing w:before="40" w:after="240"/>
        <w:jc w:val="both"/>
        <w:rPr>
          <w:sz w:val="22"/>
          <w:szCs w:val="22"/>
        </w:rPr>
      </w:pPr>
      <w:r>
        <w:rPr>
          <w:sz w:val="22"/>
          <w:szCs w:val="22"/>
        </w:rPr>
        <w:t xml:space="preserve">O ano de 2016 também foi </w:t>
      </w:r>
      <w:r w:rsidR="00002FC5">
        <w:rPr>
          <w:sz w:val="22"/>
          <w:szCs w:val="22"/>
        </w:rPr>
        <w:t>caracterizado</w:t>
      </w:r>
      <w:r>
        <w:rPr>
          <w:sz w:val="22"/>
          <w:szCs w:val="22"/>
        </w:rPr>
        <w:t xml:space="preserve"> pela</w:t>
      </w:r>
      <w:r w:rsidRPr="00B558D2">
        <w:rPr>
          <w:sz w:val="22"/>
          <w:szCs w:val="22"/>
        </w:rPr>
        <w:t xml:space="preserve"> crise hídrica</w:t>
      </w:r>
      <w:r>
        <w:rPr>
          <w:sz w:val="22"/>
          <w:szCs w:val="22"/>
        </w:rPr>
        <w:t xml:space="preserve"> que</w:t>
      </w:r>
      <w:r w:rsidRPr="00B558D2">
        <w:rPr>
          <w:sz w:val="22"/>
          <w:szCs w:val="22"/>
        </w:rPr>
        <w:t xml:space="preserve"> </w:t>
      </w:r>
      <w:r w:rsidR="00002FC5">
        <w:rPr>
          <w:sz w:val="22"/>
          <w:szCs w:val="22"/>
        </w:rPr>
        <w:t>causou uma</w:t>
      </w:r>
      <w:r w:rsidRPr="00B558D2">
        <w:rPr>
          <w:sz w:val="22"/>
          <w:szCs w:val="22"/>
        </w:rPr>
        <w:t xml:space="preserve"> redução de 13% </w:t>
      </w:r>
      <w:r w:rsidR="00002FC5">
        <w:rPr>
          <w:sz w:val="22"/>
          <w:szCs w:val="22"/>
        </w:rPr>
        <w:t>n</w:t>
      </w:r>
      <w:r w:rsidRPr="00B558D2">
        <w:rPr>
          <w:sz w:val="22"/>
          <w:szCs w:val="22"/>
        </w:rPr>
        <w:t xml:space="preserve">a </w:t>
      </w:r>
      <w:r w:rsidR="00221EB3">
        <w:rPr>
          <w:sz w:val="22"/>
          <w:szCs w:val="22"/>
        </w:rPr>
        <w:t>G</w:t>
      </w:r>
      <w:r w:rsidRPr="00B558D2">
        <w:rPr>
          <w:sz w:val="22"/>
          <w:szCs w:val="22"/>
        </w:rPr>
        <w:t xml:space="preserve">arantia </w:t>
      </w:r>
      <w:r w:rsidR="00221EB3">
        <w:rPr>
          <w:sz w:val="22"/>
          <w:szCs w:val="22"/>
        </w:rPr>
        <w:t>F</w:t>
      </w:r>
      <w:r w:rsidRPr="00B558D2">
        <w:rPr>
          <w:sz w:val="22"/>
          <w:szCs w:val="22"/>
        </w:rPr>
        <w:t xml:space="preserve">ísica do </w:t>
      </w:r>
      <w:r w:rsidR="00221EB3">
        <w:rPr>
          <w:sz w:val="22"/>
          <w:szCs w:val="22"/>
        </w:rPr>
        <w:t>S</w:t>
      </w:r>
      <w:r w:rsidRPr="00B558D2">
        <w:rPr>
          <w:sz w:val="22"/>
          <w:szCs w:val="22"/>
        </w:rPr>
        <w:t>istema, afetando as gera</w:t>
      </w:r>
      <w:r>
        <w:rPr>
          <w:sz w:val="22"/>
          <w:szCs w:val="22"/>
        </w:rPr>
        <w:t>doras</w:t>
      </w:r>
      <w:r w:rsidRPr="00B558D2">
        <w:rPr>
          <w:sz w:val="22"/>
          <w:szCs w:val="22"/>
        </w:rPr>
        <w:t>. Para suprir essa redução, as empresas adquirem energia ao Preço de Liquidação das Diferenças – PLD</w:t>
      </w:r>
      <w:r>
        <w:rPr>
          <w:sz w:val="22"/>
          <w:szCs w:val="22"/>
        </w:rPr>
        <w:t>,</w:t>
      </w:r>
      <w:r w:rsidRPr="00B558D2">
        <w:rPr>
          <w:sz w:val="22"/>
          <w:szCs w:val="22"/>
        </w:rPr>
        <w:t xml:space="preserve"> cujo valor médio </w:t>
      </w:r>
      <w:r>
        <w:rPr>
          <w:sz w:val="22"/>
          <w:szCs w:val="22"/>
        </w:rPr>
        <w:t xml:space="preserve">no exercício </w:t>
      </w:r>
      <w:r w:rsidRPr="00B558D2">
        <w:rPr>
          <w:sz w:val="22"/>
          <w:szCs w:val="22"/>
        </w:rPr>
        <w:t>foi R$</w:t>
      </w:r>
      <w:r>
        <w:rPr>
          <w:sz w:val="22"/>
          <w:szCs w:val="22"/>
        </w:rPr>
        <w:t xml:space="preserve"> </w:t>
      </w:r>
      <w:r w:rsidRPr="00B558D2">
        <w:rPr>
          <w:sz w:val="22"/>
          <w:szCs w:val="22"/>
        </w:rPr>
        <w:t>93,9</w:t>
      </w:r>
      <w:r>
        <w:rPr>
          <w:sz w:val="22"/>
          <w:szCs w:val="22"/>
        </w:rPr>
        <w:t>0</w:t>
      </w:r>
      <w:r w:rsidRPr="00B558D2">
        <w:rPr>
          <w:sz w:val="22"/>
          <w:szCs w:val="22"/>
        </w:rPr>
        <w:t xml:space="preserve"> e </w:t>
      </w:r>
      <w:r w:rsidR="00CA1858">
        <w:rPr>
          <w:sz w:val="22"/>
          <w:szCs w:val="22"/>
        </w:rPr>
        <w:t>cedem</w:t>
      </w:r>
      <w:r w:rsidR="00221EB3">
        <w:rPr>
          <w:sz w:val="22"/>
          <w:szCs w:val="22"/>
        </w:rPr>
        <w:t xml:space="preserve"> para o </w:t>
      </w:r>
      <w:r w:rsidR="00CA1858">
        <w:rPr>
          <w:sz w:val="22"/>
          <w:szCs w:val="22"/>
        </w:rPr>
        <w:t xml:space="preserve">sistema, nos termos do Mecanismo de Realocação de Energia – MRE, </w:t>
      </w:r>
      <w:r w:rsidRPr="00B558D2">
        <w:rPr>
          <w:sz w:val="22"/>
          <w:szCs w:val="22"/>
        </w:rPr>
        <w:t>ao preço de R$</w:t>
      </w:r>
      <w:r w:rsidR="00CA1858">
        <w:rPr>
          <w:sz w:val="22"/>
          <w:szCs w:val="22"/>
        </w:rPr>
        <w:t xml:space="preserve"> </w:t>
      </w:r>
      <w:r w:rsidRPr="00B558D2">
        <w:rPr>
          <w:sz w:val="22"/>
          <w:szCs w:val="22"/>
        </w:rPr>
        <w:t xml:space="preserve">12,32. </w:t>
      </w:r>
      <w:r w:rsidR="00CA1858">
        <w:rPr>
          <w:sz w:val="22"/>
          <w:szCs w:val="22"/>
        </w:rPr>
        <w:t xml:space="preserve">Tal situação foi </w:t>
      </w:r>
      <w:r w:rsidR="00DA11DC">
        <w:rPr>
          <w:sz w:val="22"/>
          <w:szCs w:val="22"/>
        </w:rPr>
        <w:t>mitigada</w:t>
      </w:r>
      <w:r w:rsidR="00CA1858">
        <w:rPr>
          <w:sz w:val="22"/>
          <w:szCs w:val="22"/>
        </w:rPr>
        <w:t xml:space="preserve"> pela</w:t>
      </w:r>
      <w:r w:rsidRPr="00B558D2">
        <w:rPr>
          <w:sz w:val="22"/>
          <w:szCs w:val="22"/>
        </w:rPr>
        <w:t xml:space="preserve"> </w:t>
      </w:r>
      <w:r>
        <w:rPr>
          <w:sz w:val="22"/>
          <w:szCs w:val="22"/>
        </w:rPr>
        <w:t xml:space="preserve">repactuação do risco hidrológico feita pela </w:t>
      </w:r>
      <w:r w:rsidRPr="00B558D2">
        <w:rPr>
          <w:sz w:val="22"/>
          <w:szCs w:val="22"/>
        </w:rPr>
        <w:t>CEB Geração</w:t>
      </w:r>
      <w:r>
        <w:rPr>
          <w:sz w:val="22"/>
          <w:szCs w:val="22"/>
        </w:rPr>
        <w:t xml:space="preserve"> S.A.</w:t>
      </w:r>
      <w:r w:rsidR="00CA1858">
        <w:rPr>
          <w:sz w:val="22"/>
          <w:szCs w:val="22"/>
        </w:rPr>
        <w:t xml:space="preserve"> em 2015</w:t>
      </w:r>
      <w:r w:rsidRPr="00B558D2">
        <w:rPr>
          <w:sz w:val="22"/>
          <w:szCs w:val="22"/>
        </w:rPr>
        <w:t>, co</w:t>
      </w:r>
      <w:r w:rsidR="00CA1858">
        <w:rPr>
          <w:sz w:val="22"/>
          <w:szCs w:val="22"/>
        </w:rPr>
        <w:t>nforme</w:t>
      </w:r>
      <w:r w:rsidRPr="00B558D2">
        <w:rPr>
          <w:sz w:val="22"/>
          <w:szCs w:val="22"/>
        </w:rPr>
        <w:t xml:space="preserve"> definido na Reso</w:t>
      </w:r>
      <w:r>
        <w:rPr>
          <w:sz w:val="22"/>
          <w:szCs w:val="22"/>
        </w:rPr>
        <w:t xml:space="preserve">lução </w:t>
      </w:r>
      <w:r w:rsidR="00ED7BC2">
        <w:rPr>
          <w:sz w:val="22"/>
          <w:szCs w:val="22"/>
        </w:rPr>
        <w:t xml:space="preserve">        </w:t>
      </w:r>
      <w:r w:rsidR="00F60C9D">
        <w:rPr>
          <w:sz w:val="22"/>
          <w:szCs w:val="22"/>
        </w:rPr>
        <w:t xml:space="preserve">nº </w:t>
      </w:r>
      <w:r>
        <w:rPr>
          <w:sz w:val="22"/>
          <w:szCs w:val="22"/>
        </w:rPr>
        <w:t>684/2015-A</w:t>
      </w:r>
      <w:r w:rsidR="00610207">
        <w:rPr>
          <w:sz w:val="22"/>
          <w:szCs w:val="22"/>
        </w:rPr>
        <w:t>NEEL</w:t>
      </w:r>
      <w:r>
        <w:rPr>
          <w:sz w:val="22"/>
          <w:szCs w:val="22"/>
        </w:rPr>
        <w:t xml:space="preserve">, </w:t>
      </w:r>
      <w:r w:rsidR="00CA1858">
        <w:rPr>
          <w:sz w:val="22"/>
          <w:szCs w:val="22"/>
        </w:rPr>
        <w:t xml:space="preserve">que </w:t>
      </w:r>
      <w:r>
        <w:rPr>
          <w:sz w:val="22"/>
          <w:szCs w:val="22"/>
        </w:rPr>
        <w:t>repassou</w:t>
      </w:r>
      <w:r w:rsidRPr="00B558D2">
        <w:rPr>
          <w:sz w:val="22"/>
          <w:szCs w:val="22"/>
        </w:rPr>
        <w:t xml:space="preserve"> ao consumidor 100% deste risco, result</w:t>
      </w:r>
      <w:r w:rsidR="00CA1858">
        <w:rPr>
          <w:sz w:val="22"/>
          <w:szCs w:val="22"/>
        </w:rPr>
        <w:t>ando</w:t>
      </w:r>
      <w:r w:rsidRPr="00B558D2">
        <w:rPr>
          <w:sz w:val="22"/>
          <w:szCs w:val="22"/>
        </w:rPr>
        <w:t xml:space="preserve"> em um crédito de </w:t>
      </w:r>
      <w:r w:rsidR="00ED7BC2">
        <w:rPr>
          <w:sz w:val="22"/>
          <w:szCs w:val="22"/>
        </w:rPr>
        <w:t xml:space="preserve">                      </w:t>
      </w:r>
      <w:r w:rsidRPr="00B558D2">
        <w:rPr>
          <w:sz w:val="22"/>
          <w:szCs w:val="22"/>
        </w:rPr>
        <w:t>R$ 1.524.748,00</w:t>
      </w:r>
      <w:r w:rsidR="00CA1858">
        <w:rPr>
          <w:sz w:val="22"/>
          <w:szCs w:val="22"/>
        </w:rPr>
        <w:t>,</w:t>
      </w:r>
      <w:r w:rsidRPr="00B558D2">
        <w:rPr>
          <w:sz w:val="22"/>
          <w:szCs w:val="22"/>
        </w:rPr>
        <w:t xml:space="preserve"> ainda </w:t>
      </w:r>
      <w:r w:rsidR="00CA1858">
        <w:rPr>
          <w:sz w:val="22"/>
          <w:szCs w:val="22"/>
        </w:rPr>
        <w:t xml:space="preserve">em processo de </w:t>
      </w:r>
      <w:r w:rsidRPr="00B558D2">
        <w:rPr>
          <w:sz w:val="22"/>
          <w:szCs w:val="22"/>
        </w:rPr>
        <w:t xml:space="preserve">liquidação financeira </w:t>
      </w:r>
      <w:r w:rsidR="00DA11DC">
        <w:rPr>
          <w:sz w:val="22"/>
          <w:szCs w:val="22"/>
        </w:rPr>
        <w:t>n</w:t>
      </w:r>
      <w:r w:rsidRPr="00B558D2">
        <w:rPr>
          <w:sz w:val="22"/>
          <w:szCs w:val="22"/>
        </w:rPr>
        <w:t xml:space="preserve">o </w:t>
      </w:r>
      <w:r w:rsidR="00DA11DC">
        <w:rPr>
          <w:sz w:val="22"/>
          <w:szCs w:val="22"/>
        </w:rPr>
        <w:t xml:space="preserve">Mercado de Curto Prazo – </w:t>
      </w:r>
      <w:r w:rsidRPr="00DA11DC">
        <w:rPr>
          <w:sz w:val="22"/>
          <w:szCs w:val="22"/>
        </w:rPr>
        <w:t>MCP</w:t>
      </w:r>
      <w:r w:rsidR="00DA11DC" w:rsidRPr="00DA11DC">
        <w:rPr>
          <w:sz w:val="22"/>
          <w:szCs w:val="22"/>
        </w:rPr>
        <w:t>, no âmbito da Câmara de Comercialização de Energia – CCEE.</w:t>
      </w:r>
    </w:p>
    <w:p w:rsidR="003A714B" w:rsidRDefault="003A714B" w:rsidP="003A714B">
      <w:pPr>
        <w:autoSpaceDE w:val="0"/>
        <w:autoSpaceDN w:val="0"/>
        <w:adjustRightInd w:val="0"/>
        <w:spacing w:before="240" w:after="240"/>
        <w:jc w:val="both"/>
        <w:rPr>
          <w:rFonts w:eastAsia="Calibri"/>
          <w:sz w:val="22"/>
          <w:szCs w:val="22"/>
        </w:rPr>
      </w:pPr>
      <w:r w:rsidRPr="00B558D2">
        <w:rPr>
          <w:sz w:val="22"/>
          <w:szCs w:val="22"/>
        </w:rPr>
        <w:t>No entanto, distint</w:t>
      </w:r>
      <w:r w:rsidR="00CA1858">
        <w:rPr>
          <w:sz w:val="22"/>
          <w:szCs w:val="22"/>
        </w:rPr>
        <w:t xml:space="preserve">as liminares e ações judiciais </w:t>
      </w:r>
      <w:r w:rsidRPr="00B558D2">
        <w:rPr>
          <w:sz w:val="22"/>
          <w:szCs w:val="22"/>
        </w:rPr>
        <w:t>protege</w:t>
      </w:r>
      <w:r w:rsidR="00DA11DC">
        <w:rPr>
          <w:sz w:val="22"/>
          <w:szCs w:val="22"/>
        </w:rPr>
        <w:t>ram</w:t>
      </w:r>
      <w:r w:rsidRPr="00B558D2">
        <w:rPr>
          <w:sz w:val="22"/>
          <w:szCs w:val="22"/>
        </w:rPr>
        <w:t xml:space="preserve"> os agentes que não optaram pela repactuação do risco hidrológico, ou defin</w:t>
      </w:r>
      <w:r w:rsidR="00DA11DC">
        <w:rPr>
          <w:sz w:val="22"/>
          <w:szCs w:val="22"/>
        </w:rPr>
        <w:t>iram</w:t>
      </w:r>
      <w:r w:rsidRPr="00B558D2">
        <w:rPr>
          <w:sz w:val="22"/>
          <w:szCs w:val="22"/>
        </w:rPr>
        <w:t xml:space="preserve"> prioridade</w:t>
      </w:r>
      <w:r w:rsidR="00DA11DC">
        <w:rPr>
          <w:sz w:val="22"/>
          <w:szCs w:val="22"/>
        </w:rPr>
        <w:t>s</w:t>
      </w:r>
      <w:r w:rsidRPr="00B558D2">
        <w:rPr>
          <w:sz w:val="22"/>
          <w:szCs w:val="22"/>
        </w:rPr>
        <w:t xml:space="preserve"> no recebimento dos créditos da liquidação, </w:t>
      </w:r>
      <w:r w:rsidR="00DA11DC">
        <w:rPr>
          <w:sz w:val="22"/>
          <w:szCs w:val="22"/>
        </w:rPr>
        <w:t>circunstâncias que impediram</w:t>
      </w:r>
      <w:r w:rsidRPr="00B558D2">
        <w:rPr>
          <w:sz w:val="22"/>
          <w:szCs w:val="22"/>
        </w:rPr>
        <w:t xml:space="preserve"> que a CCEE liquid</w:t>
      </w:r>
      <w:r w:rsidR="00DA11DC">
        <w:rPr>
          <w:sz w:val="22"/>
          <w:szCs w:val="22"/>
        </w:rPr>
        <w:t>asse</w:t>
      </w:r>
      <w:r w:rsidRPr="00B558D2">
        <w:rPr>
          <w:sz w:val="22"/>
          <w:szCs w:val="22"/>
        </w:rPr>
        <w:t xml:space="preserve"> integralmente o valor devido</w:t>
      </w:r>
      <w:r w:rsidR="00DA11DC">
        <w:rPr>
          <w:sz w:val="22"/>
          <w:szCs w:val="22"/>
        </w:rPr>
        <w:t xml:space="preserve"> no exercício de 2016</w:t>
      </w:r>
      <w:r w:rsidRPr="00B558D2">
        <w:rPr>
          <w:sz w:val="22"/>
          <w:szCs w:val="22"/>
        </w:rPr>
        <w:t>.</w:t>
      </w:r>
    </w:p>
    <w:p w:rsidR="003A714B" w:rsidRDefault="003A714B" w:rsidP="003A714B">
      <w:pPr>
        <w:autoSpaceDE w:val="0"/>
        <w:autoSpaceDN w:val="0"/>
        <w:adjustRightInd w:val="0"/>
        <w:spacing w:before="240" w:after="240"/>
        <w:jc w:val="both"/>
        <w:rPr>
          <w:sz w:val="22"/>
          <w:szCs w:val="22"/>
        </w:rPr>
      </w:pPr>
      <w:r w:rsidRPr="007E7E1D">
        <w:rPr>
          <w:sz w:val="22"/>
          <w:szCs w:val="22"/>
        </w:rPr>
        <w:t xml:space="preserve">No âmbito das despesas gerenciáveis, a CEB Geração S.A. </w:t>
      </w:r>
      <w:r>
        <w:rPr>
          <w:sz w:val="22"/>
          <w:szCs w:val="22"/>
        </w:rPr>
        <w:t xml:space="preserve">continuou com controle austero sobre os </w:t>
      </w:r>
      <w:r w:rsidRPr="007E7E1D">
        <w:rPr>
          <w:sz w:val="22"/>
          <w:szCs w:val="22"/>
        </w:rPr>
        <w:t>custos operacionais,</w:t>
      </w:r>
      <w:r>
        <w:rPr>
          <w:sz w:val="22"/>
          <w:szCs w:val="22"/>
        </w:rPr>
        <w:t xml:space="preserve"> mantendo-os sob cre</w:t>
      </w:r>
      <w:r w:rsidR="00DA11DC">
        <w:rPr>
          <w:sz w:val="22"/>
          <w:szCs w:val="22"/>
        </w:rPr>
        <w:t>scimentos inferiores à inflação e foram realizados ainda,</w:t>
      </w:r>
      <w:r w:rsidR="007C5801">
        <w:rPr>
          <w:sz w:val="22"/>
          <w:szCs w:val="22"/>
        </w:rPr>
        <w:t xml:space="preserve"> investimentos em manutenção</w:t>
      </w:r>
      <w:r>
        <w:rPr>
          <w:sz w:val="22"/>
          <w:szCs w:val="22"/>
        </w:rPr>
        <w:t xml:space="preserve"> na Máquina 2 da Usina Paranoá e </w:t>
      </w:r>
      <w:r w:rsidR="00DA11DC">
        <w:rPr>
          <w:sz w:val="22"/>
          <w:szCs w:val="22"/>
        </w:rPr>
        <w:t>na</w:t>
      </w:r>
      <w:r>
        <w:rPr>
          <w:sz w:val="22"/>
          <w:szCs w:val="22"/>
        </w:rPr>
        <w:t xml:space="preserve"> nova estação hidrometeorológica </w:t>
      </w:r>
      <w:r w:rsidR="00DA11DC">
        <w:rPr>
          <w:sz w:val="22"/>
          <w:szCs w:val="22"/>
        </w:rPr>
        <w:t xml:space="preserve">à jusante da </w:t>
      </w:r>
      <w:r>
        <w:rPr>
          <w:sz w:val="22"/>
          <w:szCs w:val="22"/>
        </w:rPr>
        <w:t xml:space="preserve">Barragem do </w:t>
      </w:r>
      <w:r w:rsidR="00DA11DC">
        <w:rPr>
          <w:sz w:val="22"/>
          <w:szCs w:val="22"/>
        </w:rPr>
        <w:t xml:space="preserve">Lago </w:t>
      </w:r>
      <w:r>
        <w:rPr>
          <w:sz w:val="22"/>
          <w:szCs w:val="22"/>
        </w:rPr>
        <w:t>Paranoá</w:t>
      </w:r>
      <w:r w:rsidRPr="007E7E1D">
        <w:rPr>
          <w:sz w:val="22"/>
          <w:szCs w:val="22"/>
        </w:rPr>
        <w:t>.</w:t>
      </w:r>
    </w:p>
    <w:p w:rsidR="003A714B" w:rsidRPr="007E7E1D" w:rsidRDefault="00DA11DC" w:rsidP="003A714B">
      <w:pPr>
        <w:spacing w:before="240" w:after="240"/>
        <w:jc w:val="both"/>
        <w:rPr>
          <w:sz w:val="22"/>
          <w:szCs w:val="22"/>
        </w:rPr>
      </w:pPr>
      <w:r>
        <w:rPr>
          <w:sz w:val="22"/>
          <w:szCs w:val="22"/>
        </w:rPr>
        <w:t>Do ponto de vistas econômico-financeiro, a</w:t>
      </w:r>
      <w:r w:rsidR="003A714B" w:rsidRPr="007E7E1D">
        <w:rPr>
          <w:sz w:val="22"/>
          <w:szCs w:val="22"/>
        </w:rPr>
        <w:t xml:space="preserve"> CEB Geração S.A. manteve um patamar de estabilidade nas apurações dos seus resultados</w:t>
      </w:r>
      <w:r>
        <w:rPr>
          <w:sz w:val="22"/>
          <w:szCs w:val="22"/>
        </w:rPr>
        <w:t>,</w:t>
      </w:r>
      <w:r w:rsidR="003A714B" w:rsidRPr="007E7E1D">
        <w:rPr>
          <w:sz w:val="22"/>
          <w:szCs w:val="22"/>
        </w:rPr>
        <w:t xml:space="preserve"> que persiste nos últimos anos, oriundos, basicamente, da comercialização da energia gerada pela Usina Hidrelétrica do Paranoá.</w:t>
      </w:r>
    </w:p>
    <w:p w:rsidR="00B3446C" w:rsidRDefault="00B3446C" w:rsidP="00EA7B2C">
      <w:pPr>
        <w:rPr>
          <w:b/>
          <w:sz w:val="22"/>
          <w:szCs w:val="22"/>
        </w:rPr>
      </w:pPr>
      <w:r w:rsidRPr="007E7E1D">
        <w:rPr>
          <w:b/>
          <w:sz w:val="22"/>
          <w:szCs w:val="22"/>
        </w:rPr>
        <w:t>CEB Lajeado S.A.</w:t>
      </w:r>
    </w:p>
    <w:p w:rsidR="00321D7A" w:rsidRDefault="00321D7A" w:rsidP="00EA7B2C">
      <w:pPr>
        <w:rPr>
          <w:b/>
          <w:sz w:val="22"/>
          <w:szCs w:val="22"/>
        </w:rPr>
      </w:pPr>
    </w:p>
    <w:p w:rsidR="004F2EC7" w:rsidRPr="004F2EC7" w:rsidRDefault="004F2EC7" w:rsidP="00F62C5A">
      <w:pPr>
        <w:spacing w:after="240"/>
        <w:jc w:val="both"/>
        <w:rPr>
          <w:sz w:val="22"/>
          <w:szCs w:val="22"/>
        </w:rPr>
      </w:pPr>
      <w:r>
        <w:rPr>
          <w:sz w:val="22"/>
          <w:szCs w:val="22"/>
        </w:rPr>
        <w:t>A CEB Lajeado S.</w:t>
      </w:r>
      <w:r w:rsidRPr="004F2EC7">
        <w:rPr>
          <w:sz w:val="22"/>
          <w:szCs w:val="22"/>
        </w:rPr>
        <w:t>A</w:t>
      </w:r>
      <w:r>
        <w:rPr>
          <w:sz w:val="22"/>
          <w:szCs w:val="22"/>
        </w:rPr>
        <w:t>.</w:t>
      </w:r>
      <w:r w:rsidRPr="004F2EC7">
        <w:rPr>
          <w:sz w:val="22"/>
          <w:szCs w:val="22"/>
        </w:rPr>
        <w:t xml:space="preserve"> é uma sociedade por ações de capital fechado, autorizada pela Lei Distrital nº 2.515, de 31 de dezembro de 1999, controlada pela Companhia Energética de Brasília – CEB, com 59,93% do total das ações, representada por ações ordinárias. As Centrais Elétricas Brasileiras S/A – Eletrobrás detém 40,07% do total das ações, representada por ações preferenciais.</w:t>
      </w:r>
    </w:p>
    <w:p w:rsidR="004F2EC7" w:rsidRPr="004F2EC7" w:rsidRDefault="004F2EC7" w:rsidP="004F2EC7">
      <w:pPr>
        <w:spacing w:before="240" w:after="240"/>
        <w:jc w:val="both"/>
        <w:rPr>
          <w:sz w:val="22"/>
          <w:szCs w:val="22"/>
        </w:rPr>
      </w:pPr>
      <w:r>
        <w:rPr>
          <w:sz w:val="22"/>
          <w:szCs w:val="22"/>
        </w:rPr>
        <w:lastRenderedPageBreak/>
        <w:t>A CEB Lajeado S.</w:t>
      </w:r>
      <w:r w:rsidRPr="004F2EC7">
        <w:rPr>
          <w:sz w:val="22"/>
          <w:szCs w:val="22"/>
        </w:rPr>
        <w:t>A</w:t>
      </w:r>
      <w:r>
        <w:rPr>
          <w:sz w:val="22"/>
          <w:szCs w:val="22"/>
        </w:rPr>
        <w:t>.</w:t>
      </w:r>
      <w:r w:rsidRPr="004F2EC7">
        <w:rPr>
          <w:sz w:val="22"/>
          <w:szCs w:val="22"/>
        </w:rPr>
        <w:t xml:space="preserve"> em conju</w:t>
      </w:r>
      <w:r w:rsidR="00EF382F">
        <w:rPr>
          <w:sz w:val="22"/>
          <w:szCs w:val="22"/>
        </w:rPr>
        <w:t>nto com a EDP Lajeado Energia S.</w:t>
      </w:r>
      <w:r w:rsidRPr="004F2EC7">
        <w:rPr>
          <w:sz w:val="22"/>
          <w:szCs w:val="22"/>
        </w:rPr>
        <w:t>A</w:t>
      </w:r>
      <w:r w:rsidR="00EF382F">
        <w:rPr>
          <w:sz w:val="22"/>
          <w:szCs w:val="22"/>
        </w:rPr>
        <w:t>. e a Paulista Lajeado Energia S.</w:t>
      </w:r>
      <w:r w:rsidRPr="004F2EC7">
        <w:rPr>
          <w:sz w:val="22"/>
          <w:szCs w:val="22"/>
        </w:rPr>
        <w:t>A</w:t>
      </w:r>
      <w:r w:rsidR="00EF382F">
        <w:rPr>
          <w:sz w:val="22"/>
          <w:szCs w:val="22"/>
        </w:rPr>
        <w:t>.</w:t>
      </w:r>
      <w:r w:rsidRPr="004F2EC7">
        <w:rPr>
          <w:sz w:val="22"/>
          <w:szCs w:val="22"/>
        </w:rPr>
        <w:t xml:space="preserve"> são titulares de ações representativas de 100% do capital votante </w:t>
      </w:r>
      <w:r w:rsidR="00EF382F">
        <w:rPr>
          <w:sz w:val="22"/>
          <w:szCs w:val="22"/>
        </w:rPr>
        <w:t>da Investco S.</w:t>
      </w:r>
      <w:r w:rsidRPr="004F2EC7">
        <w:rPr>
          <w:sz w:val="22"/>
          <w:szCs w:val="22"/>
        </w:rPr>
        <w:t>A</w:t>
      </w:r>
      <w:r w:rsidR="00EF382F">
        <w:rPr>
          <w:sz w:val="22"/>
          <w:szCs w:val="22"/>
        </w:rPr>
        <w:t>.</w:t>
      </w:r>
      <w:r w:rsidRPr="004F2EC7">
        <w:rPr>
          <w:sz w:val="22"/>
          <w:szCs w:val="22"/>
        </w:rPr>
        <w:t>. Sobr</w:t>
      </w:r>
      <w:r>
        <w:rPr>
          <w:sz w:val="22"/>
          <w:szCs w:val="22"/>
        </w:rPr>
        <w:t>e este capital, a CEB Lajeado S.</w:t>
      </w:r>
      <w:r w:rsidRPr="004F2EC7">
        <w:rPr>
          <w:sz w:val="22"/>
          <w:szCs w:val="22"/>
        </w:rPr>
        <w:t>A</w:t>
      </w:r>
      <w:r>
        <w:rPr>
          <w:sz w:val="22"/>
          <w:szCs w:val="22"/>
        </w:rPr>
        <w:t>.</w:t>
      </w:r>
      <w:r w:rsidRPr="004F2EC7">
        <w:rPr>
          <w:sz w:val="22"/>
          <w:szCs w:val="22"/>
        </w:rPr>
        <w:t xml:space="preserve"> detém 20% de participação.</w:t>
      </w:r>
    </w:p>
    <w:p w:rsidR="004F2EC7" w:rsidRDefault="004F2EC7" w:rsidP="004F2EC7">
      <w:pPr>
        <w:spacing w:before="240" w:after="240"/>
        <w:jc w:val="both"/>
        <w:rPr>
          <w:sz w:val="22"/>
          <w:szCs w:val="22"/>
        </w:rPr>
      </w:pPr>
      <w:r w:rsidRPr="004F2EC7">
        <w:rPr>
          <w:sz w:val="22"/>
          <w:szCs w:val="22"/>
        </w:rPr>
        <w:t>As referidas sociedad</w:t>
      </w:r>
      <w:r w:rsidR="00EF382F">
        <w:rPr>
          <w:sz w:val="22"/>
          <w:szCs w:val="22"/>
        </w:rPr>
        <w:t>es, juntamente com a Investco S.</w:t>
      </w:r>
      <w:r w:rsidRPr="004F2EC7">
        <w:rPr>
          <w:sz w:val="22"/>
          <w:szCs w:val="22"/>
        </w:rPr>
        <w:t>A</w:t>
      </w:r>
      <w:r w:rsidR="00EF382F">
        <w:rPr>
          <w:sz w:val="22"/>
          <w:szCs w:val="22"/>
        </w:rPr>
        <w:t>.</w:t>
      </w:r>
      <w:r w:rsidRPr="004F2EC7">
        <w:rPr>
          <w:sz w:val="22"/>
          <w:szCs w:val="22"/>
        </w:rPr>
        <w:t xml:space="preserve">, são parte do consórcio denominado “Consórcio Lajeado”, cujo objeto é a exploração compartilhada da concessão de uso de bem público para a exploração da UHE Luís Eduardo Magalhães e Sistema de Transmissão Associado, nos termos do Contrato de Concessão </w:t>
      </w:r>
      <w:r w:rsidR="00516365">
        <w:rPr>
          <w:sz w:val="22"/>
          <w:szCs w:val="22"/>
        </w:rPr>
        <w:t xml:space="preserve">     </w:t>
      </w:r>
      <w:r w:rsidRPr="004F2EC7">
        <w:rPr>
          <w:sz w:val="22"/>
          <w:szCs w:val="22"/>
        </w:rPr>
        <w:t>n° 05/1997 e respectivos aditivos. O prazo de duração do contrato de concessão é de 35 anos contados a partir de 16 de dezembro de 1997.</w:t>
      </w:r>
    </w:p>
    <w:p w:rsidR="00B3446C" w:rsidRPr="007E7E1D" w:rsidRDefault="00B3446C" w:rsidP="00B3446C">
      <w:pPr>
        <w:spacing w:before="240" w:after="240"/>
        <w:rPr>
          <w:b/>
          <w:sz w:val="22"/>
          <w:szCs w:val="22"/>
        </w:rPr>
      </w:pPr>
      <w:r w:rsidRPr="007E7E1D">
        <w:rPr>
          <w:b/>
          <w:sz w:val="22"/>
          <w:szCs w:val="22"/>
        </w:rPr>
        <w:t>Organização Societária</w:t>
      </w:r>
    </w:p>
    <w:p w:rsidR="00B3446C" w:rsidRPr="00F93ACC" w:rsidRDefault="002716EC" w:rsidP="00D119F5">
      <w:pPr>
        <w:spacing w:before="240" w:after="240"/>
        <w:jc w:val="center"/>
        <w:rPr>
          <w:b/>
          <w:bCs/>
          <w:sz w:val="22"/>
          <w:szCs w:val="22"/>
        </w:rPr>
      </w:pPr>
      <w:r w:rsidRPr="002716EC">
        <w:rPr>
          <w:b/>
          <w:bCs/>
          <w:noProof/>
          <w:sz w:val="22"/>
          <w:szCs w:val="22"/>
        </w:rPr>
        <w:drawing>
          <wp:inline distT="0" distB="0" distL="0" distR="0">
            <wp:extent cx="3670355" cy="2178657"/>
            <wp:effectExtent l="19050" t="0" r="6295"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1324" cy="5353588"/>
                      <a:chOff x="251520" y="780375"/>
                      <a:chExt cx="8571324" cy="5353588"/>
                    </a:xfrm>
                  </a:grpSpPr>
                  <a:pic>
                    <a:nvPicPr>
                      <a:cNvPr id="2" name="Picture 2" descr="http://www.edp.com.br/geracao-renovaveis/geracao/tocantins/investco/empresa/composicao_acionaria/PublishingImages/empresas_edp.jpg"/>
                      <a:cNvPicPr>
                        <a:picLocks noChangeAspect="1" noChangeArrowheads="1"/>
                      </a:cNvPicPr>
                    </a:nvPicPr>
                    <a:blipFill>
                      <a:blip r:embed="rId34" cstate="print">
                        <a:extLst>
                          <a:ext uri="{28A0092B-C50C-407E-A947-70E740481C1C}">
                            <a14:useLocalDpi xmlns:a14="http://schemas.microsoft.com/office/drawing/2010/main" val="0"/>
                          </a:ext>
                        </a:extLst>
                      </a:blip>
                      <a:srcRect/>
                      <a:stretch>
                        <a:fillRect/>
                      </a:stretch>
                    </a:blipFill>
                    <a:spPr bwMode="auto">
                      <a:xfrm>
                        <a:off x="7651269" y="2147634"/>
                        <a:ext cx="1171575" cy="828676"/>
                      </a:xfrm>
                      <a:prstGeom prst="rect">
                        <a:avLst/>
                      </a:prstGeom>
                      <a:noFill/>
                      <a:extLst>
                        <a:ext uri="{909E8E84-426E-40DD-AFC4-6F175D3DCCD1}">
                          <a14:hiddenFill xmlns:a14="http://schemas.microsoft.com/office/drawing/2010/main">
                            <a:solidFill>
                              <a:srgbClr val="FFFFFF"/>
                            </a:solidFill>
                          </a14:hiddenFill>
                        </a:ext>
                      </a:extLst>
                    </a:spPr>
                  </a:pic>
                  <a:pic>
                    <a:nvPicPr>
                      <a:cNvPr id="3" name="Picture 4" descr="http://www.edp.com.br/geracao-renovaveis/geracao/tocantins/investco/empresa/composicao_acionaria/PublishingImages/cpfl_energia.jpg"/>
                      <a:cNvPicPr>
                        <a:picLocks noChangeArrowheads="1"/>
                      </a:cNvPicPr>
                    </a:nvPicPr>
                    <a:blipFill>
                      <a:blip r:embed="rId35" cstate="print">
                        <a:extLst>
                          <a:ext uri="{28A0092B-C50C-407E-A947-70E740481C1C}">
                            <a14:useLocalDpi xmlns:a14="http://schemas.microsoft.com/office/drawing/2010/main" val="0"/>
                          </a:ext>
                        </a:extLst>
                      </a:blip>
                      <a:srcRect/>
                      <a:stretch>
                        <a:fillRect/>
                      </a:stretch>
                    </a:blipFill>
                    <a:spPr bwMode="auto">
                      <a:xfrm>
                        <a:off x="6234221" y="2148310"/>
                        <a:ext cx="1170000" cy="828000"/>
                      </a:xfrm>
                      <a:prstGeom prst="rect">
                        <a:avLst/>
                      </a:prstGeom>
                      <a:noFill/>
                      <a:extLst>
                        <a:ext uri="{909E8E84-426E-40DD-AFC4-6F175D3DCCD1}">
                          <a14:hiddenFill xmlns:a14="http://schemas.microsoft.com/office/drawing/2010/main">
                            <a:solidFill>
                              <a:srgbClr val="FFFFFF"/>
                            </a:solidFill>
                          </a14:hiddenFill>
                        </a:ext>
                      </a:extLst>
                    </a:spPr>
                  </a:pic>
                  <a:pic>
                    <a:nvPicPr>
                      <a:cNvPr id="4" name="Picture 5" descr="35974"/>
                      <a:cNvPicPr>
                        <a:picLocks noChangeArrowheads="1"/>
                      </a:cNvPicPr>
                    </a:nvPicPr>
                    <a:blipFill>
                      <a:blip r:embed="rId24" cstate="print">
                        <a:extLst>
                          <a:ext uri="{28A0092B-C50C-407E-A947-70E740481C1C}">
                            <a14:useLocalDpi xmlns:a14="http://schemas.microsoft.com/office/drawing/2010/main" val="0"/>
                          </a:ext>
                        </a:extLst>
                      </a:blip>
                      <a:srcRect/>
                      <a:stretch>
                        <a:fillRect/>
                      </a:stretch>
                    </a:blipFill>
                    <a:spPr bwMode="auto">
                      <a:xfrm>
                        <a:off x="4224338" y="780375"/>
                        <a:ext cx="953976" cy="546331"/>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pic>
                  <a:pic>
                    <a:nvPicPr>
                      <a:cNvPr id="5" name="Picture 10" descr="http://www.hidrobombasaraguaia.com.br/image/investco.jpg"/>
                      <a:cNvPicPr>
                        <a:picLocks noChangeArrowheads="1"/>
                      </a:cNvPicPr>
                    </a:nvPicPr>
                    <a:blipFill>
                      <a:blip r:embed="rId36" cstate="print">
                        <a:extLst>
                          <a:ext uri="{28A0092B-C50C-407E-A947-70E740481C1C}">
                            <a14:useLocalDpi xmlns:a14="http://schemas.microsoft.com/office/drawing/2010/main" val="0"/>
                          </a:ext>
                        </a:extLst>
                      </a:blip>
                      <a:srcRect/>
                      <a:stretch>
                        <a:fillRect/>
                      </a:stretch>
                    </a:blipFill>
                    <a:spPr bwMode="auto">
                      <a:xfrm>
                        <a:off x="6225812" y="3588687"/>
                        <a:ext cx="1170000" cy="828000"/>
                      </a:xfrm>
                      <a:prstGeom prst="rect">
                        <a:avLst/>
                      </a:prstGeom>
                      <a:noFill/>
                      <a:extLst>
                        <a:ext uri="{909E8E84-426E-40DD-AFC4-6F175D3DCCD1}">
                          <a14:hiddenFill xmlns:a14="http://schemas.microsoft.com/office/drawing/2010/main">
                            <a:solidFill>
                              <a:srgbClr val="FFFFFF"/>
                            </a:solidFill>
                          </a14:hiddenFill>
                        </a:ext>
                      </a:extLst>
                    </a:spPr>
                  </a:pic>
                  <a:pic>
                    <a:nvPicPr>
                      <a:cNvPr id="6" name="Imagem 5" descr="Descrição: CEB_lajeado"/>
                      <a:cNvPicPr/>
                    </a:nvPicPr>
                    <a:blipFill>
                      <a:blip r:embed="rId27" cstate="print">
                        <a:extLst>
                          <a:ext uri="{28A0092B-C50C-407E-A947-70E740481C1C}">
                            <a14:useLocalDpi xmlns:a14="http://schemas.microsoft.com/office/drawing/2010/main" val="0"/>
                          </a:ext>
                        </a:extLst>
                      </a:blip>
                      <a:srcRect/>
                      <a:stretch>
                        <a:fillRect/>
                      </a:stretch>
                    </a:blipFill>
                    <a:spPr bwMode="auto">
                      <a:xfrm>
                        <a:off x="4857660" y="2148310"/>
                        <a:ext cx="1170000" cy="828000"/>
                      </a:xfrm>
                      <a:prstGeom prst="rect">
                        <a:avLst/>
                      </a:prstGeom>
                      <a:noFill/>
                      <a:ln>
                        <a:noFill/>
                      </a:ln>
                    </a:spPr>
                  </a:pic>
                  <a:sp>
                    <a:nvSpPr>
                      <a:cNvPr id="7" name="Fluxograma: Processo 6"/>
                      <a:cNvSpPr>
                        <a:spLocks/>
                      </a:cNvSpPr>
                    </a:nvSpPr>
                    <a:spPr bwMode="auto">
                      <a:xfrm rot="10800000" flipV="1">
                        <a:off x="251520" y="5661248"/>
                        <a:ext cx="7275654" cy="472715"/>
                      </a:xfrm>
                      <a:prstGeom prst="flowChartProcess">
                        <a:avLst/>
                      </a:prstGeom>
                      <a:solidFill>
                        <a:srgbClr val="FFFFFF"/>
                      </a:solidFill>
                      <a:ln w="254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2800" b="1" dirty="0" smtClean="0">
                              <a:solidFill>
                                <a:srgbClr val="002060"/>
                              </a:solidFill>
                              <a:latin typeface="Arial Narrow" pitchFamily="34" charset="0"/>
                            </a:rPr>
                            <a:t>CONCESSÃO UHE </a:t>
                          </a:r>
                          <a:r>
                            <a:rPr lang="pt-BR" altLang="pt-BR" sz="2800" b="1" dirty="0" smtClean="0">
                              <a:solidFill>
                                <a:srgbClr val="002060"/>
                              </a:solidFill>
                              <a:latin typeface="Arial Narrow" pitchFamily="34" charset="0"/>
                            </a:rPr>
                            <a:t>LUÍS EDUARDO MAGALHÃES</a:t>
                          </a:r>
                          <a:endParaRPr lang="pt-BR" altLang="pt-BR" sz="2800" b="1" dirty="0">
                            <a:solidFill>
                              <a:srgbClr val="002060"/>
                            </a:solidFill>
                            <a:latin typeface="Arial Narrow" pitchFamily="34" charset="0"/>
                          </a:endParaRPr>
                        </a:p>
                      </a:txBody>
                      <a:useSpRect/>
                    </a:txSp>
                  </a:sp>
                  <a:sp>
                    <a:nvSpPr>
                      <a:cNvPr id="8" name="CaixaDeTexto 9242"/>
                      <a:cNvSpPr txBox="1"/>
                    </a:nvSpPr>
                    <a:spPr>
                      <a:xfrm>
                        <a:off x="3513724" y="4865086"/>
                        <a:ext cx="839880"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19,8%</a:t>
                          </a:r>
                          <a:endParaRPr lang="pt-BR" sz="1400" b="1" dirty="0">
                            <a:latin typeface="Arial" pitchFamily="34" charset="0"/>
                            <a:cs typeface="Arial" pitchFamily="34" charset="0"/>
                          </a:endParaRPr>
                        </a:p>
                      </a:txBody>
                      <a:useSpRect/>
                    </a:txSp>
                  </a:sp>
                  <a:sp>
                    <a:nvSpPr>
                      <a:cNvPr id="9" name="CaixaDeTexto 88"/>
                      <a:cNvSpPr txBox="1"/>
                    </a:nvSpPr>
                    <a:spPr>
                      <a:xfrm>
                        <a:off x="455896" y="4833728"/>
                        <a:ext cx="945380"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6,93%</a:t>
                          </a:r>
                          <a:endParaRPr lang="pt-BR" sz="1400" b="1" dirty="0">
                            <a:latin typeface="Arial" pitchFamily="34" charset="0"/>
                            <a:cs typeface="Arial" pitchFamily="34" charset="0"/>
                          </a:endParaRPr>
                        </a:p>
                      </a:txBody>
                      <a:useSpRect/>
                    </a:txSp>
                  </a:sp>
                  <a:sp>
                    <a:nvSpPr>
                      <a:cNvPr id="10" name="CaixaDeTexto 89"/>
                      <a:cNvSpPr txBox="1"/>
                    </a:nvSpPr>
                    <a:spPr>
                      <a:xfrm>
                        <a:off x="1813877" y="4833728"/>
                        <a:ext cx="909824"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72,27%</a:t>
                          </a:r>
                          <a:endParaRPr lang="pt-BR" sz="1400" b="1" dirty="0">
                            <a:latin typeface="Arial" pitchFamily="34" charset="0"/>
                            <a:cs typeface="Arial" pitchFamily="34" charset="0"/>
                          </a:endParaRPr>
                        </a:p>
                      </a:txBody>
                      <a:useSpRect/>
                    </a:txSp>
                  </a:sp>
                  <a:sp>
                    <a:nvSpPr>
                      <a:cNvPr id="11" name="CaixaDeTexto 101"/>
                      <a:cNvSpPr txBox="1"/>
                    </a:nvSpPr>
                    <a:spPr>
                      <a:xfrm>
                        <a:off x="6513844" y="4865086"/>
                        <a:ext cx="64807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a:latin typeface="Arial" pitchFamily="34" charset="0"/>
                              <a:cs typeface="Arial" pitchFamily="34" charset="0"/>
                            </a:rPr>
                            <a:t>1</a:t>
                          </a:r>
                          <a:r>
                            <a:rPr lang="pt-BR" sz="1400" b="1" dirty="0" smtClean="0">
                              <a:latin typeface="Arial" pitchFamily="34" charset="0"/>
                              <a:cs typeface="Arial" pitchFamily="34" charset="0"/>
                            </a:rPr>
                            <a:t>%</a:t>
                          </a:r>
                          <a:endParaRPr lang="pt-BR" sz="1400" b="1" dirty="0">
                            <a:latin typeface="Arial" pitchFamily="34" charset="0"/>
                            <a:cs typeface="Arial" pitchFamily="34" charset="0"/>
                          </a:endParaRPr>
                        </a:p>
                      </a:txBody>
                      <a:useSpRect/>
                    </a:txSp>
                  </a:sp>
                  <a:sp>
                    <a:nvSpPr>
                      <a:cNvPr id="12" name="Line 32"/>
                      <a:cNvSpPr>
                        <a:spLocks noChangeShapeType="1"/>
                      </a:cNvSpPr>
                    </a:nvSpPr>
                    <a:spPr bwMode="auto">
                      <a:xfrm flipH="1">
                        <a:off x="897094" y="5388886"/>
                        <a:ext cx="5913718" cy="223"/>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13" name="Line 33"/>
                      <a:cNvSpPr>
                        <a:spLocks noChangeShapeType="1"/>
                      </a:cNvSpPr>
                    </a:nvSpPr>
                    <a:spPr bwMode="auto">
                      <a:xfrm>
                        <a:off x="896747" y="5208887"/>
                        <a:ext cx="0" cy="18000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4" name="Line 34"/>
                      <a:cNvSpPr>
                        <a:spLocks noChangeShapeType="1"/>
                      </a:cNvSpPr>
                    </a:nvSpPr>
                    <a:spPr bwMode="auto">
                      <a:xfrm>
                        <a:off x="6801876" y="5208887"/>
                        <a:ext cx="0" cy="18000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5" name="Line 37"/>
                      <a:cNvSpPr>
                        <a:spLocks noChangeShapeType="1"/>
                      </a:cNvSpPr>
                    </a:nvSpPr>
                    <a:spPr bwMode="auto">
                      <a:xfrm>
                        <a:off x="3921556" y="5389111"/>
                        <a:ext cx="0" cy="215900"/>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6" name="Line 37"/>
                      <a:cNvSpPr>
                        <a:spLocks noChangeShapeType="1"/>
                      </a:cNvSpPr>
                    </a:nvSpPr>
                    <a:spPr bwMode="auto">
                      <a:xfrm>
                        <a:off x="903052" y="4452823"/>
                        <a:ext cx="0" cy="360000"/>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7" name="Line 37"/>
                      <a:cNvSpPr>
                        <a:spLocks noChangeShapeType="1"/>
                      </a:cNvSpPr>
                    </a:nvSpPr>
                    <a:spPr bwMode="auto">
                      <a:xfrm>
                        <a:off x="2245925" y="4452823"/>
                        <a:ext cx="0" cy="360000"/>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8" name="Line 32"/>
                      <a:cNvSpPr>
                        <a:spLocks noChangeShapeType="1"/>
                      </a:cNvSpPr>
                    </a:nvSpPr>
                    <a:spPr bwMode="auto">
                      <a:xfrm flipH="1">
                        <a:off x="5532309" y="3516679"/>
                        <a:ext cx="2664000"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19" name="Line 33"/>
                      <a:cNvSpPr>
                        <a:spLocks noChangeShapeType="1"/>
                      </a:cNvSpPr>
                    </a:nvSpPr>
                    <a:spPr bwMode="auto">
                      <a:xfrm>
                        <a:off x="5532013" y="3394327"/>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0" name="Line 37"/>
                      <a:cNvSpPr>
                        <a:spLocks noChangeShapeType="1"/>
                      </a:cNvSpPr>
                    </a:nvSpPr>
                    <a:spPr bwMode="auto">
                      <a:xfrm>
                        <a:off x="6801876" y="3516679"/>
                        <a:ext cx="0" cy="144000"/>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1" name="CaixaDeTexto 125"/>
                      <a:cNvSpPr txBox="1"/>
                    </a:nvSpPr>
                    <a:spPr>
                      <a:xfrm>
                        <a:off x="5243981" y="3083738"/>
                        <a:ext cx="64807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20%</a:t>
                          </a:r>
                          <a:endParaRPr lang="pt-BR" sz="1400" b="1" dirty="0">
                            <a:latin typeface="Arial" pitchFamily="34" charset="0"/>
                            <a:cs typeface="Arial" pitchFamily="34" charset="0"/>
                          </a:endParaRPr>
                        </a:p>
                      </a:txBody>
                      <a:useSpRect/>
                    </a:txSp>
                  </a:sp>
                  <a:sp>
                    <a:nvSpPr>
                      <a:cNvPr id="22" name="Line 33"/>
                      <a:cNvSpPr>
                        <a:spLocks noChangeShapeType="1"/>
                      </a:cNvSpPr>
                    </a:nvSpPr>
                    <a:spPr bwMode="auto">
                      <a:xfrm>
                        <a:off x="6801876" y="3393434"/>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3" name="CaixaDeTexto 127"/>
                      <a:cNvSpPr txBox="1"/>
                    </a:nvSpPr>
                    <a:spPr>
                      <a:xfrm>
                        <a:off x="6540125" y="3083738"/>
                        <a:ext cx="64807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a:latin typeface="Arial" pitchFamily="34" charset="0"/>
                              <a:cs typeface="Arial" pitchFamily="34" charset="0"/>
                            </a:rPr>
                            <a:t>7</a:t>
                          </a:r>
                          <a:r>
                            <a:rPr lang="pt-BR" sz="1400" b="1" dirty="0" smtClean="0">
                              <a:latin typeface="Arial" pitchFamily="34" charset="0"/>
                              <a:cs typeface="Arial" pitchFamily="34" charset="0"/>
                            </a:rPr>
                            <a:t>%</a:t>
                          </a:r>
                          <a:endParaRPr lang="pt-BR" sz="1400" b="1" dirty="0">
                            <a:latin typeface="Arial" pitchFamily="34" charset="0"/>
                            <a:cs typeface="Arial" pitchFamily="34" charset="0"/>
                          </a:endParaRPr>
                        </a:p>
                      </a:txBody>
                      <a:useSpRect/>
                    </a:txSp>
                  </a:sp>
                  <a:sp>
                    <a:nvSpPr>
                      <a:cNvPr id="24" name="Line 33"/>
                      <a:cNvSpPr>
                        <a:spLocks noChangeShapeType="1"/>
                      </a:cNvSpPr>
                    </a:nvSpPr>
                    <a:spPr bwMode="auto">
                      <a:xfrm>
                        <a:off x="8196309" y="3393434"/>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5" name="CaixaDeTexto 129"/>
                      <a:cNvSpPr txBox="1"/>
                    </a:nvSpPr>
                    <a:spPr>
                      <a:xfrm>
                        <a:off x="7908277" y="3083738"/>
                        <a:ext cx="64807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73%</a:t>
                          </a:r>
                          <a:endParaRPr lang="pt-BR" sz="1400" b="1" dirty="0">
                            <a:latin typeface="Arial" pitchFamily="34" charset="0"/>
                            <a:cs typeface="Arial" pitchFamily="34" charset="0"/>
                          </a:endParaRPr>
                        </a:p>
                      </a:txBody>
                      <a:useSpRect/>
                    </a:txSp>
                  </a:sp>
                  <a:sp>
                    <a:nvSpPr>
                      <a:cNvPr id="26" name="Line 34"/>
                      <a:cNvSpPr>
                        <a:spLocks noChangeShapeType="1"/>
                      </a:cNvSpPr>
                    </a:nvSpPr>
                    <a:spPr bwMode="auto">
                      <a:xfrm>
                        <a:off x="3921556" y="5208887"/>
                        <a:ext cx="0" cy="18000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7" name="Line 34"/>
                      <a:cNvSpPr>
                        <a:spLocks noChangeShapeType="1"/>
                      </a:cNvSpPr>
                    </a:nvSpPr>
                    <a:spPr bwMode="auto">
                      <a:xfrm>
                        <a:off x="2223412" y="5208887"/>
                        <a:ext cx="0" cy="18000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28" name="Picture 2" descr="http://www.edp.com.br/geracao-renovaveis/geracao/tocantins/investco/empresa/composicao_acionaria/PublishingImages/empresas_edp.jpg"/>
                      <a:cNvPicPr>
                        <a:picLocks noChangeAspect="1" noChangeArrowheads="1"/>
                      </a:cNvPicPr>
                    </a:nvPicPr>
                    <a:blipFill>
                      <a:blip r:embed="rId34" cstate="print">
                        <a:extLst>
                          <a:ext uri="{28A0092B-C50C-407E-A947-70E740481C1C}">
                            <a14:useLocalDpi xmlns:a14="http://schemas.microsoft.com/office/drawing/2010/main" val="0"/>
                          </a:ext>
                        </a:extLst>
                      </a:blip>
                      <a:srcRect/>
                      <a:stretch>
                        <a:fillRect/>
                      </a:stretch>
                    </a:blipFill>
                    <a:spPr bwMode="auto">
                      <a:xfrm>
                        <a:off x="1669861" y="3552099"/>
                        <a:ext cx="1171575" cy="828676"/>
                      </a:xfrm>
                      <a:prstGeom prst="rect">
                        <a:avLst/>
                      </a:prstGeom>
                      <a:noFill/>
                      <a:extLst>
                        <a:ext uri="{909E8E84-426E-40DD-AFC4-6F175D3DCCD1}">
                          <a14:hiddenFill xmlns:a14="http://schemas.microsoft.com/office/drawing/2010/main">
                            <a:solidFill>
                              <a:srgbClr val="FFFFFF"/>
                            </a:solidFill>
                          </a14:hiddenFill>
                        </a:ext>
                      </a:extLst>
                    </a:spPr>
                  </a:pic>
                  <a:pic>
                    <a:nvPicPr>
                      <a:cNvPr id="29" name="Picture 4" descr="http://www.edp.com.br/geracao-renovaveis/geracao/tocantins/investco/empresa/composicao_acionaria/PublishingImages/cpfl_energia.jpg"/>
                      <a:cNvPicPr>
                        <a:picLocks noChangeArrowheads="1"/>
                      </a:cNvPicPr>
                    </a:nvPicPr>
                    <a:blipFill>
                      <a:blip r:embed="rId35" cstate="print">
                        <a:extLst>
                          <a:ext uri="{28A0092B-C50C-407E-A947-70E740481C1C}">
                            <a14:useLocalDpi xmlns:a14="http://schemas.microsoft.com/office/drawing/2010/main" val="0"/>
                          </a:ext>
                        </a:extLst>
                      </a:blip>
                      <a:srcRect/>
                      <a:stretch>
                        <a:fillRect/>
                      </a:stretch>
                    </a:blipFill>
                    <a:spPr bwMode="auto">
                      <a:xfrm>
                        <a:off x="321156" y="3505734"/>
                        <a:ext cx="1170000" cy="828000"/>
                      </a:xfrm>
                      <a:prstGeom prst="rect">
                        <a:avLst/>
                      </a:prstGeom>
                      <a:noFill/>
                      <a:extLst>
                        <a:ext uri="{909E8E84-426E-40DD-AFC4-6F175D3DCCD1}">
                          <a14:hiddenFill xmlns:a14="http://schemas.microsoft.com/office/drawing/2010/main">
                            <a:solidFill>
                              <a:srgbClr val="FFFFFF"/>
                            </a:solidFill>
                          </a14:hiddenFill>
                        </a:ext>
                      </a:extLst>
                    </a:spPr>
                  </a:pic>
                  <a:sp>
                    <a:nvSpPr>
                      <a:cNvPr id="30" name="Line 32"/>
                      <a:cNvSpPr>
                        <a:spLocks noChangeShapeType="1"/>
                      </a:cNvSpPr>
                    </a:nvSpPr>
                    <a:spPr bwMode="auto">
                      <a:xfrm flipH="1">
                        <a:off x="4749370" y="1902002"/>
                        <a:ext cx="1149024"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31" name="Line 33"/>
                      <a:cNvSpPr>
                        <a:spLocks noChangeShapeType="1"/>
                      </a:cNvSpPr>
                    </a:nvSpPr>
                    <a:spPr bwMode="auto">
                      <a:xfrm>
                        <a:off x="4746266" y="1780542"/>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2" name="Line 37"/>
                      <a:cNvSpPr>
                        <a:spLocks noChangeShapeType="1"/>
                      </a:cNvSpPr>
                    </a:nvSpPr>
                    <a:spPr bwMode="auto">
                      <a:xfrm>
                        <a:off x="5289708" y="1902894"/>
                        <a:ext cx="0" cy="215900"/>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3" name="CaixaDeTexto 141"/>
                      <a:cNvSpPr txBox="1"/>
                    </a:nvSpPr>
                    <a:spPr>
                      <a:xfrm>
                        <a:off x="4281596" y="1397945"/>
                        <a:ext cx="881968"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59,93%</a:t>
                          </a:r>
                          <a:endParaRPr lang="pt-BR" sz="1400" b="1" dirty="0">
                            <a:latin typeface="Arial" pitchFamily="34" charset="0"/>
                            <a:cs typeface="Arial" pitchFamily="34" charset="0"/>
                          </a:endParaRPr>
                        </a:p>
                      </a:txBody>
                      <a:useSpRect/>
                    </a:txSp>
                  </a:sp>
                  <a:sp>
                    <a:nvSpPr>
                      <a:cNvPr id="34" name="Line 33"/>
                      <a:cNvSpPr>
                        <a:spLocks noChangeShapeType="1"/>
                      </a:cNvSpPr>
                    </a:nvSpPr>
                    <a:spPr bwMode="auto">
                      <a:xfrm>
                        <a:off x="5898394" y="1779649"/>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5" name="CaixaDeTexto 143"/>
                      <a:cNvSpPr txBox="1"/>
                    </a:nvSpPr>
                    <a:spPr>
                      <a:xfrm>
                        <a:off x="5505732" y="1397945"/>
                        <a:ext cx="828370"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40,07%</a:t>
                          </a:r>
                          <a:endParaRPr lang="pt-BR" sz="1400" b="1" dirty="0">
                            <a:latin typeface="Arial" pitchFamily="34" charset="0"/>
                            <a:cs typeface="Arial" pitchFamily="34" charset="0"/>
                          </a:endParaRPr>
                        </a:p>
                      </a:txBody>
                      <a:useSpRect/>
                    </a:txSp>
                  </a:sp>
                  <a:sp>
                    <a:nvSpPr>
                      <a:cNvPr id="36" name="Line 37"/>
                      <a:cNvSpPr>
                        <a:spLocks noChangeShapeType="1"/>
                      </a:cNvSpPr>
                    </a:nvSpPr>
                    <a:spPr bwMode="auto">
                      <a:xfrm>
                        <a:off x="6801876" y="4452783"/>
                        <a:ext cx="0" cy="360000"/>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cxnSp>
                    <a:nvCxnSpPr>
                      <a:cNvPr id="37" name="Conector angulado 36"/>
                      <a:cNvCxnSpPr/>
                    </a:nvCxnSpPr>
                    <a:spPr>
                      <a:xfrm rot="5400000">
                        <a:off x="3253811" y="3290739"/>
                        <a:ext cx="2160202" cy="824708"/>
                      </a:xfrm>
                      <a:prstGeom prst="bentConnector3">
                        <a:avLst>
                          <a:gd name="adj1" fmla="val 1057"/>
                        </a:avLst>
                      </a:prstGeom>
                      <a:ln w="28575">
                        <a:solidFill>
                          <a:srgbClr val="C00000"/>
                        </a:solidFill>
                        <a:tailEnd type="triangle"/>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2D7B9B" w:rsidRDefault="002D7B9B" w:rsidP="002D7B9B">
      <w:pPr>
        <w:spacing w:before="240" w:after="240"/>
        <w:rPr>
          <w:b/>
          <w:sz w:val="22"/>
          <w:szCs w:val="22"/>
        </w:rPr>
      </w:pPr>
      <w:r w:rsidRPr="007E7E1D">
        <w:rPr>
          <w:b/>
          <w:sz w:val="22"/>
          <w:szCs w:val="22"/>
        </w:rPr>
        <w:t xml:space="preserve">Dados Econômico-Financeiros </w:t>
      </w:r>
    </w:p>
    <w:tbl>
      <w:tblPr>
        <w:tblW w:w="5002"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5183"/>
        <w:gridCol w:w="1653"/>
        <w:gridCol w:w="1653"/>
        <w:gridCol w:w="1653"/>
      </w:tblGrid>
      <w:tr w:rsidR="00E57F04" w:rsidRPr="00E57F04" w:rsidTr="00F60C9D">
        <w:trPr>
          <w:trHeight w:val="385"/>
          <w:jc w:val="center"/>
        </w:trPr>
        <w:tc>
          <w:tcPr>
            <w:tcW w:w="255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E57F04" w:rsidRPr="00E57F04" w:rsidRDefault="00E57F04" w:rsidP="00B54C44">
            <w:pPr>
              <w:autoSpaceDE w:val="0"/>
              <w:autoSpaceDN w:val="0"/>
              <w:adjustRightInd w:val="0"/>
              <w:jc w:val="center"/>
              <w:rPr>
                <w:rFonts w:eastAsia="Calibri"/>
                <w:b/>
                <w:bCs/>
                <w:color w:val="FFFFFF" w:themeColor="background1"/>
                <w:lang w:eastAsia="en-US" w:bidi="en-US"/>
              </w:rPr>
            </w:pPr>
            <w:r w:rsidRPr="00E57F04">
              <w:rPr>
                <w:rFonts w:eastAsia="Calibri"/>
                <w:b/>
                <w:bCs/>
                <w:color w:val="FFFFFF" w:themeColor="background1"/>
                <w:lang w:eastAsia="en-US" w:bidi="en-US"/>
              </w:rPr>
              <w:t>(R$ Mil)</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17274E" w:rsidRPr="00E57F04" w:rsidRDefault="00E57F04" w:rsidP="00335A9D">
            <w:pPr>
              <w:jc w:val="center"/>
              <w:rPr>
                <w:b/>
                <w:bCs/>
                <w:snapToGrid w:val="0"/>
                <w:color w:val="FFFFFF" w:themeColor="background1"/>
                <w:lang w:eastAsia="en-US" w:bidi="en-US"/>
              </w:rPr>
            </w:pPr>
            <w:r w:rsidRPr="00E57F04">
              <w:rPr>
                <w:b/>
                <w:bCs/>
                <w:snapToGrid w:val="0"/>
                <w:color w:val="FFFFFF" w:themeColor="background1"/>
                <w:lang w:eastAsia="en-US" w:bidi="en-US"/>
              </w:rPr>
              <w:t>2015</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E57F04" w:rsidRPr="00E57F04" w:rsidRDefault="00E57F04" w:rsidP="00B54C44">
            <w:pPr>
              <w:jc w:val="center"/>
              <w:rPr>
                <w:b/>
                <w:bCs/>
                <w:snapToGrid w:val="0"/>
                <w:color w:val="FFFFFF" w:themeColor="background1"/>
                <w:lang w:eastAsia="en-US" w:bidi="en-US"/>
              </w:rPr>
            </w:pPr>
            <w:r w:rsidRPr="00E57F04">
              <w:rPr>
                <w:b/>
                <w:bCs/>
                <w:snapToGrid w:val="0"/>
                <w:color w:val="FFFFFF" w:themeColor="background1"/>
                <w:lang w:eastAsia="en-US" w:bidi="en-US"/>
              </w:rPr>
              <w:t>2016</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E57F04" w:rsidRPr="00E57F04" w:rsidRDefault="00E57F04" w:rsidP="00B54C44">
            <w:pPr>
              <w:jc w:val="center"/>
              <w:rPr>
                <w:b/>
                <w:bCs/>
                <w:snapToGrid w:val="0"/>
                <w:color w:val="FFFFFF" w:themeColor="background1"/>
                <w:lang w:eastAsia="en-US" w:bidi="en-US"/>
              </w:rPr>
            </w:pPr>
            <w:r w:rsidRPr="00E57F04">
              <w:rPr>
                <w:b/>
                <w:bCs/>
                <w:snapToGrid w:val="0"/>
                <w:color w:val="FFFFFF" w:themeColor="background1"/>
                <w:lang w:eastAsia="en-US" w:bidi="en-US"/>
              </w:rPr>
              <w:t>Δ (R$)</w:t>
            </w:r>
          </w:p>
        </w:tc>
      </w:tr>
      <w:tr w:rsidR="00E57F04" w:rsidRPr="00E57F04" w:rsidTr="00B54C44">
        <w:trPr>
          <w:trHeight w:val="170"/>
          <w:jc w:val="center"/>
        </w:trPr>
        <w:tc>
          <w:tcPr>
            <w:tcW w:w="255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E57F04">
            <w:pPr>
              <w:rPr>
                <w:b/>
                <w:bCs/>
                <w:snapToGrid w:val="0"/>
                <w:lang w:eastAsia="en-US" w:bidi="en-US"/>
              </w:rPr>
            </w:pPr>
            <w:r w:rsidRPr="00E57F04">
              <w:rPr>
                <w:b/>
                <w:bCs/>
                <w:snapToGrid w:val="0"/>
                <w:lang w:eastAsia="en-US" w:bidi="en-US"/>
              </w:rPr>
              <w:t>Receita Operacional Bruta</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124.659</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132.082</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7.423</w:t>
            </w:r>
          </w:p>
        </w:tc>
      </w:tr>
      <w:tr w:rsidR="00E57F04" w:rsidRPr="00E57F04" w:rsidTr="00B54C44">
        <w:trPr>
          <w:trHeight w:val="170"/>
          <w:jc w:val="center"/>
        </w:trPr>
        <w:tc>
          <w:tcPr>
            <w:tcW w:w="2555" w:type="pct"/>
            <w:tcBorders>
              <w:top w:val="single" w:sz="8" w:space="0" w:color="DDDDDD"/>
              <w:left w:val="single" w:sz="8" w:space="0" w:color="DDDDDD"/>
              <w:bottom w:val="single" w:sz="8" w:space="0" w:color="DDDDDD"/>
              <w:right w:val="single" w:sz="8" w:space="0" w:color="DDDDDD"/>
            </w:tcBorders>
            <w:shd w:val="clear" w:color="auto" w:fill="auto"/>
            <w:vAlign w:val="center"/>
          </w:tcPr>
          <w:p w:rsidR="00E57F04" w:rsidRPr="00E57F04" w:rsidRDefault="00E57F04" w:rsidP="00E57F04">
            <w:pPr>
              <w:rPr>
                <w:b/>
                <w:bCs/>
                <w:snapToGrid w:val="0"/>
                <w:lang w:eastAsia="en-US" w:bidi="en-US"/>
              </w:rPr>
            </w:pPr>
            <w:r w:rsidRPr="00E57F04">
              <w:rPr>
                <w:b/>
                <w:bCs/>
                <w:snapToGrid w:val="0"/>
                <w:lang w:eastAsia="en-US" w:bidi="en-US"/>
              </w:rPr>
              <w:t>Receita Operacional Líquida</w:t>
            </w:r>
          </w:p>
        </w:tc>
        <w:tc>
          <w:tcPr>
            <w:tcW w:w="815" w:type="pct"/>
            <w:tcBorders>
              <w:top w:val="single" w:sz="8" w:space="0" w:color="DDDDDD"/>
              <w:left w:val="single" w:sz="8" w:space="0" w:color="DDDDDD"/>
              <w:bottom w:val="single" w:sz="8" w:space="0" w:color="DDDDDD"/>
              <w:right w:val="single" w:sz="8" w:space="0" w:color="DDDDDD"/>
            </w:tcBorders>
            <w:shd w:val="clear" w:color="auto" w:fill="auto"/>
            <w:vAlign w:val="center"/>
          </w:tcPr>
          <w:p w:rsidR="00E57F04" w:rsidRPr="00E57F04" w:rsidRDefault="00E57F04" w:rsidP="00B54C44">
            <w:pPr>
              <w:jc w:val="center"/>
              <w:rPr>
                <w:b/>
                <w:color w:val="000000"/>
              </w:rPr>
            </w:pPr>
            <w:r w:rsidRPr="00E57F04">
              <w:rPr>
                <w:b/>
                <w:color w:val="000000"/>
              </w:rPr>
              <w:t>112.016</w:t>
            </w:r>
          </w:p>
        </w:tc>
        <w:tc>
          <w:tcPr>
            <w:tcW w:w="815" w:type="pct"/>
            <w:tcBorders>
              <w:top w:val="single" w:sz="8" w:space="0" w:color="DDDDDD"/>
              <w:left w:val="single" w:sz="8" w:space="0" w:color="DDDDDD"/>
              <w:bottom w:val="single" w:sz="8" w:space="0" w:color="DDDDDD"/>
              <w:right w:val="single" w:sz="8" w:space="0" w:color="DDDDDD"/>
            </w:tcBorders>
            <w:vAlign w:val="center"/>
          </w:tcPr>
          <w:p w:rsidR="00E57F04" w:rsidRPr="00E57F04" w:rsidRDefault="00E57F04" w:rsidP="00B54C44">
            <w:pPr>
              <w:jc w:val="center"/>
              <w:rPr>
                <w:b/>
                <w:color w:val="000000"/>
              </w:rPr>
            </w:pPr>
            <w:r w:rsidRPr="00E57F04">
              <w:rPr>
                <w:b/>
                <w:color w:val="000000"/>
              </w:rPr>
              <w:t>118.756</w:t>
            </w:r>
          </w:p>
        </w:tc>
        <w:tc>
          <w:tcPr>
            <w:tcW w:w="815" w:type="pct"/>
            <w:tcBorders>
              <w:top w:val="single" w:sz="8" w:space="0" w:color="DDDDDD"/>
              <w:left w:val="single" w:sz="8" w:space="0" w:color="DDDDDD"/>
              <w:bottom w:val="single" w:sz="8" w:space="0" w:color="DDDDDD"/>
              <w:right w:val="single" w:sz="8" w:space="0" w:color="DDDDDD"/>
            </w:tcBorders>
            <w:vAlign w:val="center"/>
          </w:tcPr>
          <w:p w:rsidR="00E57F04" w:rsidRPr="00E57F04" w:rsidRDefault="00E57F04" w:rsidP="00B54C44">
            <w:pPr>
              <w:jc w:val="center"/>
              <w:rPr>
                <w:b/>
                <w:color w:val="000000"/>
              </w:rPr>
            </w:pPr>
            <w:r w:rsidRPr="00E57F04">
              <w:rPr>
                <w:b/>
                <w:color w:val="000000"/>
              </w:rPr>
              <w:t>6.740</w:t>
            </w:r>
          </w:p>
        </w:tc>
      </w:tr>
      <w:tr w:rsidR="00E57F04" w:rsidRPr="00E57F04" w:rsidTr="00B54C44">
        <w:trPr>
          <w:trHeight w:val="170"/>
          <w:jc w:val="center"/>
        </w:trPr>
        <w:tc>
          <w:tcPr>
            <w:tcW w:w="255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E57F04">
            <w:pPr>
              <w:rPr>
                <w:b/>
                <w:bCs/>
                <w:snapToGrid w:val="0"/>
                <w:lang w:eastAsia="en-US" w:bidi="en-US"/>
              </w:rPr>
            </w:pPr>
            <w:r w:rsidRPr="00E57F04">
              <w:rPr>
                <w:b/>
                <w:bCs/>
                <w:snapToGrid w:val="0"/>
                <w:lang w:eastAsia="en-US" w:bidi="en-US"/>
              </w:rPr>
              <w:t>Resultado Operacional Líquido Antes dos Tributos</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65.999</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47.738</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(18.261)</w:t>
            </w:r>
          </w:p>
        </w:tc>
      </w:tr>
      <w:tr w:rsidR="00E57F04" w:rsidRPr="00E57F04" w:rsidTr="00B54C44">
        <w:trPr>
          <w:trHeight w:val="170"/>
          <w:jc w:val="center"/>
        </w:trPr>
        <w:tc>
          <w:tcPr>
            <w:tcW w:w="2555" w:type="pct"/>
            <w:tcBorders>
              <w:top w:val="single" w:sz="8" w:space="0" w:color="DDDDDD"/>
              <w:left w:val="single" w:sz="8" w:space="0" w:color="DDDDDD"/>
              <w:bottom w:val="single" w:sz="8" w:space="0" w:color="DDDDDD"/>
              <w:right w:val="single" w:sz="8" w:space="0" w:color="DDDDDD"/>
            </w:tcBorders>
            <w:shd w:val="clear" w:color="auto" w:fill="auto"/>
            <w:vAlign w:val="center"/>
          </w:tcPr>
          <w:p w:rsidR="00E57F04" w:rsidRPr="00E57F04" w:rsidRDefault="00E57F04" w:rsidP="00E57F04">
            <w:pPr>
              <w:rPr>
                <w:b/>
                <w:bCs/>
                <w:snapToGrid w:val="0"/>
                <w:lang w:eastAsia="en-US" w:bidi="en-US"/>
              </w:rPr>
            </w:pPr>
            <w:r w:rsidRPr="00E57F04">
              <w:rPr>
                <w:b/>
                <w:bCs/>
                <w:snapToGrid w:val="0"/>
                <w:lang w:eastAsia="en-US" w:bidi="en-US"/>
              </w:rPr>
              <w:t>EBITDA</w:t>
            </w:r>
            <w:r w:rsidR="00CC6DFB">
              <w:rPr>
                <w:b/>
                <w:bCs/>
                <w:snapToGrid w:val="0"/>
                <w:lang w:eastAsia="en-US" w:bidi="en-US"/>
              </w:rPr>
              <w:t xml:space="preserve"> (LAJIDA)</w:t>
            </w:r>
          </w:p>
        </w:tc>
        <w:tc>
          <w:tcPr>
            <w:tcW w:w="815" w:type="pct"/>
            <w:tcBorders>
              <w:top w:val="single" w:sz="8" w:space="0" w:color="DDDDDD"/>
              <w:left w:val="single" w:sz="8" w:space="0" w:color="DDDDDD"/>
              <w:bottom w:val="single" w:sz="8" w:space="0" w:color="DDDDDD"/>
              <w:right w:val="single" w:sz="8" w:space="0" w:color="DDDDDD"/>
            </w:tcBorders>
            <w:shd w:val="clear" w:color="auto" w:fill="auto"/>
            <w:vAlign w:val="center"/>
          </w:tcPr>
          <w:p w:rsidR="00E57F04" w:rsidRPr="00E57F04" w:rsidRDefault="00E57F04" w:rsidP="00B54C44">
            <w:pPr>
              <w:jc w:val="center"/>
              <w:rPr>
                <w:b/>
                <w:color w:val="000000"/>
              </w:rPr>
            </w:pPr>
            <w:r w:rsidRPr="00E57F04">
              <w:rPr>
                <w:b/>
                <w:color w:val="000000"/>
              </w:rPr>
              <w:t>67.835</w:t>
            </w:r>
          </w:p>
        </w:tc>
        <w:tc>
          <w:tcPr>
            <w:tcW w:w="815" w:type="pct"/>
            <w:tcBorders>
              <w:top w:val="single" w:sz="8" w:space="0" w:color="DDDDDD"/>
              <w:left w:val="single" w:sz="8" w:space="0" w:color="DDDDDD"/>
              <w:bottom w:val="single" w:sz="8" w:space="0" w:color="DDDDDD"/>
              <w:right w:val="single" w:sz="8" w:space="0" w:color="DDDDDD"/>
            </w:tcBorders>
            <w:vAlign w:val="center"/>
          </w:tcPr>
          <w:p w:rsidR="00E57F04" w:rsidRPr="00E57F04" w:rsidRDefault="00E57F04" w:rsidP="00314558">
            <w:pPr>
              <w:jc w:val="center"/>
              <w:rPr>
                <w:b/>
                <w:color w:val="000000"/>
              </w:rPr>
            </w:pPr>
            <w:r w:rsidRPr="00E57F04">
              <w:rPr>
                <w:b/>
                <w:color w:val="000000"/>
              </w:rPr>
              <w:t>53.</w:t>
            </w:r>
            <w:r w:rsidR="00314558">
              <w:rPr>
                <w:b/>
                <w:color w:val="000000"/>
              </w:rPr>
              <w:t>33</w:t>
            </w:r>
            <w:r w:rsidRPr="00E57F04">
              <w:rPr>
                <w:b/>
                <w:color w:val="000000"/>
              </w:rPr>
              <w:t>6</w:t>
            </w:r>
          </w:p>
        </w:tc>
        <w:tc>
          <w:tcPr>
            <w:tcW w:w="815" w:type="pct"/>
            <w:tcBorders>
              <w:top w:val="single" w:sz="8" w:space="0" w:color="DDDDDD"/>
              <w:left w:val="single" w:sz="8" w:space="0" w:color="DDDDDD"/>
              <w:bottom w:val="single" w:sz="8" w:space="0" w:color="DDDDDD"/>
              <w:right w:val="single" w:sz="8" w:space="0" w:color="DDDDDD"/>
            </w:tcBorders>
            <w:vAlign w:val="center"/>
          </w:tcPr>
          <w:p w:rsidR="00E57F04" w:rsidRPr="00E57F04" w:rsidRDefault="00E57F04" w:rsidP="00314558">
            <w:pPr>
              <w:jc w:val="center"/>
              <w:rPr>
                <w:b/>
                <w:color w:val="000000"/>
              </w:rPr>
            </w:pPr>
            <w:r w:rsidRPr="00E57F04">
              <w:rPr>
                <w:b/>
                <w:color w:val="000000"/>
              </w:rPr>
              <w:t>(14.</w:t>
            </w:r>
            <w:r w:rsidR="00314558">
              <w:rPr>
                <w:b/>
                <w:color w:val="000000"/>
              </w:rPr>
              <w:t>499</w:t>
            </w:r>
            <w:r w:rsidRPr="00E57F04">
              <w:rPr>
                <w:b/>
                <w:color w:val="000000"/>
              </w:rPr>
              <w:t>)</w:t>
            </w:r>
          </w:p>
        </w:tc>
      </w:tr>
      <w:tr w:rsidR="00E57F04" w:rsidRPr="00E57F04" w:rsidTr="00B54C44">
        <w:trPr>
          <w:trHeight w:val="170"/>
          <w:jc w:val="center"/>
        </w:trPr>
        <w:tc>
          <w:tcPr>
            <w:tcW w:w="255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E57F04">
            <w:pPr>
              <w:rPr>
                <w:b/>
                <w:bCs/>
                <w:snapToGrid w:val="0"/>
                <w:lang w:eastAsia="en-US" w:bidi="en-US"/>
              </w:rPr>
            </w:pPr>
            <w:r w:rsidRPr="00E57F04">
              <w:rPr>
                <w:b/>
                <w:bCs/>
                <w:snapToGrid w:val="0"/>
                <w:lang w:eastAsia="en-US" w:bidi="en-US"/>
              </w:rPr>
              <w:t>Lucro Líquido (Prejuízo)</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43.888</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35.283</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57F04" w:rsidRPr="00E57F04" w:rsidRDefault="00E57F04" w:rsidP="00B54C44">
            <w:pPr>
              <w:jc w:val="center"/>
              <w:rPr>
                <w:b/>
                <w:color w:val="000000"/>
              </w:rPr>
            </w:pPr>
            <w:r w:rsidRPr="00E57F04">
              <w:rPr>
                <w:b/>
                <w:color w:val="000000"/>
              </w:rPr>
              <w:t>(8.605)</w:t>
            </w:r>
          </w:p>
        </w:tc>
      </w:tr>
      <w:tr w:rsidR="00E57F04" w:rsidRPr="00E57F04" w:rsidTr="00B54C44">
        <w:trPr>
          <w:trHeight w:val="170"/>
          <w:jc w:val="center"/>
        </w:trPr>
        <w:tc>
          <w:tcPr>
            <w:tcW w:w="2555" w:type="pct"/>
            <w:tcBorders>
              <w:top w:val="single" w:sz="8" w:space="0" w:color="DDDDDD"/>
              <w:left w:val="single" w:sz="8" w:space="0" w:color="DDDDDD"/>
              <w:bottom w:val="single" w:sz="8" w:space="0" w:color="DDDDDD"/>
              <w:right w:val="single" w:sz="8" w:space="0" w:color="DDDDDD"/>
            </w:tcBorders>
            <w:shd w:val="clear" w:color="auto" w:fill="auto"/>
            <w:vAlign w:val="center"/>
          </w:tcPr>
          <w:p w:rsidR="00E57F04" w:rsidRPr="00E57F04" w:rsidRDefault="00E57F04" w:rsidP="00E57F04">
            <w:pPr>
              <w:rPr>
                <w:b/>
                <w:bCs/>
                <w:snapToGrid w:val="0"/>
                <w:lang w:eastAsia="en-US" w:bidi="en-US"/>
              </w:rPr>
            </w:pPr>
            <w:r w:rsidRPr="00E57F04">
              <w:rPr>
                <w:b/>
                <w:bCs/>
                <w:snapToGrid w:val="0"/>
                <w:lang w:eastAsia="en-US" w:bidi="en-US"/>
              </w:rPr>
              <w:t>Patrimônio Líquido</w:t>
            </w:r>
          </w:p>
        </w:tc>
        <w:tc>
          <w:tcPr>
            <w:tcW w:w="815" w:type="pct"/>
            <w:tcBorders>
              <w:top w:val="single" w:sz="8" w:space="0" w:color="DDDDDD"/>
              <w:left w:val="single" w:sz="8" w:space="0" w:color="DDDDDD"/>
              <w:bottom w:val="single" w:sz="8" w:space="0" w:color="DDDDDD"/>
              <w:right w:val="single" w:sz="8" w:space="0" w:color="DDDDDD"/>
            </w:tcBorders>
            <w:shd w:val="clear" w:color="auto" w:fill="auto"/>
            <w:vAlign w:val="center"/>
          </w:tcPr>
          <w:p w:rsidR="00E57F04" w:rsidRPr="00E57F04" w:rsidRDefault="00E57F04" w:rsidP="00B54C44">
            <w:pPr>
              <w:jc w:val="center"/>
              <w:rPr>
                <w:b/>
                <w:color w:val="000000"/>
              </w:rPr>
            </w:pPr>
            <w:r w:rsidRPr="00E57F04">
              <w:rPr>
                <w:b/>
                <w:color w:val="000000"/>
              </w:rPr>
              <w:t>351.756</w:t>
            </w:r>
          </w:p>
        </w:tc>
        <w:tc>
          <w:tcPr>
            <w:tcW w:w="815" w:type="pct"/>
            <w:tcBorders>
              <w:top w:val="single" w:sz="8" w:space="0" w:color="DDDDDD"/>
              <w:left w:val="single" w:sz="8" w:space="0" w:color="DDDDDD"/>
              <w:bottom w:val="single" w:sz="8" w:space="0" w:color="DDDDDD"/>
              <w:right w:val="single" w:sz="8" w:space="0" w:color="DDDDDD"/>
            </w:tcBorders>
            <w:vAlign w:val="center"/>
          </w:tcPr>
          <w:p w:rsidR="00E57F04" w:rsidRPr="00E57F04" w:rsidRDefault="00E57F04" w:rsidP="00314558">
            <w:pPr>
              <w:jc w:val="center"/>
              <w:rPr>
                <w:b/>
                <w:color w:val="000000"/>
              </w:rPr>
            </w:pPr>
            <w:r w:rsidRPr="00E57F04">
              <w:rPr>
                <w:b/>
                <w:color w:val="000000"/>
              </w:rPr>
              <w:t>333.37</w:t>
            </w:r>
            <w:r w:rsidR="00314558">
              <w:rPr>
                <w:b/>
                <w:color w:val="000000"/>
              </w:rPr>
              <w:t>7</w:t>
            </w:r>
          </w:p>
        </w:tc>
        <w:tc>
          <w:tcPr>
            <w:tcW w:w="815" w:type="pct"/>
            <w:tcBorders>
              <w:top w:val="single" w:sz="8" w:space="0" w:color="DDDDDD"/>
              <w:left w:val="single" w:sz="8" w:space="0" w:color="DDDDDD"/>
              <w:bottom w:val="single" w:sz="8" w:space="0" w:color="DDDDDD"/>
              <w:right w:val="single" w:sz="8" w:space="0" w:color="DDDDDD"/>
            </w:tcBorders>
            <w:vAlign w:val="center"/>
          </w:tcPr>
          <w:p w:rsidR="00E57F04" w:rsidRPr="00E57F04" w:rsidRDefault="00E57F04" w:rsidP="00314558">
            <w:pPr>
              <w:jc w:val="center"/>
              <w:rPr>
                <w:b/>
                <w:color w:val="000000"/>
              </w:rPr>
            </w:pPr>
            <w:r w:rsidRPr="00E57F04">
              <w:rPr>
                <w:b/>
                <w:color w:val="000000"/>
              </w:rPr>
              <w:t>(18.3</w:t>
            </w:r>
            <w:r w:rsidR="00314558">
              <w:rPr>
                <w:b/>
                <w:color w:val="000000"/>
              </w:rPr>
              <w:t>79</w:t>
            </w:r>
            <w:r w:rsidRPr="00E57F04">
              <w:rPr>
                <w:b/>
                <w:color w:val="000000"/>
              </w:rPr>
              <w:t>)</w:t>
            </w:r>
          </w:p>
        </w:tc>
      </w:tr>
    </w:tbl>
    <w:p w:rsidR="00904360" w:rsidRPr="007E7E1D" w:rsidRDefault="00904360" w:rsidP="00CC6DFB">
      <w:pPr>
        <w:spacing w:before="40" w:after="240"/>
        <w:rPr>
          <w:rFonts w:eastAsia="Calibri"/>
          <w:b/>
          <w:bCs/>
          <w:sz w:val="16"/>
          <w:szCs w:val="16"/>
        </w:rPr>
      </w:pPr>
      <w:r w:rsidRPr="007E7E1D">
        <w:rPr>
          <w:rFonts w:eastAsia="Calibri"/>
          <w:b/>
          <w:bCs/>
          <w:sz w:val="16"/>
          <w:szCs w:val="16"/>
        </w:rPr>
        <w:t>Fonte: Demonstrações Contábeis da CEB Lajeado S.A.</w:t>
      </w:r>
    </w:p>
    <w:p w:rsidR="004F6594" w:rsidRPr="004F6594" w:rsidRDefault="004F6594" w:rsidP="004F6594">
      <w:pPr>
        <w:spacing w:before="240" w:after="240"/>
        <w:jc w:val="both"/>
        <w:rPr>
          <w:sz w:val="22"/>
          <w:szCs w:val="22"/>
        </w:rPr>
      </w:pPr>
      <w:r w:rsidRPr="004F6594">
        <w:rPr>
          <w:sz w:val="22"/>
          <w:szCs w:val="22"/>
        </w:rPr>
        <w:t xml:space="preserve">Após a amortização dos financiamentos contraídos para a construção da </w:t>
      </w:r>
      <w:r w:rsidR="0097680C">
        <w:rPr>
          <w:sz w:val="22"/>
          <w:szCs w:val="22"/>
        </w:rPr>
        <w:t>U</w:t>
      </w:r>
      <w:r w:rsidRPr="004F6594">
        <w:rPr>
          <w:sz w:val="22"/>
          <w:szCs w:val="22"/>
        </w:rPr>
        <w:t>HE Luís Eduardo Magalhães, os resultados líquidos apurados pela CEB Lajeado S.A. vêm se mantendo consistentes ao longo dos anos.</w:t>
      </w:r>
    </w:p>
    <w:p w:rsidR="004F6594" w:rsidRPr="004F6594" w:rsidRDefault="004F6594" w:rsidP="004F6594">
      <w:pPr>
        <w:spacing w:before="240" w:after="240"/>
        <w:jc w:val="both"/>
        <w:rPr>
          <w:sz w:val="22"/>
          <w:szCs w:val="22"/>
        </w:rPr>
      </w:pPr>
      <w:r w:rsidRPr="004F6594">
        <w:rPr>
          <w:sz w:val="22"/>
          <w:szCs w:val="22"/>
        </w:rPr>
        <w:t>Embora o segmento de geração de energia hidráulica tenha sentido os efeitos danosos da escassez de chuvas e queda acentuada nos níveis dos principais reservatórios do país, a CEB Lajeado S.A. cumpriu, rigorosamente, com as obrigações legais do exercício, bem como com as metas fixadas pela Administração. Desde janeiro de 2014, uma expressiva redução da geração das empresas foi verificada quando comparado com a garantia física total do sistema, retratando a situação hidrológica desfavorável dos últimos anos. Em decorrência desse quadro, iniciou-se um amplo debate setorial sobre o GSF ao longo de 2015, nos âmbitos administrativo, empresarial, legislativo, regulatório e judicial.</w:t>
      </w:r>
    </w:p>
    <w:p w:rsidR="004F6594" w:rsidRPr="004F6594" w:rsidRDefault="004F6594" w:rsidP="004F6594">
      <w:pPr>
        <w:spacing w:before="240" w:after="240"/>
        <w:jc w:val="both"/>
        <w:rPr>
          <w:sz w:val="22"/>
          <w:szCs w:val="22"/>
        </w:rPr>
      </w:pPr>
      <w:r w:rsidRPr="004F6594">
        <w:rPr>
          <w:sz w:val="22"/>
          <w:szCs w:val="22"/>
        </w:rPr>
        <w:t xml:space="preserve">Nesse contexto, a Lei nº 13.203/2015 e a Resolução Normativa da ANEEL </w:t>
      </w:r>
      <w:r w:rsidR="00655AA7">
        <w:rPr>
          <w:sz w:val="22"/>
          <w:szCs w:val="22"/>
        </w:rPr>
        <w:t xml:space="preserve">nº </w:t>
      </w:r>
      <w:r w:rsidRPr="004F6594">
        <w:rPr>
          <w:sz w:val="22"/>
          <w:szCs w:val="22"/>
        </w:rPr>
        <w:t xml:space="preserve">684/2015 foram editadas a fim de mitigar os efeitos financeiros provenientes da aplicação do GSF para os geradores, estabelecendo novos critérios para repactuação do risco hidrológico. Em razão do ano de 2015 ter apresentado um elevado GSF, os efeitos financeiros para as geradoras foram relevantes. Entretanto, a partir da publicação dessa lei, os geradores que </w:t>
      </w:r>
      <w:r w:rsidRPr="004F6594">
        <w:rPr>
          <w:sz w:val="22"/>
          <w:szCs w:val="22"/>
        </w:rPr>
        <w:lastRenderedPageBreak/>
        <w:t>optaram pela repactuação de seus respectivos riscos, passaram a compartilh</w:t>
      </w:r>
      <w:r w:rsidR="00191372">
        <w:rPr>
          <w:sz w:val="22"/>
          <w:szCs w:val="22"/>
        </w:rPr>
        <w:t>á</w:t>
      </w:r>
      <w:r w:rsidRPr="004F6594">
        <w:rPr>
          <w:sz w:val="22"/>
          <w:szCs w:val="22"/>
        </w:rPr>
        <w:t>-lo com os consumidores, mediante o pagamento de um determinado “prêmio”.</w:t>
      </w:r>
    </w:p>
    <w:p w:rsidR="004F6594" w:rsidRPr="004F6594" w:rsidRDefault="004F6594" w:rsidP="004F6594">
      <w:pPr>
        <w:spacing w:before="240" w:after="240"/>
        <w:jc w:val="both"/>
        <w:rPr>
          <w:sz w:val="22"/>
          <w:szCs w:val="22"/>
        </w:rPr>
      </w:pPr>
      <w:r w:rsidRPr="004F6594">
        <w:rPr>
          <w:sz w:val="22"/>
          <w:szCs w:val="22"/>
        </w:rPr>
        <w:t xml:space="preserve">Concomitantemente com essa medida, a CEB Lajeado S.A. manteve, em 2016, aproximadamente, 10% da sua energia sendo liquidada no mercado de curto prazo. É oportuno destacar que essa estratégia comercial também foi empregada em 2015. Embora a receita da Empresa tenha sido levemente afetada em razão dessa medida, o custo evitado com a aquisição de energia no mercado de curto prazo compensou, significativamente, a queda no seu faturamento anual. O volume descontratado, mesmo sem ser comercializado, serviu como uma espécie de </w:t>
      </w:r>
      <w:r w:rsidRPr="004F6594">
        <w:rPr>
          <w:i/>
          <w:sz w:val="22"/>
          <w:szCs w:val="22"/>
        </w:rPr>
        <w:t xml:space="preserve">hedge </w:t>
      </w:r>
      <w:r w:rsidRPr="004F6594">
        <w:rPr>
          <w:sz w:val="22"/>
          <w:szCs w:val="22"/>
        </w:rPr>
        <w:t>para compor o deficit na geração de energia e, consequentemente, o cumprimento do contrato bilateral com a CEB Distribuição S.A..</w:t>
      </w:r>
    </w:p>
    <w:p w:rsidR="0097680C" w:rsidRPr="0097680C" w:rsidRDefault="0097680C" w:rsidP="0097680C">
      <w:pPr>
        <w:spacing w:before="240" w:after="240"/>
        <w:jc w:val="both"/>
        <w:rPr>
          <w:sz w:val="22"/>
          <w:szCs w:val="22"/>
        </w:rPr>
      </w:pPr>
      <w:r w:rsidRPr="0097680C">
        <w:rPr>
          <w:sz w:val="22"/>
          <w:szCs w:val="22"/>
        </w:rPr>
        <w:t xml:space="preserve">O ano de 2016 também foi caracterizado pelo expressivo recebimento das reservas de lucros retidas pela Investco S.A. ao longo dos anos, no montante de R$ 23.387 mil, e pela liquidação de todos os passivos financeiros com os acionistas da Empresa, referentes aos exercícios de 2012 e 2014. No total, a CEB Lajeado S.A. distribuiu R$ 57.489 mil, nas formas de Dividendos, Juros Sobre Capital Próprio e Partes Beneficiárias. Para 2017, a Empresa manterá a mesma política adotada nos últimos dois anos, distribuindo, após a constituição das Reservas Legais e Estatutárias, a totalidade dos resultados alcançados. </w:t>
      </w:r>
    </w:p>
    <w:p w:rsidR="0097680C" w:rsidRPr="0097680C" w:rsidRDefault="0097680C" w:rsidP="0097680C">
      <w:pPr>
        <w:spacing w:before="240" w:after="240"/>
        <w:jc w:val="both"/>
        <w:rPr>
          <w:sz w:val="22"/>
          <w:szCs w:val="22"/>
        </w:rPr>
      </w:pPr>
      <w:r w:rsidRPr="001B16F4">
        <w:rPr>
          <w:sz w:val="22"/>
          <w:szCs w:val="22"/>
        </w:rPr>
        <w:t>Tendo em vista o forte impacto no caixa da Empresa em decorrência do alto custo do Contrato de Arrendamento dos ativos de geração da Usina Luís Eduardo Magalhães, a CEB Lajeado S.A.</w:t>
      </w:r>
      <w:r w:rsidR="001B16F4" w:rsidRPr="001B16F4">
        <w:rPr>
          <w:sz w:val="22"/>
          <w:szCs w:val="22"/>
        </w:rPr>
        <w:t>, houve reduções do EBITDA (LAJIDA) e do Lucro Líquido</w:t>
      </w:r>
      <w:r w:rsidRPr="001B16F4">
        <w:rPr>
          <w:sz w:val="22"/>
          <w:szCs w:val="22"/>
        </w:rPr>
        <w:t xml:space="preserve"> </w:t>
      </w:r>
      <w:r w:rsidR="001B16F4" w:rsidRPr="001B16F4">
        <w:rPr>
          <w:sz w:val="22"/>
          <w:szCs w:val="22"/>
        </w:rPr>
        <w:t xml:space="preserve">quando se compara o exercício de 2016 com o ano de 2015. Nesse sentido, foram </w:t>
      </w:r>
      <w:proofErr w:type="spellStart"/>
      <w:r w:rsidRPr="001B16F4">
        <w:rPr>
          <w:sz w:val="22"/>
          <w:szCs w:val="22"/>
        </w:rPr>
        <w:t>conclui</w:t>
      </w:r>
      <w:r w:rsidR="001B16F4" w:rsidRPr="001B16F4">
        <w:rPr>
          <w:sz w:val="22"/>
          <w:szCs w:val="22"/>
        </w:rPr>
        <w:t>dos</w:t>
      </w:r>
      <w:proofErr w:type="spellEnd"/>
      <w:r w:rsidRPr="001B16F4">
        <w:rPr>
          <w:sz w:val="22"/>
          <w:szCs w:val="22"/>
        </w:rPr>
        <w:t xml:space="preserve"> estudos que apontaram a necessidade de revisão das condicionantes do referido instrumento contratual. Os entendimentos com a Investco S.A., proprietária desses ativos, estão em curso e devem ser colocados em prática já a partir de 2017.</w:t>
      </w:r>
      <w:r w:rsidR="001B16F4" w:rsidRPr="001B16F4">
        <w:rPr>
          <w:sz w:val="22"/>
          <w:szCs w:val="22"/>
        </w:rPr>
        <w:t xml:space="preserve"> Tal providência contribuirá para superação do desempenho ocorrido em 2016.</w:t>
      </w:r>
    </w:p>
    <w:p w:rsidR="009A4483" w:rsidRDefault="0097680C" w:rsidP="0097680C">
      <w:pPr>
        <w:spacing w:before="240" w:after="240"/>
        <w:jc w:val="both"/>
        <w:rPr>
          <w:sz w:val="22"/>
          <w:szCs w:val="22"/>
        </w:rPr>
      </w:pPr>
      <w:r w:rsidRPr="0097680C">
        <w:rPr>
          <w:sz w:val="22"/>
          <w:szCs w:val="22"/>
        </w:rPr>
        <w:t>Outro ponto de destaque foi a celebração de um acordo com a CEB Distribuição S.A. referente ao contrato bilateral de compra e venda de energia elétrica. Apesar da maioria das faturas de venda de energia ter sido quitada, em alguns casos os pagamentos foram realizados fora dos prazos contratuais, o que acarretou, à compradora, a incidência de encargos. No final do exercício, três faturas permaneciam em aberto, todas referentes ao ano de 2015.  O valor total negociado foi de R$ 16.202 mil (referência de novembro de 2016), parcelados em 24 meses, nas mesmas condições estabelecidas no contrato mencionado, com a primeira parcela vencendo em janeiro de 2017.</w:t>
      </w:r>
    </w:p>
    <w:p w:rsidR="0097680C" w:rsidRPr="0097680C" w:rsidRDefault="009A4483" w:rsidP="0097680C">
      <w:pPr>
        <w:spacing w:before="240" w:after="240"/>
        <w:jc w:val="both"/>
        <w:rPr>
          <w:sz w:val="22"/>
          <w:szCs w:val="22"/>
        </w:rPr>
      </w:pPr>
      <w:r>
        <w:rPr>
          <w:sz w:val="22"/>
          <w:szCs w:val="22"/>
        </w:rPr>
        <w:t>Por fim, verifica-se que houve reduções do EBITDA (LAJIDA) e do Lucro Líquido em 2016 quando comparado com o exercício anterior. Tais comportamentos estão relacionados com o aumento das despesas, em particular na rubrica Arrendamento. O acréscimo desta rubrica teve como causa principal os altos percentuais do índice IPCA mensal projetado que compõe a fórmula de cálculo do Arrendamento. Para o exercício de 2017, como a projeção do mencionado indicador de inflação é decrescente, haverá apurações de resultados superiores aos ocorridos em 2015 e 2016.</w:t>
      </w:r>
    </w:p>
    <w:p w:rsidR="002D7B9B" w:rsidRPr="007E7E1D" w:rsidRDefault="002D7B9B" w:rsidP="00EA7B2C">
      <w:pPr>
        <w:rPr>
          <w:b/>
          <w:sz w:val="22"/>
          <w:szCs w:val="22"/>
        </w:rPr>
      </w:pPr>
      <w:r w:rsidRPr="007E7E1D">
        <w:rPr>
          <w:b/>
          <w:sz w:val="22"/>
          <w:szCs w:val="22"/>
        </w:rPr>
        <w:t>CEB Participações S.A.</w:t>
      </w:r>
    </w:p>
    <w:p w:rsidR="001E2850" w:rsidRPr="00F32724" w:rsidRDefault="001E2850" w:rsidP="001E2850">
      <w:pPr>
        <w:spacing w:before="240" w:after="240"/>
        <w:jc w:val="both"/>
        <w:rPr>
          <w:sz w:val="22"/>
          <w:szCs w:val="22"/>
        </w:rPr>
      </w:pPr>
      <w:r>
        <w:rPr>
          <w:sz w:val="22"/>
          <w:szCs w:val="22"/>
        </w:rPr>
        <w:t>A CEB Participações S.</w:t>
      </w:r>
      <w:r w:rsidRPr="00F32724">
        <w:rPr>
          <w:sz w:val="22"/>
          <w:szCs w:val="22"/>
        </w:rPr>
        <w:t>A</w:t>
      </w:r>
      <w:r>
        <w:rPr>
          <w:sz w:val="22"/>
          <w:szCs w:val="22"/>
        </w:rPr>
        <w:t>.</w:t>
      </w:r>
      <w:r w:rsidRPr="00F32724">
        <w:rPr>
          <w:sz w:val="22"/>
          <w:szCs w:val="22"/>
        </w:rPr>
        <w:t xml:space="preserve"> é uma sociedade por ações de capital fechado, autorizada pela Lei Distrital nº 1.788, de 27 de novembro de 1997, constituída como subsidiária integral da CEB, que atua na compra e venda de participações acionárias ou cotas de outras empresas energéticas, de telecomunicações e de transmissão de dados, majoritária ou minoritariamente.</w:t>
      </w:r>
    </w:p>
    <w:p w:rsidR="001E2850" w:rsidRDefault="001E2850" w:rsidP="001E2850">
      <w:pPr>
        <w:spacing w:before="240" w:after="240"/>
        <w:jc w:val="both"/>
        <w:rPr>
          <w:sz w:val="22"/>
          <w:szCs w:val="22"/>
        </w:rPr>
      </w:pPr>
      <w:r w:rsidRPr="00F32724">
        <w:rPr>
          <w:sz w:val="22"/>
          <w:szCs w:val="22"/>
        </w:rPr>
        <w:t xml:space="preserve">Atua na comercialização de energia elétrica, na proporção de sua cota-parte de 17,50% no Consórcio </w:t>
      </w:r>
      <w:r w:rsidR="00191372">
        <w:rPr>
          <w:sz w:val="22"/>
          <w:szCs w:val="22"/>
        </w:rPr>
        <w:t xml:space="preserve">      </w:t>
      </w:r>
      <w:r w:rsidRPr="00F32724">
        <w:rPr>
          <w:sz w:val="22"/>
          <w:szCs w:val="22"/>
        </w:rPr>
        <w:t>C</w:t>
      </w:r>
      <w:r>
        <w:rPr>
          <w:sz w:val="22"/>
          <w:szCs w:val="22"/>
        </w:rPr>
        <w:t>emig</w:t>
      </w:r>
      <w:r w:rsidRPr="00F32724">
        <w:rPr>
          <w:sz w:val="22"/>
          <w:szCs w:val="22"/>
        </w:rPr>
        <w:t xml:space="preserve">-CEB, produzida pela Usina Hidrelétrica de Queimado, na condição de produtora independente de energia elétrica e detém a participação acionária correspondente a 2,35% do Capital da </w:t>
      </w:r>
      <w:r>
        <w:rPr>
          <w:sz w:val="22"/>
          <w:szCs w:val="22"/>
        </w:rPr>
        <w:t>geradora</w:t>
      </w:r>
      <w:r>
        <w:rPr>
          <w:color w:val="FF0000"/>
          <w:sz w:val="22"/>
          <w:szCs w:val="22"/>
        </w:rPr>
        <w:t xml:space="preserve"> </w:t>
      </w:r>
      <w:r w:rsidRPr="00F32724">
        <w:rPr>
          <w:sz w:val="22"/>
          <w:szCs w:val="22"/>
        </w:rPr>
        <w:t xml:space="preserve">Corumbá Concessões </w:t>
      </w:r>
      <w:proofErr w:type="gramStart"/>
      <w:r w:rsidRPr="00F32724">
        <w:rPr>
          <w:sz w:val="22"/>
          <w:szCs w:val="22"/>
        </w:rPr>
        <w:t>S</w:t>
      </w:r>
      <w:r>
        <w:rPr>
          <w:sz w:val="22"/>
          <w:szCs w:val="22"/>
        </w:rPr>
        <w:t>.</w:t>
      </w:r>
      <w:r w:rsidRPr="00F32724">
        <w:rPr>
          <w:sz w:val="22"/>
          <w:szCs w:val="22"/>
        </w:rPr>
        <w:t>A.</w:t>
      </w:r>
      <w:r>
        <w:rPr>
          <w:sz w:val="22"/>
          <w:szCs w:val="22"/>
        </w:rPr>
        <w:t>.</w:t>
      </w:r>
      <w:proofErr w:type="gramEnd"/>
    </w:p>
    <w:p w:rsidR="00690BCF" w:rsidRDefault="00690BCF">
      <w:pPr>
        <w:rPr>
          <w:b/>
          <w:sz w:val="22"/>
          <w:szCs w:val="22"/>
        </w:rPr>
      </w:pPr>
      <w:r>
        <w:rPr>
          <w:b/>
          <w:sz w:val="22"/>
          <w:szCs w:val="22"/>
        </w:rPr>
        <w:br w:type="page"/>
      </w:r>
    </w:p>
    <w:p w:rsidR="002D7B9B" w:rsidRPr="007E7E1D" w:rsidRDefault="002113C5" w:rsidP="002D7B9B">
      <w:pPr>
        <w:spacing w:before="240" w:after="240"/>
        <w:rPr>
          <w:b/>
          <w:sz w:val="22"/>
          <w:szCs w:val="22"/>
        </w:rPr>
      </w:pPr>
      <w:r>
        <w:rPr>
          <w:b/>
          <w:sz w:val="22"/>
          <w:szCs w:val="22"/>
        </w:rPr>
        <w:lastRenderedPageBreak/>
        <w:t>O</w:t>
      </w:r>
      <w:r w:rsidR="002D7B9B" w:rsidRPr="007E7E1D">
        <w:rPr>
          <w:b/>
          <w:sz w:val="22"/>
          <w:szCs w:val="22"/>
        </w:rPr>
        <w:t>rganização Societária</w:t>
      </w:r>
    </w:p>
    <w:p w:rsidR="002D7B9B" w:rsidRPr="00F93ACC" w:rsidRDefault="003639BB" w:rsidP="00D119F5">
      <w:pPr>
        <w:spacing w:before="240" w:after="240"/>
        <w:jc w:val="center"/>
        <w:rPr>
          <w:b/>
          <w:bCs/>
          <w:sz w:val="22"/>
          <w:szCs w:val="22"/>
        </w:rPr>
      </w:pPr>
      <w:r w:rsidRPr="003639BB">
        <w:rPr>
          <w:b/>
          <w:bCs/>
          <w:noProof/>
          <w:sz w:val="22"/>
          <w:szCs w:val="22"/>
        </w:rPr>
        <w:drawing>
          <wp:inline distT="0" distB="0" distL="0" distR="0">
            <wp:extent cx="4333875" cy="2047875"/>
            <wp:effectExtent l="19050" t="0" r="0" b="0"/>
            <wp:docPr id="10"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8432" cy="3539480"/>
                      <a:chOff x="357784" y="1659260"/>
                      <a:chExt cx="8428432" cy="3539480"/>
                    </a:xfrm>
                  </a:grpSpPr>
                  <a:pic>
                    <a:nvPicPr>
                      <a:cNvPr id="2" name="Picture 5" descr="35974"/>
                      <a:cNvPicPr>
                        <a:picLocks noChangeArrowheads="1"/>
                      </a:cNvPicPr>
                    </a:nvPicPr>
                    <a:blipFill>
                      <a:blip r:embed="rId24" cstate="print">
                        <a:extLst>
                          <a:ext uri="{28A0092B-C50C-407E-A947-70E740481C1C}">
                            <a14:useLocalDpi xmlns:a14="http://schemas.microsoft.com/office/drawing/2010/main" val="0"/>
                          </a:ext>
                        </a:extLst>
                      </a:blip>
                      <a:srcRect/>
                      <a:stretch>
                        <a:fillRect/>
                      </a:stretch>
                    </a:blipFill>
                    <a:spPr bwMode="auto">
                      <a:xfrm>
                        <a:off x="4606256" y="1659260"/>
                        <a:ext cx="953976" cy="546331"/>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pic>
                  <a:sp>
                    <a:nvSpPr>
                      <a:cNvPr id="3" name="Fluxograma: Processo 2"/>
                      <a:cNvSpPr>
                        <a:spLocks/>
                      </a:cNvSpPr>
                    </a:nvSpPr>
                    <a:spPr bwMode="auto">
                      <a:xfrm rot="10800000" flipV="1">
                        <a:off x="6974929" y="4755603"/>
                        <a:ext cx="1303735" cy="443137"/>
                      </a:xfrm>
                      <a:prstGeom prst="flowChartProcess">
                        <a:avLst/>
                      </a:prstGeom>
                      <a:noFill/>
                      <a:ln w="254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1200" b="1" dirty="0" smtClean="0">
                              <a:solidFill>
                                <a:srgbClr val="002060"/>
                              </a:solidFill>
                              <a:latin typeface="Arial Narrow" pitchFamily="34" charset="0"/>
                            </a:rPr>
                            <a:t>CONCESSÃO UHE QUEIMADO</a:t>
                          </a:r>
                          <a:endParaRPr lang="pt-BR" altLang="pt-BR" sz="1200" b="1" dirty="0">
                            <a:solidFill>
                              <a:srgbClr val="002060"/>
                            </a:solidFill>
                            <a:latin typeface="Arial Narrow" pitchFamily="34" charset="0"/>
                          </a:endParaRPr>
                        </a:p>
                      </a:txBody>
                      <a:useSpRect/>
                    </a:txSp>
                  </a:sp>
                  <a:sp>
                    <a:nvSpPr>
                      <a:cNvPr id="4" name="Line 37"/>
                      <a:cNvSpPr>
                        <a:spLocks noChangeShapeType="1"/>
                      </a:cNvSpPr>
                    </a:nvSpPr>
                    <a:spPr bwMode="auto">
                      <a:xfrm flipH="1">
                        <a:off x="7621681" y="4467572"/>
                        <a:ext cx="0" cy="251966"/>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5" name="Line 32"/>
                      <a:cNvSpPr>
                        <a:spLocks noChangeShapeType="1"/>
                      </a:cNvSpPr>
                    </a:nvSpPr>
                    <a:spPr bwMode="auto">
                      <a:xfrm flipH="1">
                        <a:off x="6838504" y="3432482"/>
                        <a:ext cx="1584176"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6" name="Line 33"/>
                      <a:cNvSpPr>
                        <a:spLocks noChangeShapeType="1"/>
                      </a:cNvSpPr>
                    </a:nvSpPr>
                    <a:spPr bwMode="auto">
                      <a:xfrm flipH="1">
                        <a:off x="6834036" y="3164070"/>
                        <a:ext cx="4468" cy="27666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7" name="Line 37"/>
                      <a:cNvSpPr>
                        <a:spLocks noChangeShapeType="1"/>
                      </a:cNvSpPr>
                    </a:nvSpPr>
                    <a:spPr bwMode="auto">
                      <a:xfrm flipH="1">
                        <a:off x="7589876" y="3432482"/>
                        <a:ext cx="15901" cy="387019"/>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8" name="CaixaDeTexto 143"/>
                      <a:cNvSpPr txBox="1"/>
                    </a:nvSpPr>
                    <a:spPr>
                      <a:xfrm>
                        <a:off x="8010823" y="2863651"/>
                        <a:ext cx="771897"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82,5%</a:t>
                          </a:r>
                          <a:endParaRPr lang="pt-BR" sz="1400" b="1" dirty="0">
                            <a:latin typeface="Arial" pitchFamily="34" charset="0"/>
                            <a:cs typeface="Arial" pitchFamily="34" charset="0"/>
                          </a:endParaRPr>
                        </a:p>
                      </a:txBody>
                      <a:useSpRect/>
                    </a:txSp>
                  </a:sp>
                  <a:pic>
                    <a:nvPicPr>
                      <a:cNvPr id="9" name="Picture 2" descr="http://cemig.infoinvest.com.br/enu/3864/000110465908040713/g136573ba31i001.jpg"/>
                      <a:cNvPicPr>
                        <a:picLocks noChangeArrowheads="1"/>
                      </a:cNvPicPr>
                    </a:nvPicPr>
                    <a:blipFill>
                      <a:blip r:embed="rId37" cstate="print">
                        <a:extLst>
                          <a:ext uri="{28A0092B-C50C-407E-A947-70E740481C1C}">
                            <a14:useLocalDpi xmlns:a14="http://schemas.microsoft.com/office/drawing/2010/main" val="0"/>
                          </a:ext>
                        </a:extLst>
                      </a:blip>
                      <a:srcRect/>
                      <a:stretch>
                        <a:fillRect/>
                      </a:stretch>
                    </a:blipFill>
                    <a:spPr bwMode="auto">
                      <a:xfrm>
                        <a:off x="7846616" y="1731268"/>
                        <a:ext cx="939600" cy="547200"/>
                      </a:xfrm>
                      <a:prstGeom prst="rect">
                        <a:avLst/>
                      </a:prstGeom>
                      <a:noFill/>
                      <a:extLst>
                        <a:ext uri="{909E8E84-426E-40DD-AFC4-6F175D3DCCD1}">
                          <a14:hiddenFill xmlns:a14="http://schemas.microsoft.com/office/drawing/2010/main">
                            <a:solidFill>
                              <a:srgbClr val="FFFFFF"/>
                            </a:solidFill>
                          </a14:hiddenFill>
                        </a:ext>
                      </a:extLst>
                    </a:spPr>
                  </a:pic>
                  <a:sp>
                    <a:nvSpPr>
                      <a:cNvPr id="10" name="Fluxograma: Processo 9"/>
                      <a:cNvSpPr>
                        <a:spLocks/>
                      </a:cNvSpPr>
                    </a:nvSpPr>
                    <a:spPr bwMode="auto">
                      <a:xfrm rot="10800000" flipV="1">
                        <a:off x="6973610" y="3891508"/>
                        <a:ext cx="1240637" cy="472715"/>
                      </a:xfrm>
                      <a:prstGeom prst="flowChartProcess">
                        <a:avLst/>
                      </a:prstGeom>
                      <a:solidFill>
                        <a:srgbClr val="FFFFFF"/>
                      </a:solidFill>
                      <a:ln w="254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1400" b="1" dirty="0" smtClean="0">
                              <a:solidFill>
                                <a:srgbClr val="002060"/>
                              </a:solidFill>
                              <a:latin typeface="Arial Narrow" pitchFamily="34" charset="0"/>
                            </a:rPr>
                            <a:t>Consórcio CEB/CEMIG</a:t>
                          </a:r>
                          <a:endParaRPr lang="pt-BR" altLang="pt-BR" sz="1400" b="1" dirty="0">
                            <a:solidFill>
                              <a:srgbClr val="002060"/>
                            </a:solidFill>
                            <a:latin typeface="Arial Narrow" pitchFamily="34" charset="0"/>
                          </a:endParaRPr>
                        </a:p>
                      </a:txBody>
                      <a:useSpRect/>
                    </a:txSp>
                  </a:sp>
                  <a:pic>
                    <a:nvPicPr>
                      <a:cNvPr id="11" name="Imagem 10" descr="Descrição: Descrição: cebpart_b"/>
                      <a:cNvPicPr/>
                    </a:nvPicPr>
                    <a:blipFill>
                      <a:blip r:embed="rId28" cstate="print">
                        <a:extLst>
                          <a:ext uri="{28A0092B-C50C-407E-A947-70E740481C1C}">
                            <a14:useLocalDpi xmlns:a14="http://schemas.microsoft.com/office/drawing/2010/main" val="0"/>
                          </a:ext>
                        </a:extLst>
                      </a:blip>
                      <a:srcRect/>
                      <a:stretch>
                        <a:fillRect/>
                      </a:stretch>
                    </a:blipFill>
                    <a:spPr bwMode="auto">
                      <a:xfrm>
                        <a:off x="5668504" y="1659260"/>
                        <a:ext cx="939600" cy="547200"/>
                      </a:xfrm>
                      <a:prstGeom prst="rect">
                        <a:avLst/>
                      </a:prstGeom>
                      <a:noFill/>
                      <a:ln>
                        <a:noFill/>
                      </a:ln>
                    </a:spPr>
                  </a:pic>
                  <a:sp>
                    <a:nvSpPr>
                      <a:cNvPr id="12" name="CaixaDeTexto 58"/>
                      <a:cNvSpPr txBox="1"/>
                    </a:nvSpPr>
                    <a:spPr>
                      <a:xfrm>
                        <a:off x="6460592" y="2856293"/>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17,5%</a:t>
                          </a:r>
                          <a:endParaRPr lang="pt-BR" sz="1400" b="1" dirty="0">
                            <a:latin typeface="Arial" pitchFamily="34" charset="0"/>
                            <a:cs typeface="Arial" pitchFamily="34" charset="0"/>
                          </a:endParaRPr>
                        </a:p>
                      </a:txBody>
                      <a:useSpRect/>
                    </a:txSp>
                  </a:sp>
                  <a:sp>
                    <a:nvSpPr>
                      <a:cNvPr id="13" name="Line 32"/>
                      <a:cNvSpPr>
                        <a:spLocks noChangeShapeType="1"/>
                      </a:cNvSpPr>
                    </a:nvSpPr>
                    <a:spPr bwMode="auto">
                      <a:xfrm flipH="1" flipV="1">
                        <a:off x="5527984" y="2372188"/>
                        <a:ext cx="662448" cy="71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14" name="Line 37"/>
                      <a:cNvSpPr>
                        <a:spLocks noChangeShapeType="1"/>
                      </a:cNvSpPr>
                    </a:nvSpPr>
                    <a:spPr bwMode="auto">
                      <a:xfrm>
                        <a:off x="6811696" y="2365927"/>
                        <a:ext cx="8936" cy="490366"/>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5" name="Line 33"/>
                      <a:cNvSpPr>
                        <a:spLocks noChangeShapeType="1"/>
                      </a:cNvSpPr>
                    </a:nvSpPr>
                    <a:spPr bwMode="auto">
                      <a:xfrm>
                        <a:off x="6172560" y="2256988"/>
                        <a:ext cx="0" cy="122352"/>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6" name="Line 37"/>
                      <a:cNvSpPr>
                        <a:spLocks noChangeShapeType="1"/>
                      </a:cNvSpPr>
                    </a:nvSpPr>
                    <a:spPr bwMode="auto">
                      <a:xfrm>
                        <a:off x="5527984" y="2379340"/>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7" name="Line 33"/>
                      <a:cNvSpPr>
                        <a:spLocks noChangeShapeType="1"/>
                      </a:cNvSpPr>
                    </a:nvSpPr>
                    <a:spPr bwMode="auto">
                      <a:xfrm>
                        <a:off x="8418212" y="3171428"/>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8" name="Line 37"/>
                      <a:cNvSpPr>
                        <a:spLocks noChangeShapeType="1"/>
                      </a:cNvSpPr>
                    </a:nvSpPr>
                    <a:spPr bwMode="auto">
                      <a:xfrm>
                        <a:off x="8341736" y="2379340"/>
                        <a:ext cx="8936" cy="490366"/>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19" name="Picture 4" descr="http://www.gruposerveng.com.br/MANAGER/fotos/site_empresa/grande_grande_corumb01062012.jpg"/>
                      <a:cNvPicPr>
                        <a:picLocks noChangeArrowheads="1"/>
                      </a:cNvPicPr>
                    </a:nvPicPr>
                    <a:blipFill rotWithShape="1">
                      <a:blip r:embed="rId25" cstate="print">
                        <a:extLst>
                          <a:ext uri="{28A0092B-C50C-407E-A947-70E740481C1C}">
                            <a14:useLocalDpi xmlns:a14="http://schemas.microsoft.com/office/drawing/2010/main" val="0"/>
                          </a:ext>
                        </a:extLst>
                      </a:blip>
                      <a:srcRect l="17805" t="26602" r="17154" b="30943"/>
                      <a:stretch/>
                    </a:blipFill>
                    <a:spPr bwMode="auto">
                      <a:xfrm>
                        <a:off x="2874568" y="3996138"/>
                        <a:ext cx="939600" cy="550800"/>
                      </a:xfrm>
                      <a:prstGeom prst="rect">
                        <a:avLst/>
                      </a:prstGeom>
                      <a:noFill/>
                      <a:extLst>
                        <a:ext uri="{909E8E84-426E-40DD-AFC4-6F175D3DCCD1}">
                          <a14:hiddenFill xmlns:a14="http://schemas.microsoft.com/office/drawing/2010/main">
                            <a:solidFill>
                              <a:srgbClr val="FFFFFF"/>
                            </a:solidFill>
                          </a14:hiddenFill>
                        </a:ext>
                      </a:extLst>
                    </a:spPr>
                  </a:pic>
                  <a:sp>
                    <a:nvSpPr>
                      <a:cNvPr id="20" name="Line 32"/>
                      <a:cNvSpPr>
                        <a:spLocks noChangeShapeType="1"/>
                      </a:cNvSpPr>
                    </a:nvSpPr>
                    <a:spPr bwMode="auto">
                      <a:xfrm flipH="1">
                        <a:off x="794572" y="3511848"/>
                        <a:ext cx="4752256"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1" name="Line 33"/>
                      <a:cNvSpPr>
                        <a:spLocks noChangeShapeType="1"/>
                      </a:cNvSpPr>
                    </a:nvSpPr>
                    <a:spPr bwMode="auto">
                      <a:xfrm>
                        <a:off x="789832" y="3243436"/>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2" name="Line 37"/>
                      <a:cNvSpPr>
                        <a:spLocks noChangeShapeType="1"/>
                      </a:cNvSpPr>
                    </a:nvSpPr>
                    <a:spPr bwMode="auto">
                      <a:xfrm>
                        <a:off x="3351290" y="3520098"/>
                        <a:ext cx="0" cy="378768"/>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3" name="Line 33"/>
                      <a:cNvSpPr>
                        <a:spLocks noChangeShapeType="1"/>
                      </a:cNvSpPr>
                    </a:nvSpPr>
                    <a:spPr bwMode="auto">
                      <a:xfrm>
                        <a:off x="5542360" y="3250794"/>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24" name="Picture 6" descr="http://www.gmkfreelogos.com/logos/C/img/CAESB.gif"/>
                      <a:cNvPicPr>
                        <a:picLocks noChangeArrowheads="1"/>
                      </a:cNvPicPr>
                    </a:nvPicPr>
                    <a:blipFill rotWithShape="1">
                      <a:blip r:embed="rId38" cstate="print">
                        <a:extLst>
                          <a:ext uri="{28A0092B-C50C-407E-A947-70E740481C1C}">
                            <a14:useLocalDpi xmlns:a14="http://schemas.microsoft.com/office/drawing/2010/main" val="0"/>
                          </a:ext>
                        </a:extLst>
                      </a:blip>
                      <a:srcRect t="27915" b="26686"/>
                      <a:stretch/>
                    </a:blipFill>
                    <a:spPr bwMode="auto">
                      <a:xfrm>
                        <a:off x="1365896" y="1770710"/>
                        <a:ext cx="939600" cy="550800"/>
                      </a:xfrm>
                      <a:prstGeom prst="rect">
                        <a:avLst/>
                      </a:prstGeom>
                      <a:noFill/>
                      <a:extLst>
                        <a:ext uri="{909E8E84-426E-40DD-AFC4-6F175D3DCCD1}">
                          <a14:hiddenFill xmlns:a14="http://schemas.microsoft.com/office/drawing/2010/main">
                            <a:solidFill>
                              <a:srgbClr val="FFFFFF"/>
                            </a:solidFill>
                          </a14:hiddenFill>
                        </a:ext>
                      </a:extLst>
                    </a:spPr>
                  </a:pic>
                  <a:pic>
                    <a:nvPicPr>
                      <a:cNvPr id="25" name="Picture 8" descr="http://www.sobreadministracao.com/wp-content/uploads/2011/09/Serveng-Logo.jpg"/>
                      <a:cNvPicPr>
                        <a:picLocks noChangeArrowheads="1"/>
                      </a:cNvPicPr>
                    </a:nvPicPr>
                    <a:blipFill>
                      <a:blip r:embed="rId39" cstate="print">
                        <a:extLst>
                          <a:ext uri="{28A0092B-C50C-407E-A947-70E740481C1C}">
                            <a14:useLocalDpi xmlns:a14="http://schemas.microsoft.com/office/drawing/2010/main" val="0"/>
                          </a:ext>
                        </a:extLst>
                      </a:blip>
                      <a:srcRect/>
                      <a:stretch>
                        <a:fillRect/>
                      </a:stretch>
                    </a:blipFill>
                    <a:spPr bwMode="auto">
                      <a:xfrm>
                        <a:off x="2446016" y="1803724"/>
                        <a:ext cx="939600" cy="550800"/>
                      </a:xfrm>
                      <a:prstGeom prst="rect">
                        <a:avLst/>
                      </a:prstGeom>
                      <a:noFill/>
                      <a:extLst>
                        <a:ext uri="{909E8E84-426E-40DD-AFC4-6F175D3DCCD1}">
                          <a14:hiddenFill xmlns:a14="http://schemas.microsoft.com/office/drawing/2010/main">
                            <a:solidFill>
                              <a:srgbClr val="FFFFFF"/>
                            </a:solidFill>
                          </a14:hiddenFill>
                        </a:ext>
                      </a:extLst>
                    </a:spPr>
                  </a:pic>
                  <a:pic>
                    <a:nvPicPr>
                      <a:cNvPr id="26" name="Picture 14" descr="http://www.hvec.com.br/arquivos/parceiros/parceiros10.png"/>
                      <a:cNvPicPr>
                        <a:picLocks noChangeArrowheads="1"/>
                      </a:cNvPicPr>
                    </a:nvPicPr>
                    <a:blipFill>
                      <a:blip r:embed="rId40" cstate="print">
                        <a:extLst>
                          <a:ext uri="{28A0092B-C50C-407E-A947-70E740481C1C}">
                            <a14:useLocalDpi xmlns:a14="http://schemas.microsoft.com/office/drawing/2010/main" val="0"/>
                          </a:ext>
                        </a:extLst>
                      </a:blip>
                      <a:srcRect/>
                      <a:stretch>
                        <a:fillRect/>
                      </a:stretch>
                    </a:blipFill>
                    <a:spPr bwMode="auto">
                      <a:xfrm>
                        <a:off x="3526136" y="1806242"/>
                        <a:ext cx="939600" cy="550800"/>
                      </a:xfrm>
                      <a:prstGeom prst="rect">
                        <a:avLst/>
                      </a:prstGeom>
                      <a:noFill/>
                      <a:extLst>
                        <a:ext uri="{909E8E84-426E-40DD-AFC4-6F175D3DCCD1}">
                          <a14:hiddenFill xmlns:a14="http://schemas.microsoft.com/office/drawing/2010/main">
                            <a:solidFill>
                              <a:srgbClr val="FFFFFF"/>
                            </a:solidFill>
                          </a14:hiddenFill>
                        </a:ext>
                      </a:extLst>
                    </a:spPr>
                  </a:pic>
                  <a:pic>
                    <a:nvPicPr>
                      <a:cNvPr id="27" name="Picture 16" descr="http://static.folhadirigida.com.br/cs/FolhaDirigida/imgStatic/949/579/terracap,0.jpg"/>
                      <a:cNvPicPr>
                        <a:picLocks noChangeArrowheads="1"/>
                      </a:cNvPicPr>
                    </a:nvPicPr>
                    <a:blipFill rotWithShape="1">
                      <a:blip r:embed="rId41" cstate="print">
                        <a:extLst>
                          <a:ext uri="{28A0092B-C50C-407E-A947-70E740481C1C}">
                            <a14:useLocalDpi xmlns:a14="http://schemas.microsoft.com/office/drawing/2010/main" val="0"/>
                          </a:ext>
                        </a:extLst>
                      </a:blip>
                      <a:srcRect l="6400" t="18342" r="5992" b="18567"/>
                      <a:stretch/>
                    </a:blipFill>
                    <a:spPr bwMode="auto">
                      <a:xfrm>
                        <a:off x="357784" y="1756532"/>
                        <a:ext cx="939600" cy="550800"/>
                      </a:xfrm>
                      <a:prstGeom prst="rect">
                        <a:avLst/>
                      </a:prstGeom>
                      <a:noFill/>
                      <a:extLst>
                        <a:ext uri="{909E8E84-426E-40DD-AFC4-6F175D3DCCD1}">
                          <a14:hiddenFill xmlns:a14="http://schemas.microsoft.com/office/drawing/2010/main">
                            <a:solidFill>
                              <a:srgbClr val="FFFFFF"/>
                            </a:solidFill>
                          </a14:hiddenFill>
                        </a:ext>
                      </a:extLst>
                    </a:spPr>
                  </a:pic>
                  <a:sp>
                    <a:nvSpPr>
                      <a:cNvPr id="28" name="Line 37"/>
                      <a:cNvSpPr>
                        <a:spLocks noChangeShapeType="1"/>
                      </a:cNvSpPr>
                    </a:nvSpPr>
                    <a:spPr bwMode="auto">
                      <a:xfrm>
                        <a:off x="4033688" y="2379340"/>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9" name="Line 37"/>
                      <a:cNvSpPr>
                        <a:spLocks noChangeShapeType="1"/>
                      </a:cNvSpPr>
                    </a:nvSpPr>
                    <a:spPr bwMode="auto">
                      <a:xfrm>
                        <a:off x="2881560" y="2379340"/>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0" name="Line 37"/>
                      <a:cNvSpPr>
                        <a:spLocks noChangeShapeType="1"/>
                      </a:cNvSpPr>
                    </a:nvSpPr>
                    <a:spPr bwMode="auto">
                      <a:xfrm>
                        <a:off x="1945456" y="2379340"/>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1" name="Line 37"/>
                      <a:cNvSpPr>
                        <a:spLocks noChangeShapeType="1"/>
                      </a:cNvSpPr>
                    </a:nvSpPr>
                    <a:spPr bwMode="auto">
                      <a:xfrm>
                        <a:off x="789832" y="2379340"/>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2" name="Line 37"/>
                      <a:cNvSpPr>
                        <a:spLocks noChangeShapeType="1"/>
                      </a:cNvSpPr>
                    </a:nvSpPr>
                    <a:spPr bwMode="auto">
                      <a:xfrm>
                        <a:off x="4822280" y="2379340"/>
                        <a:ext cx="0" cy="476954"/>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3" name="CaixaDeTexto 62"/>
                      <a:cNvSpPr txBox="1"/>
                    </a:nvSpPr>
                    <a:spPr>
                      <a:xfrm>
                        <a:off x="1585416" y="2863651"/>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8,8%</a:t>
                          </a:r>
                          <a:endParaRPr lang="pt-BR" sz="1400" b="1" dirty="0">
                            <a:latin typeface="Arial" pitchFamily="34" charset="0"/>
                            <a:cs typeface="Arial" pitchFamily="34" charset="0"/>
                          </a:endParaRPr>
                        </a:p>
                      </a:txBody>
                      <a:useSpRect/>
                    </a:txSp>
                  </a:sp>
                  <a:sp>
                    <a:nvSpPr>
                      <a:cNvPr id="34" name="CaixaDeTexto 63"/>
                      <a:cNvSpPr txBox="1"/>
                    </a:nvSpPr>
                    <a:spPr>
                      <a:xfrm>
                        <a:off x="2521520" y="2863651"/>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22,9%</a:t>
                          </a:r>
                          <a:endParaRPr lang="pt-BR" sz="1400" b="1" dirty="0">
                            <a:latin typeface="Arial" pitchFamily="34" charset="0"/>
                            <a:cs typeface="Arial" pitchFamily="34" charset="0"/>
                          </a:endParaRPr>
                        </a:p>
                      </a:txBody>
                      <a:useSpRect/>
                    </a:txSp>
                  </a:sp>
                  <a:sp>
                    <a:nvSpPr>
                      <a:cNvPr id="35" name="CaixaDeTexto 64"/>
                      <a:cNvSpPr txBox="1"/>
                    </a:nvSpPr>
                    <a:spPr>
                      <a:xfrm>
                        <a:off x="3673648" y="2863651"/>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a:latin typeface="Arial" pitchFamily="34" charset="0"/>
                              <a:cs typeface="Arial" pitchFamily="34" charset="0"/>
                            </a:rPr>
                            <a:t>3</a:t>
                          </a:r>
                          <a:r>
                            <a:rPr lang="pt-BR" sz="1400" b="1" dirty="0" smtClean="0">
                              <a:latin typeface="Arial" pitchFamily="34" charset="0"/>
                              <a:cs typeface="Arial" pitchFamily="34" charset="0"/>
                            </a:rPr>
                            <a:t>%</a:t>
                          </a:r>
                          <a:endParaRPr lang="pt-BR" sz="1400" b="1" dirty="0">
                            <a:latin typeface="Arial" pitchFamily="34" charset="0"/>
                            <a:cs typeface="Arial" pitchFamily="34" charset="0"/>
                          </a:endParaRPr>
                        </a:p>
                      </a:txBody>
                      <a:useSpRect/>
                    </a:txSp>
                  </a:sp>
                  <a:sp>
                    <a:nvSpPr>
                      <a:cNvPr id="36" name="CaixaDeTexto 65"/>
                      <a:cNvSpPr txBox="1"/>
                    </a:nvSpPr>
                    <a:spPr>
                      <a:xfrm>
                        <a:off x="4318224" y="2863651"/>
                        <a:ext cx="921728"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45,21%</a:t>
                          </a:r>
                          <a:endParaRPr lang="pt-BR" sz="1400" b="1" dirty="0">
                            <a:latin typeface="Arial" pitchFamily="34" charset="0"/>
                            <a:cs typeface="Arial" pitchFamily="34" charset="0"/>
                          </a:endParaRPr>
                        </a:p>
                      </a:txBody>
                      <a:useSpRect/>
                    </a:txSp>
                  </a:sp>
                  <a:sp>
                    <a:nvSpPr>
                      <a:cNvPr id="37" name="CaixaDeTexto 66"/>
                      <a:cNvSpPr txBox="1"/>
                    </a:nvSpPr>
                    <a:spPr>
                      <a:xfrm>
                        <a:off x="5164448" y="2863651"/>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2,35%</a:t>
                          </a:r>
                          <a:endParaRPr lang="pt-BR" sz="1400" b="1" dirty="0">
                            <a:latin typeface="Arial" pitchFamily="34" charset="0"/>
                            <a:cs typeface="Arial" pitchFamily="34" charset="0"/>
                          </a:endParaRPr>
                        </a:p>
                      </a:txBody>
                      <a:useSpRect/>
                    </a:txSp>
                  </a:sp>
                  <a:sp>
                    <a:nvSpPr>
                      <a:cNvPr id="38" name="Line 33"/>
                      <a:cNvSpPr>
                        <a:spLocks noChangeShapeType="1"/>
                      </a:cNvSpPr>
                    </a:nvSpPr>
                    <a:spPr bwMode="auto">
                      <a:xfrm>
                        <a:off x="1941960" y="3243436"/>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9" name="Line 33"/>
                      <a:cNvSpPr>
                        <a:spLocks noChangeShapeType="1"/>
                      </a:cNvSpPr>
                    </a:nvSpPr>
                    <a:spPr bwMode="auto">
                      <a:xfrm>
                        <a:off x="2878064" y="3243436"/>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40" name="Line 33"/>
                      <a:cNvSpPr>
                        <a:spLocks noChangeShapeType="1"/>
                      </a:cNvSpPr>
                    </a:nvSpPr>
                    <a:spPr bwMode="auto">
                      <a:xfrm>
                        <a:off x="4025724" y="3243436"/>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41" name="Line 33"/>
                      <a:cNvSpPr>
                        <a:spLocks noChangeShapeType="1"/>
                      </a:cNvSpPr>
                    </a:nvSpPr>
                    <a:spPr bwMode="auto">
                      <a:xfrm>
                        <a:off x="4822280" y="3243436"/>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42" name="Line 32"/>
                      <a:cNvSpPr>
                        <a:spLocks noChangeShapeType="1"/>
                      </a:cNvSpPr>
                    </a:nvSpPr>
                    <a:spPr bwMode="auto">
                      <a:xfrm flipH="1" flipV="1">
                        <a:off x="6190432" y="2379340"/>
                        <a:ext cx="648072"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84" name="CaixaDeTexto 62"/>
                      <a:cNvSpPr txBox="1"/>
                    </a:nvSpPr>
                    <a:spPr>
                      <a:xfrm>
                        <a:off x="395536" y="2852936"/>
                        <a:ext cx="792088"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17,74%</a:t>
                          </a:r>
                          <a:endParaRPr lang="pt-BR" sz="1400" b="1" dirty="0">
                            <a:latin typeface="Arial" pitchFamily="34" charset="0"/>
                            <a:cs typeface="Arial" pitchFamily="34" charset="0"/>
                          </a:endParaRPr>
                        </a:p>
                      </a:txBody>
                      <a:useSpRect/>
                    </a:txSp>
                  </a:sp>
                </lc:lockedCanvas>
              </a:graphicData>
            </a:graphic>
          </wp:inline>
        </w:drawing>
      </w:r>
    </w:p>
    <w:p w:rsidR="002D7B9B" w:rsidRDefault="002D7B9B" w:rsidP="002D7B9B">
      <w:pPr>
        <w:spacing w:before="240" w:after="240"/>
        <w:rPr>
          <w:b/>
          <w:sz w:val="22"/>
          <w:szCs w:val="22"/>
        </w:rPr>
      </w:pPr>
      <w:r w:rsidRPr="007E7E1D">
        <w:rPr>
          <w:b/>
          <w:sz w:val="22"/>
          <w:szCs w:val="22"/>
        </w:rPr>
        <w:t>Dados Eco</w:t>
      </w:r>
      <w:r w:rsidR="00CE38C1" w:rsidRPr="007E7E1D">
        <w:rPr>
          <w:b/>
          <w:sz w:val="22"/>
          <w:szCs w:val="22"/>
        </w:rPr>
        <w:t>nômico-Financeiros</w:t>
      </w:r>
    </w:p>
    <w:tbl>
      <w:tblPr>
        <w:tblW w:w="5000"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5188"/>
        <w:gridCol w:w="1652"/>
        <w:gridCol w:w="1652"/>
        <w:gridCol w:w="1646"/>
      </w:tblGrid>
      <w:tr w:rsidR="000C7424" w:rsidRPr="007E7E1D" w:rsidTr="004446A0">
        <w:trPr>
          <w:trHeight w:val="170"/>
          <w:jc w:val="center"/>
        </w:trPr>
        <w:tc>
          <w:tcPr>
            <w:tcW w:w="2558"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C7424" w:rsidRPr="000C7424" w:rsidRDefault="000C7424" w:rsidP="00B54C44">
            <w:pPr>
              <w:autoSpaceDE w:val="0"/>
              <w:autoSpaceDN w:val="0"/>
              <w:adjustRightInd w:val="0"/>
              <w:spacing w:line="264" w:lineRule="auto"/>
              <w:jc w:val="center"/>
              <w:rPr>
                <w:rFonts w:eastAsia="Calibri"/>
                <w:b/>
                <w:bCs/>
                <w:color w:val="FFFFFF" w:themeColor="background1"/>
                <w:lang w:eastAsia="en-US" w:bidi="en-US"/>
              </w:rPr>
            </w:pPr>
            <w:r w:rsidRPr="000C7424">
              <w:rPr>
                <w:rFonts w:eastAsia="Calibri"/>
                <w:b/>
                <w:bCs/>
                <w:color w:val="FFFFFF" w:themeColor="background1"/>
                <w:lang w:eastAsia="en-US" w:bidi="en-US"/>
              </w:rPr>
              <w:t>(R$ Mil)</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C7424" w:rsidRPr="000C7424" w:rsidRDefault="000C7424" w:rsidP="00B54C44">
            <w:pPr>
              <w:autoSpaceDE w:val="0"/>
              <w:autoSpaceDN w:val="0"/>
              <w:adjustRightInd w:val="0"/>
              <w:spacing w:line="264" w:lineRule="auto"/>
              <w:jc w:val="center"/>
              <w:rPr>
                <w:rFonts w:eastAsia="Calibri"/>
                <w:b/>
                <w:bCs/>
                <w:color w:val="FFFFFF" w:themeColor="background1"/>
                <w:lang w:eastAsia="en-US" w:bidi="en-US"/>
              </w:rPr>
            </w:pPr>
            <w:r w:rsidRPr="000C7424">
              <w:rPr>
                <w:rFonts w:eastAsia="Calibri"/>
                <w:b/>
                <w:bCs/>
                <w:color w:val="FFFFFF" w:themeColor="background1"/>
                <w:lang w:eastAsia="en-US" w:bidi="en-US"/>
              </w:rPr>
              <w:t>2015</w:t>
            </w:r>
          </w:p>
          <w:p w:rsidR="000C7424" w:rsidRPr="00703F75" w:rsidRDefault="000C7424" w:rsidP="00B54C44">
            <w:pPr>
              <w:autoSpaceDE w:val="0"/>
              <w:autoSpaceDN w:val="0"/>
              <w:adjustRightInd w:val="0"/>
              <w:spacing w:line="264" w:lineRule="auto"/>
              <w:jc w:val="center"/>
              <w:rPr>
                <w:rFonts w:eastAsia="Calibri"/>
                <w:b/>
                <w:bCs/>
                <w:color w:val="FFFFFF" w:themeColor="background1"/>
                <w:sz w:val="16"/>
                <w:szCs w:val="16"/>
                <w:lang w:eastAsia="en-US" w:bidi="en-US"/>
              </w:rPr>
            </w:pPr>
            <w:r w:rsidRPr="00703F75">
              <w:rPr>
                <w:rFonts w:eastAsia="Calibri"/>
                <w:b/>
                <w:bCs/>
                <w:color w:val="FFFFFF" w:themeColor="background1"/>
                <w:sz w:val="16"/>
                <w:szCs w:val="16"/>
                <w:lang w:eastAsia="en-US" w:bidi="en-US"/>
              </w:rPr>
              <w:t>Reapresentado</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C7424" w:rsidRPr="000C7424" w:rsidRDefault="000C7424" w:rsidP="00B54C44">
            <w:pPr>
              <w:autoSpaceDE w:val="0"/>
              <w:autoSpaceDN w:val="0"/>
              <w:adjustRightInd w:val="0"/>
              <w:spacing w:line="264" w:lineRule="auto"/>
              <w:ind w:firstLine="14"/>
              <w:jc w:val="center"/>
              <w:rPr>
                <w:rFonts w:eastAsia="Calibri"/>
                <w:b/>
                <w:bCs/>
                <w:color w:val="FFFFFF" w:themeColor="background1"/>
                <w:lang w:eastAsia="en-US" w:bidi="en-US"/>
              </w:rPr>
            </w:pPr>
            <w:r w:rsidRPr="000C7424">
              <w:rPr>
                <w:rFonts w:eastAsia="Calibri"/>
                <w:b/>
                <w:bCs/>
                <w:color w:val="FFFFFF" w:themeColor="background1"/>
                <w:lang w:eastAsia="en-US" w:bidi="en-US"/>
              </w:rPr>
              <w:t>2016</w:t>
            </w:r>
          </w:p>
        </w:tc>
        <w:tc>
          <w:tcPr>
            <w:tcW w:w="812"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C7424" w:rsidRPr="000C7424" w:rsidRDefault="000C7424" w:rsidP="00B54C44">
            <w:pPr>
              <w:jc w:val="center"/>
              <w:rPr>
                <w:b/>
                <w:bCs/>
                <w:snapToGrid w:val="0"/>
                <w:color w:val="FFFFFF" w:themeColor="background1"/>
                <w:lang w:eastAsia="en-US" w:bidi="en-US"/>
              </w:rPr>
            </w:pPr>
            <w:r w:rsidRPr="000C7424">
              <w:rPr>
                <w:b/>
                <w:bCs/>
                <w:snapToGrid w:val="0"/>
                <w:color w:val="FFFFFF" w:themeColor="background1"/>
                <w:lang w:eastAsia="en-US" w:bidi="en-US"/>
              </w:rPr>
              <w:t>Δ (R$)</w:t>
            </w:r>
          </w:p>
        </w:tc>
      </w:tr>
      <w:tr w:rsidR="000C7424" w:rsidRPr="007E7E1D" w:rsidTr="00B54C44">
        <w:trPr>
          <w:trHeight w:val="170"/>
          <w:jc w:val="center"/>
        </w:trPr>
        <w:tc>
          <w:tcPr>
            <w:tcW w:w="2558"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0C7424">
            <w:pPr>
              <w:autoSpaceDE w:val="0"/>
              <w:autoSpaceDN w:val="0"/>
              <w:adjustRightInd w:val="0"/>
              <w:spacing w:line="264" w:lineRule="auto"/>
              <w:rPr>
                <w:rFonts w:eastAsia="Calibri"/>
                <w:b/>
                <w:bCs/>
                <w:lang w:eastAsia="en-US" w:bidi="en-US"/>
              </w:rPr>
            </w:pPr>
            <w:r w:rsidRPr="000C7424">
              <w:rPr>
                <w:rFonts w:eastAsia="Calibri"/>
                <w:b/>
                <w:bCs/>
                <w:lang w:eastAsia="en-US" w:bidi="en-US"/>
              </w:rPr>
              <w:t>Receita Operacional Bruta</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15.463</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17.239</w:t>
            </w:r>
          </w:p>
        </w:tc>
        <w:tc>
          <w:tcPr>
            <w:tcW w:w="81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1.776</w:t>
            </w:r>
          </w:p>
        </w:tc>
      </w:tr>
      <w:tr w:rsidR="000C7424" w:rsidRPr="007E7E1D" w:rsidTr="00B54C44">
        <w:trPr>
          <w:trHeight w:val="170"/>
          <w:jc w:val="center"/>
        </w:trPr>
        <w:tc>
          <w:tcPr>
            <w:tcW w:w="2558" w:type="pct"/>
            <w:tcBorders>
              <w:top w:val="single" w:sz="8" w:space="0" w:color="DDDDDD"/>
              <w:left w:val="single" w:sz="8" w:space="0" w:color="DDDDDD"/>
              <w:bottom w:val="single" w:sz="8" w:space="0" w:color="DDDDDD"/>
              <w:right w:val="single" w:sz="8" w:space="0" w:color="DDDDDD"/>
            </w:tcBorders>
            <w:shd w:val="clear" w:color="auto" w:fill="auto"/>
            <w:vAlign w:val="center"/>
          </w:tcPr>
          <w:p w:rsidR="000C7424" w:rsidRPr="000C7424" w:rsidRDefault="000C7424" w:rsidP="000C7424">
            <w:pPr>
              <w:autoSpaceDE w:val="0"/>
              <w:autoSpaceDN w:val="0"/>
              <w:adjustRightInd w:val="0"/>
              <w:spacing w:line="264" w:lineRule="auto"/>
              <w:rPr>
                <w:rFonts w:eastAsia="Calibri"/>
                <w:b/>
                <w:bCs/>
                <w:lang w:eastAsia="en-US" w:bidi="en-US"/>
              </w:rPr>
            </w:pPr>
            <w:r w:rsidRPr="000C7424">
              <w:rPr>
                <w:rFonts w:eastAsia="Calibri"/>
                <w:b/>
                <w:bCs/>
                <w:lang w:eastAsia="en-US" w:bidi="en-US"/>
              </w:rPr>
              <w:t>Receita Operacional Líquida</w:t>
            </w:r>
          </w:p>
        </w:tc>
        <w:tc>
          <w:tcPr>
            <w:tcW w:w="815" w:type="pct"/>
            <w:tcBorders>
              <w:top w:val="single" w:sz="8" w:space="0" w:color="DDDDDD"/>
              <w:left w:val="single" w:sz="8" w:space="0" w:color="DDDDDD"/>
              <w:bottom w:val="single" w:sz="8" w:space="0" w:color="DDDDDD"/>
              <w:right w:val="single" w:sz="8" w:space="0" w:color="DDDDDD"/>
            </w:tcBorders>
            <w:shd w:val="clear" w:color="auto" w:fill="auto"/>
            <w:vAlign w:val="center"/>
          </w:tcPr>
          <w:p w:rsidR="000C7424" w:rsidRPr="000C7424" w:rsidRDefault="000C7424" w:rsidP="00B54C44">
            <w:pPr>
              <w:jc w:val="center"/>
              <w:rPr>
                <w:b/>
                <w:color w:val="000000"/>
              </w:rPr>
            </w:pPr>
            <w:r w:rsidRPr="000C7424">
              <w:rPr>
                <w:b/>
                <w:color w:val="000000"/>
              </w:rPr>
              <w:t>14.717</w:t>
            </w:r>
          </w:p>
        </w:tc>
        <w:tc>
          <w:tcPr>
            <w:tcW w:w="815" w:type="pct"/>
            <w:tcBorders>
              <w:top w:val="single" w:sz="8" w:space="0" w:color="DDDDDD"/>
              <w:left w:val="single" w:sz="8" w:space="0" w:color="DDDDDD"/>
              <w:bottom w:val="single" w:sz="8" w:space="0" w:color="DDDDDD"/>
              <w:right w:val="single" w:sz="8" w:space="0" w:color="DDDDDD"/>
            </w:tcBorders>
            <w:vAlign w:val="center"/>
          </w:tcPr>
          <w:p w:rsidR="000C7424" w:rsidRPr="000C7424" w:rsidRDefault="000C7424" w:rsidP="00B54C44">
            <w:pPr>
              <w:jc w:val="center"/>
              <w:rPr>
                <w:b/>
                <w:color w:val="000000"/>
              </w:rPr>
            </w:pPr>
            <w:r w:rsidRPr="000C7424">
              <w:rPr>
                <w:b/>
                <w:color w:val="000000"/>
              </w:rPr>
              <w:t>16.407</w:t>
            </w:r>
          </w:p>
        </w:tc>
        <w:tc>
          <w:tcPr>
            <w:tcW w:w="812" w:type="pct"/>
            <w:tcBorders>
              <w:top w:val="single" w:sz="8" w:space="0" w:color="DDDDDD"/>
              <w:left w:val="single" w:sz="8" w:space="0" w:color="DDDDDD"/>
              <w:bottom w:val="single" w:sz="8" w:space="0" w:color="DDDDDD"/>
              <w:right w:val="single" w:sz="8" w:space="0" w:color="DDDDDD"/>
            </w:tcBorders>
            <w:vAlign w:val="center"/>
          </w:tcPr>
          <w:p w:rsidR="000C7424" w:rsidRPr="000C7424" w:rsidRDefault="000C7424" w:rsidP="00B54C44">
            <w:pPr>
              <w:jc w:val="center"/>
              <w:rPr>
                <w:b/>
                <w:color w:val="000000"/>
              </w:rPr>
            </w:pPr>
            <w:r w:rsidRPr="000C7424">
              <w:rPr>
                <w:b/>
                <w:color w:val="000000"/>
              </w:rPr>
              <w:t>1.690</w:t>
            </w:r>
          </w:p>
        </w:tc>
      </w:tr>
      <w:tr w:rsidR="000C7424" w:rsidRPr="007E7E1D" w:rsidTr="00B54C44">
        <w:trPr>
          <w:trHeight w:val="170"/>
          <w:jc w:val="center"/>
        </w:trPr>
        <w:tc>
          <w:tcPr>
            <w:tcW w:w="2558"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0C7424">
            <w:pPr>
              <w:autoSpaceDE w:val="0"/>
              <w:autoSpaceDN w:val="0"/>
              <w:adjustRightInd w:val="0"/>
              <w:spacing w:line="264" w:lineRule="auto"/>
              <w:rPr>
                <w:rFonts w:eastAsia="Calibri"/>
                <w:b/>
                <w:bCs/>
                <w:lang w:eastAsia="en-US" w:bidi="en-US"/>
              </w:rPr>
            </w:pPr>
            <w:r w:rsidRPr="000C7424">
              <w:rPr>
                <w:rFonts w:eastAsia="Calibri"/>
                <w:b/>
                <w:bCs/>
                <w:lang w:eastAsia="en-US" w:bidi="en-US"/>
              </w:rPr>
              <w:t>Resultado Operacional Líquido Antes dos Tributos</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3.966</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11.306</w:t>
            </w:r>
          </w:p>
        </w:tc>
        <w:tc>
          <w:tcPr>
            <w:tcW w:w="81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7.340</w:t>
            </w:r>
          </w:p>
        </w:tc>
      </w:tr>
      <w:tr w:rsidR="000C7424" w:rsidRPr="007E7E1D" w:rsidTr="00B54C44">
        <w:trPr>
          <w:trHeight w:val="170"/>
          <w:jc w:val="center"/>
        </w:trPr>
        <w:tc>
          <w:tcPr>
            <w:tcW w:w="2558" w:type="pct"/>
            <w:tcBorders>
              <w:top w:val="single" w:sz="8" w:space="0" w:color="DDDDDD"/>
              <w:left w:val="single" w:sz="8" w:space="0" w:color="DDDDDD"/>
              <w:bottom w:val="single" w:sz="8" w:space="0" w:color="DDDDDD"/>
              <w:right w:val="single" w:sz="8" w:space="0" w:color="DDDDDD"/>
            </w:tcBorders>
            <w:shd w:val="clear" w:color="auto" w:fill="auto"/>
            <w:vAlign w:val="center"/>
          </w:tcPr>
          <w:p w:rsidR="000C7424" w:rsidRPr="000C7424" w:rsidRDefault="000C7424" w:rsidP="000C7424">
            <w:pPr>
              <w:autoSpaceDE w:val="0"/>
              <w:autoSpaceDN w:val="0"/>
              <w:adjustRightInd w:val="0"/>
              <w:spacing w:line="264" w:lineRule="auto"/>
              <w:rPr>
                <w:rFonts w:eastAsia="Calibri"/>
                <w:b/>
                <w:bCs/>
                <w:lang w:eastAsia="en-US" w:bidi="en-US"/>
              </w:rPr>
            </w:pPr>
            <w:r w:rsidRPr="000C7424">
              <w:rPr>
                <w:rFonts w:eastAsia="Calibri"/>
                <w:b/>
                <w:bCs/>
                <w:lang w:eastAsia="en-US" w:bidi="en-US"/>
              </w:rPr>
              <w:t>EBITDA</w:t>
            </w:r>
            <w:r>
              <w:rPr>
                <w:rFonts w:eastAsia="Calibri"/>
                <w:b/>
                <w:bCs/>
                <w:lang w:eastAsia="en-US" w:bidi="en-US"/>
              </w:rPr>
              <w:t xml:space="preserve"> (LAJIDA)</w:t>
            </w:r>
          </w:p>
        </w:tc>
        <w:tc>
          <w:tcPr>
            <w:tcW w:w="815" w:type="pct"/>
            <w:tcBorders>
              <w:top w:val="single" w:sz="8" w:space="0" w:color="DDDDDD"/>
              <w:left w:val="single" w:sz="8" w:space="0" w:color="DDDDDD"/>
              <w:bottom w:val="single" w:sz="8" w:space="0" w:color="DDDDDD"/>
              <w:right w:val="single" w:sz="8" w:space="0" w:color="DDDDDD"/>
            </w:tcBorders>
            <w:shd w:val="clear" w:color="auto" w:fill="auto"/>
            <w:vAlign w:val="center"/>
          </w:tcPr>
          <w:p w:rsidR="000C7424" w:rsidRPr="000C7424" w:rsidRDefault="000C7424" w:rsidP="00B54C44">
            <w:pPr>
              <w:jc w:val="center"/>
              <w:rPr>
                <w:b/>
                <w:color w:val="000000"/>
              </w:rPr>
            </w:pPr>
            <w:r w:rsidRPr="000C7424">
              <w:rPr>
                <w:b/>
                <w:color w:val="000000"/>
              </w:rPr>
              <w:t>2.896</w:t>
            </w:r>
          </w:p>
        </w:tc>
        <w:tc>
          <w:tcPr>
            <w:tcW w:w="815" w:type="pct"/>
            <w:tcBorders>
              <w:top w:val="single" w:sz="8" w:space="0" w:color="DDDDDD"/>
              <w:left w:val="single" w:sz="8" w:space="0" w:color="DDDDDD"/>
              <w:bottom w:val="single" w:sz="8" w:space="0" w:color="DDDDDD"/>
              <w:right w:val="single" w:sz="8" w:space="0" w:color="DDDDDD"/>
            </w:tcBorders>
            <w:vAlign w:val="center"/>
          </w:tcPr>
          <w:p w:rsidR="000C7424" w:rsidRPr="000C7424" w:rsidRDefault="000C7424" w:rsidP="00B54C44">
            <w:pPr>
              <w:jc w:val="center"/>
              <w:rPr>
                <w:b/>
                <w:color w:val="000000"/>
              </w:rPr>
            </w:pPr>
            <w:r w:rsidRPr="000C7424">
              <w:rPr>
                <w:b/>
                <w:color w:val="000000"/>
              </w:rPr>
              <w:t>10.415</w:t>
            </w:r>
          </w:p>
        </w:tc>
        <w:tc>
          <w:tcPr>
            <w:tcW w:w="812" w:type="pct"/>
            <w:tcBorders>
              <w:top w:val="single" w:sz="8" w:space="0" w:color="DDDDDD"/>
              <w:left w:val="single" w:sz="8" w:space="0" w:color="DDDDDD"/>
              <w:bottom w:val="single" w:sz="8" w:space="0" w:color="DDDDDD"/>
              <w:right w:val="single" w:sz="8" w:space="0" w:color="DDDDDD"/>
            </w:tcBorders>
            <w:vAlign w:val="center"/>
          </w:tcPr>
          <w:p w:rsidR="000C7424" w:rsidRPr="000C7424" w:rsidRDefault="000C7424" w:rsidP="00B54C44">
            <w:pPr>
              <w:jc w:val="center"/>
              <w:rPr>
                <w:b/>
                <w:color w:val="000000"/>
              </w:rPr>
            </w:pPr>
            <w:r w:rsidRPr="000C7424">
              <w:rPr>
                <w:b/>
                <w:color w:val="000000"/>
              </w:rPr>
              <w:t>7.519</w:t>
            </w:r>
          </w:p>
        </w:tc>
      </w:tr>
      <w:tr w:rsidR="000C7424" w:rsidRPr="007E7E1D" w:rsidTr="00B54C44">
        <w:trPr>
          <w:trHeight w:val="170"/>
          <w:jc w:val="center"/>
        </w:trPr>
        <w:tc>
          <w:tcPr>
            <w:tcW w:w="2558"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0C7424">
            <w:pPr>
              <w:autoSpaceDE w:val="0"/>
              <w:autoSpaceDN w:val="0"/>
              <w:adjustRightInd w:val="0"/>
              <w:spacing w:line="264" w:lineRule="auto"/>
              <w:rPr>
                <w:rFonts w:eastAsia="Calibri"/>
                <w:b/>
                <w:bCs/>
                <w:lang w:eastAsia="en-US" w:bidi="en-US"/>
              </w:rPr>
            </w:pPr>
            <w:r w:rsidRPr="000C7424">
              <w:rPr>
                <w:rFonts w:eastAsia="Calibri"/>
                <w:b/>
                <w:bCs/>
                <w:lang w:eastAsia="en-US" w:bidi="en-US"/>
              </w:rPr>
              <w:t>Lucro Líquido (Prejuízo)</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2.748</w:t>
            </w:r>
          </w:p>
        </w:tc>
        <w:tc>
          <w:tcPr>
            <w:tcW w:w="815"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10.187</w:t>
            </w:r>
          </w:p>
        </w:tc>
        <w:tc>
          <w:tcPr>
            <w:tcW w:w="81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C7424" w:rsidRPr="000C7424" w:rsidRDefault="000C7424" w:rsidP="00B54C44">
            <w:pPr>
              <w:jc w:val="center"/>
              <w:rPr>
                <w:b/>
                <w:color w:val="000000"/>
              </w:rPr>
            </w:pPr>
            <w:r w:rsidRPr="000C7424">
              <w:rPr>
                <w:b/>
                <w:color w:val="000000"/>
              </w:rPr>
              <w:t>7.439</w:t>
            </w:r>
          </w:p>
        </w:tc>
      </w:tr>
      <w:tr w:rsidR="000C7424" w:rsidRPr="007E7E1D" w:rsidTr="00B54C44">
        <w:trPr>
          <w:trHeight w:val="170"/>
          <w:jc w:val="center"/>
        </w:trPr>
        <w:tc>
          <w:tcPr>
            <w:tcW w:w="2558" w:type="pct"/>
            <w:tcBorders>
              <w:top w:val="single" w:sz="8" w:space="0" w:color="DDDDDD"/>
              <w:left w:val="single" w:sz="8" w:space="0" w:color="DDDDDD"/>
              <w:bottom w:val="single" w:sz="8" w:space="0" w:color="DDDDDD"/>
              <w:right w:val="single" w:sz="8" w:space="0" w:color="DDDDDD"/>
            </w:tcBorders>
            <w:shd w:val="clear" w:color="auto" w:fill="auto"/>
            <w:vAlign w:val="center"/>
          </w:tcPr>
          <w:p w:rsidR="000C7424" w:rsidRPr="000C7424" w:rsidRDefault="000C7424" w:rsidP="000C7424">
            <w:pPr>
              <w:autoSpaceDE w:val="0"/>
              <w:autoSpaceDN w:val="0"/>
              <w:adjustRightInd w:val="0"/>
              <w:spacing w:line="264" w:lineRule="auto"/>
              <w:rPr>
                <w:rFonts w:eastAsia="Calibri"/>
                <w:b/>
                <w:bCs/>
                <w:lang w:eastAsia="en-US" w:bidi="en-US"/>
              </w:rPr>
            </w:pPr>
            <w:r w:rsidRPr="000C7424">
              <w:rPr>
                <w:rFonts w:eastAsia="Calibri"/>
                <w:b/>
                <w:bCs/>
                <w:lang w:eastAsia="en-US" w:bidi="en-US"/>
              </w:rPr>
              <w:t>Patrimônio Líquido</w:t>
            </w:r>
          </w:p>
        </w:tc>
        <w:tc>
          <w:tcPr>
            <w:tcW w:w="815" w:type="pct"/>
            <w:tcBorders>
              <w:top w:val="single" w:sz="8" w:space="0" w:color="DDDDDD"/>
              <w:left w:val="single" w:sz="8" w:space="0" w:color="DDDDDD"/>
              <w:bottom w:val="single" w:sz="8" w:space="0" w:color="DDDDDD"/>
              <w:right w:val="single" w:sz="8" w:space="0" w:color="DDDDDD"/>
            </w:tcBorders>
            <w:shd w:val="clear" w:color="auto" w:fill="auto"/>
            <w:vAlign w:val="center"/>
          </w:tcPr>
          <w:p w:rsidR="000C7424" w:rsidRPr="000C7424" w:rsidRDefault="000C7424" w:rsidP="00B54C44">
            <w:pPr>
              <w:jc w:val="center"/>
              <w:rPr>
                <w:b/>
                <w:color w:val="000000"/>
              </w:rPr>
            </w:pPr>
            <w:r w:rsidRPr="000C7424">
              <w:rPr>
                <w:b/>
                <w:color w:val="000000"/>
              </w:rPr>
              <w:t>45.782</w:t>
            </w:r>
          </w:p>
        </w:tc>
        <w:tc>
          <w:tcPr>
            <w:tcW w:w="815" w:type="pct"/>
            <w:tcBorders>
              <w:top w:val="single" w:sz="8" w:space="0" w:color="DDDDDD"/>
              <w:left w:val="single" w:sz="8" w:space="0" w:color="DDDDDD"/>
              <w:bottom w:val="single" w:sz="8" w:space="0" w:color="DDDDDD"/>
              <w:right w:val="single" w:sz="8" w:space="0" w:color="DDDDDD"/>
            </w:tcBorders>
            <w:vAlign w:val="center"/>
          </w:tcPr>
          <w:p w:rsidR="000C7424" w:rsidRPr="000C7424" w:rsidRDefault="000C7424" w:rsidP="00B54C44">
            <w:pPr>
              <w:jc w:val="center"/>
              <w:rPr>
                <w:b/>
                <w:color w:val="000000"/>
              </w:rPr>
            </w:pPr>
            <w:r w:rsidRPr="000C7424">
              <w:rPr>
                <w:b/>
                <w:color w:val="000000"/>
              </w:rPr>
              <w:t>39.457</w:t>
            </w:r>
          </w:p>
        </w:tc>
        <w:tc>
          <w:tcPr>
            <w:tcW w:w="812" w:type="pct"/>
            <w:tcBorders>
              <w:top w:val="single" w:sz="8" w:space="0" w:color="DDDDDD"/>
              <w:left w:val="single" w:sz="8" w:space="0" w:color="DDDDDD"/>
              <w:bottom w:val="single" w:sz="8" w:space="0" w:color="DDDDDD"/>
              <w:right w:val="single" w:sz="8" w:space="0" w:color="DDDDDD"/>
            </w:tcBorders>
            <w:vAlign w:val="center"/>
          </w:tcPr>
          <w:p w:rsidR="000C7424" w:rsidRPr="000C7424" w:rsidRDefault="000C7424" w:rsidP="00B54C44">
            <w:pPr>
              <w:jc w:val="center"/>
              <w:rPr>
                <w:b/>
                <w:color w:val="000000"/>
              </w:rPr>
            </w:pPr>
            <w:r w:rsidRPr="000C7424">
              <w:rPr>
                <w:b/>
                <w:color w:val="000000"/>
              </w:rPr>
              <w:t>(6.325)</w:t>
            </w:r>
          </w:p>
        </w:tc>
      </w:tr>
    </w:tbl>
    <w:p w:rsidR="000C7424" w:rsidRPr="007E7E1D" w:rsidRDefault="000C7424" w:rsidP="000C7424">
      <w:pPr>
        <w:spacing w:before="40" w:after="240"/>
        <w:rPr>
          <w:rFonts w:eastAsia="Calibri"/>
          <w:b/>
          <w:bCs/>
          <w:sz w:val="16"/>
          <w:szCs w:val="16"/>
        </w:rPr>
      </w:pPr>
      <w:r w:rsidRPr="007E7E1D">
        <w:rPr>
          <w:rFonts w:eastAsia="Calibri"/>
          <w:b/>
          <w:bCs/>
          <w:sz w:val="16"/>
          <w:szCs w:val="16"/>
        </w:rPr>
        <w:t>Fonte: Demonstrações Contábeis da CEB Participações S.A.</w:t>
      </w:r>
    </w:p>
    <w:p w:rsidR="001E2850" w:rsidRPr="007E7E1D" w:rsidRDefault="001E2850" w:rsidP="001E2850">
      <w:pPr>
        <w:spacing w:before="240" w:after="240"/>
        <w:jc w:val="both"/>
        <w:rPr>
          <w:sz w:val="22"/>
          <w:szCs w:val="22"/>
        </w:rPr>
      </w:pPr>
      <w:r w:rsidRPr="007E7E1D">
        <w:rPr>
          <w:sz w:val="22"/>
          <w:szCs w:val="22"/>
        </w:rPr>
        <w:t>A receita da CEB Participações S.A. é proveniente, em sua maior parte, da comercialização de energia gerada pela Usina Hidrelétrica Queimado, complemen</w:t>
      </w:r>
      <w:r>
        <w:rPr>
          <w:sz w:val="22"/>
          <w:szCs w:val="22"/>
        </w:rPr>
        <w:t>tada por aplicações financeiras,</w:t>
      </w:r>
      <w:r w:rsidRPr="007E7E1D">
        <w:rPr>
          <w:sz w:val="22"/>
          <w:szCs w:val="22"/>
        </w:rPr>
        <w:t xml:space="preserve"> pelos recursos oriundos do contrato de prestação de serviços administrativo-financeiros prestados para o Consórcio Cemig-CEB, e pelo recebimento de resultados da participação acionária na empresa Corumbá Concessões S.A..</w:t>
      </w:r>
    </w:p>
    <w:p w:rsidR="001E2850" w:rsidRPr="00E87BD5" w:rsidRDefault="001E2850" w:rsidP="001E2850">
      <w:pPr>
        <w:spacing w:before="240" w:after="240"/>
        <w:jc w:val="both"/>
        <w:rPr>
          <w:sz w:val="22"/>
          <w:szCs w:val="22"/>
        </w:rPr>
      </w:pPr>
      <w:r w:rsidRPr="00E87BD5">
        <w:rPr>
          <w:sz w:val="22"/>
          <w:szCs w:val="22"/>
        </w:rPr>
        <w:t xml:space="preserve">Em busca da redução do impacto negativo advindo do risco hidrológico, a Empresa aderiu à proposta do Poder Concedente, que nos termos da Lei nº 13.203/2015 permitiu o repasse de parcela deste risco ao consumidor. De acordo com o </w:t>
      </w:r>
      <w:r w:rsidR="00342B50">
        <w:rPr>
          <w:sz w:val="22"/>
          <w:szCs w:val="22"/>
        </w:rPr>
        <w:t>D</w:t>
      </w:r>
      <w:r w:rsidRPr="00E87BD5">
        <w:rPr>
          <w:sz w:val="22"/>
          <w:szCs w:val="22"/>
        </w:rPr>
        <w:t>espacho nº 330, publicado em 10 de fevereiro de 2016, a ANEEL anuiu com a repactuação do risco hidrológico da CEB Participações S.A., referente ao empreendimento UHE Queimado, repassando 91% do risco para os consumidores, como estabelecido no Termo de Repactuação nº 101/</w:t>
      </w:r>
      <w:proofErr w:type="gramStart"/>
      <w:r w:rsidRPr="00E87BD5">
        <w:rPr>
          <w:sz w:val="22"/>
          <w:szCs w:val="22"/>
        </w:rPr>
        <w:t>2016.,</w:t>
      </w:r>
      <w:proofErr w:type="gramEnd"/>
      <w:r w:rsidRPr="00E87BD5">
        <w:rPr>
          <w:sz w:val="22"/>
          <w:szCs w:val="22"/>
        </w:rPr>
        <w:t xml:space="preserve"> garantindo proteção para eventuais déficits financeiros futuros de geração. </w:t>
      </w:r>
    </w:p>
    <w:p w:rsidR="001E2850" w:rsidRPr="0042367F" w:rsidRDefault="001E2850" w:rsidP="001E2850">
      <w:pPr>
        <w:spacing w:before="240" w:after="240"/>
        <w:jc w:val="both"/>
        <w:rPr>
          <w:sz w:val="22"/>
          <w:szCs w:val="22"/>
        </w:rPr>
      </w:pPr>
      <w:r>
        <w:rPr>
          <w:bCs/>
          <w:sz w:val="22"/>
          <w:szCs w:val="22"/>
        </w:rPr>
        <w:t>Dessa forma, o</w:t>
      </w:r>
      <w:r w:rsidRPr="0042367F">
        <w:rPr>
          <w:bCs/>
          <w:sz w:val="22"/>
          <w:szCs w:val="22"/>
        </w:rPr>
        <w:t xml:space="preserve"> pacto firmado proporcionou o ressarcimento d</w:t>
      </w:r>
      <w:r w:rsidRPr="0042367F">
        <w:rPr>
          <w:sz w:val="22"/>
          <w:szCs w:val="22"/>
        </w:rPr>
        <w:t>e R$ 1.227 mil referentes a créditos de 2015 para o pagamento de seguro do risco hidrológico até o final da concessão; e crédito de R$ 564 mil, em 2016, que viabilizaram</w:t>
      </w:r>
      <w:r w:rsidRPr="0042367F">
        <w:rPr>
          <w:bCs/>
          <w:sz w:val="22"/>
          <w:szCs w:val="22"/>
        </w:rPr>
        <w:t xml:space="preserve"> o reequilíbrio das operações de energia no Mercado de Curto Prazo – MCP da CEB Participações S.A.. </w:t>
      </w:r>
      <w:r w:rsidRPr="0042367F">
        <w:rPr>
          <w:sz w:val="22"/>
          <w:szCs w:val="22"/>
        </w:rPr>
        <w:t>Assim, o custo contábil das aquisições relacionadas com energia em 2016 sofreu redução de 85,48%, saindo de R$ 7.094 mil para R$ 1.030 mil.</w:t>
      </w:r>
    </w:p>
    <w:p w:rsidR="001E2850" w:rsidRPr="0042367F" w:rsidRDefault="001E2850" w:rsidP="001E2850">
      <w:pPr>
        <w:spacing w:before="240" w:after="240"/>
        <w:jc w:val="both"/>
        <w:rPr>
          <w:sz w:val="22"/>
          <w:szCs w:val="22"/>
        </w:rPr>
      </w:pPr>
      <w:r>
        <w:rPr>
          <w:sz w:val="22"/>
          <w:szCs w:val="22"/>
        </w:rPr>
        <w:t>Por outro lado, a</w:t>
      </w:r>
      <w:r w:rsidRPr="0042367F">
        <w:rPr>
          <w:sz w:val="22"/>
          <w:szCs w:val="22"/>
        </w:rPr>
        <w:t xml:space="preserve"> comercialização de energia caracterizou-se pela continuidade dos contratos de venda de energia gerada pela UHE Queimado, e representou a principal fonte de receita da Empresa, com aumento de 11% em relação à 2015. Somada às receitas de rendimentos de aplicações financeiras, serviços administrativos prestados ao Consórcio Cemig-CEB, dentre outros, a receita bruta total foi de R$ 18.971 mil.</w:t>
      </w:r>
    </w:p>
    <w:p w:rsidR="001E2850" w:rsidRPr="0042367F" w:rsidRDefault="001E2850" w:rsidP="001E2850">
      <w:pPr>
        <w:spacing w:before="240" w:after="240"/>
        <w:jc w:val="both"/>
        <w:rPr>
          <w:sz w:val="22"/>
          <w:szCs w:val="22"/>
        </w:rPr>
      </w:pPr>
      <w:r w:rsidRPr="0042367F">
        <w:rPr>
          <w:sz w:val="22"/>
          <w:szCs w:val="22"/>
        </w:rPr>
        <w:t xml:space="preserve">No que diz respeito às operações com partes relacionadas, a CEB Participações S.A. celebrou Contrato de Cessão Creditória de Direito de Mútuo com seu acionista único Companhia Energética de Brasília – CEB, no valor de R$ 10.000 mil, utilizando recursos originados do Contrato de Mútuo que foi celebrado com a CEB </w:t>
      </w:r>
      <w:r w:rsidRPr="0042367F">
        <w:rPr>
          <w:sz w:val="22"/>
          <w:szCs w:val="22"/>
        </w:rPr>
        <w:lastRenderedPageBreak/>
        <w:t xml:space="preserve">Distribuição S.A., em 2015. Em contrapartida, o capital social foi reduzido de R$ 41.270 mil para R$ 31.270 mil. </w:t>
      </w:r>
    </w:p>
    <w:p w:rsidR="001E2850" w:rsidRPr="00416893" w:rsidRDefault="001E2850" w:rsidP="001E2850">
      <w:pPr>
        <w:spacing w:before="240" w:after="240"/>
        <w:jc w:val="both"/>
        <w:rPr>
          <w:sz w:val="22"/>
          <w:szCs w:val="22"/>
        </w:rPr>
      </w:pPr>
      <w:r w:rsidRPr="00416893">
        <w:rPr>
          <w:sz w:val="22"/>
          <w:szCs w:val="22"/>
        </w:rPr>
        <w:t>Seguindo as diretrizes do Grupo CEB, foi celebrado ainda Contrato de Mútuo com a Corumbá Concessões S.A., no valor de R$ 192 mil, que serão restituídos em 60 parcelas corrigidas pelo IGP-M/FGV, acrescidas de juros de 1% ao mês e tributos incidentes, desde a data do desembolso até a data do efetivo pagamento, que se dará após o vencimento do período de carência do contrato, respeitando a comutatividade do montante mutuado, conforme determina o Órgão Regulador.</w:t>
      </w:r>
    </w:p>
    <w:p w:rsidR="001E2850" w:rsidRPr="00416893" w:rsidRDefault="001E2850" w:rsidP="001E2850">
      <w:pPr>
        <w:spacing w:before="240" w:after="240"/>
        <w:jc w:val="both"/>
        <w:rPr>
          <w:sz w:val="22"/>
          <w:szCs w:val="22"/>
        </w:rPr>
      </w:pPr>
      <w:r w:rsidRPr="00416893">
        <w:rPr>
          <w:sz w:val="22"/>
          <w:szCs w:val="22"/>
        </w:rPr>
        <w:t>Com relação às despesas realizadas, estas, em geral,  incluíram os custos administrativos e usuais com encargos setoriais, tais como, pessoal, material, serviços de terceiros; Compensação Financeira Por Uso de Recursos Hídricos; Compensação Financeira Por Uso do Bem Público – UBP; Custo do Uso do Sistema de Distribuição – CUSD; gastos de liquidações no mercado de curto prazo de energia elétrica; taxas destinadas à Agência Nacional de Energia Elétrica – ANEEL, à Câmara de Comercialização de Energia Elétrica – CCEE e ao Operador Nacional do Sistema – ONS.</w:t>
      </w:r>
    </w:p>
    <w:p w:rsidR="001E2850" w:rsidRPr="00416893" w:rsidRDefault="001E2850" w:rsidP="001E2850">
      <w:pPr>
        <w:spacing w:before="240" w:after="240"/>
        <w:jc w:val="both"/>
        <w:rPr>
          <w:sz w:val="22"/>
          <w:szCs w:val="22"/>
        </w:rPr>
      </w:pPr>
      <w:r>
        <w:rPr>
          <w:sz w:val="22"/>
          <w:szCs w:val="22"/>
        </w:rPr>
        <w:t>Finalmente, registre-se que e</w:t>
      </w:r>
      <w:r w:rsidRPr="00416893">
        <w:rPr>
          <w:sz w:val="22"/>
          <w:szCs w:val="22"/>
        </w:rPr>
        <w:t xml:space="preserve">m 2016 </w:t>
      </w:r>
      <w:r>
        <w:rPr>
          <w:sz w:val="22"/>
          <w:szCs w:val="22"/>
        </w:rPr>
        <w:t>foram alcançados resultados econômico-financeiros favoráveis e destaque-se que a</w:t>
      </w:r>
      <w:r w:rsidRPr="00416893">
        <w:rPr>
          <w:sz w:val="22"/>
          <w:szCs w:val="22"/>
        </w:rPr>
        <w:t xml:space="preserve"> Administração manteve sua gestão focada no controle r</w:t>
      </w:r>
      <w:r w:rsidR="00FF318F">
        <w:rPr>
          <w:sz w:val="22"/>
          <w:szCs w:val="22"/>
        </w:rPr>
        <w:t>igoroso</w:t>
      </w:r>
      <w:r w:rsidRPr="00416893">
        <w:rPr>
          <w:sz w:val="22"/>
          <w:szCs w:val="22"/>
        </w:rPr>
        <w:t xml:space="preserve"> dos custos e despesas operacionais, priorizando investimentos relevantes ao bom andamento do negócio.</w:t>
      </w:r>
    </w:p>
    <w:p w:rsidR="002D7B9B" w:rsidRDefault="002D7B9B" w:rsidP="00EA7B2C">
      <w:pPr>
        <w:rPr>
          <w:b/>
          <w:sz w:val="22"/>
          <w:szCs w:val="22"/>
        </w:rPr>
      </w:pPr>
      <w:r w:rsidRPr="007E7E1D">
        <w:rPr>
          <w:b/>
          <w:sz w:val="22"/>
          <w:szCs w:val="22"/>
        </w:rPr>
        <w:t>Companhia Brasiliense de Gás S.A.</w:t>
      </w:r>
    </w:p>
    <w:p w:rsidR="006B3851" w:rsidRPr="006B3851" w:rsidRDefault="006B3851" w:rsidP="006B3851">
      <w:pPr>
        <w:spacing w:before="240" w:after="240"/>
        <w:jc w:val="both"/>
        <w:rPr>
          <w:sz w:val="22"/>
          <w:szCs w:val="22"/>
        </w:rPr>
      </w:pPr>
      <w:r w:rsidRPr="006B3851">
        <w:rPr>
          <w:sz w:val="22"/>
          <w:szCs w:val="22"/>
        </w:rPr>
        <w:t xml:space="preserve">A Companhia Brasiliense de Gás </w:t>
      </w:r>
      <w:r>
        <w:rPr>
          <w:sz w:val="22"/>
          <w:szCs w:val="22"/>
        </w:rPr>
        <w:t xml:space="preserve">S.A. </w:t>
      </w:r>
      <w:r w:rsidRPr="006B3851">
        <w:rPr>
          <w:sz w:val="22"/>
          <w:szCs w:val="22"/>
        </w:rPr>
        <w:t>é uma sociedade de economia mista, constituída em 20 de março de 2001, com autorização da Lei Distrital n</w:t>
      </w:r>
      <w:r w:rsidR="00783E2E">
        <w:rPr>
          <w:sz w:val="22"/>
          <w:szCs w:val="22"/>
        </w:rPr>
        <w:t>º</w:t>
      </w:r>
      <w:r w:rsidRPr="006B3851">
        <w:rPr>
          <w:sz w:val="22"/>
          <w:szCs w:val="22"/>
        </w:rPr>
        <w:t xml:space="preserve"> 2.518, de 10 de janeiro de 2000.</w:t>
      </w:r>
    </w:p>
    <w:p w:rsidR="006B3851" w:rsidRPr="006B3851" w:rsidRDefault="006B3851" w:rsidP="006B3851">
      <w:pPr>
        <w:spacing w:before="240" w:after="240"/>
        <w:jc w:val="both"/>
        <w:rPr>
          <w:sz w:val="22"/>
          <w:szCs w:val="22"/>
        </w:rPr>
      </w:pPr>
      <w:r w:rsidRPr="006B3851">
        <w:rPr>
          <w:sz w:val="22"/>
          <w:szCs w:val="22"/>
        </w:rPr>
        <w:t>Tem por objeto social a exploração, com exclusividade, do serviço de distribuição e comercialização de gás natural canalizado, de produção própria ou de terceiros. Poderá, inclusive, importar o suprimento para distribuição nos segmentos comercial, industrial, residencial, automotivo, de geração termelétrica, ou quaisquer outras finalidades e usos possibilitados pelos avanços tecnológicos, em todo território do Distrito Federal.</w:t>
      </w:r>
    </w:p>
    <w:p w:rsidR="006B3851" w:rsidRPr="006B3851" w:rsidRDefault="006B3851" w:rsidP="006B3851">
      <w:pPr>
        <w:spacing w:before="240" w:after="240"/>
        <w:jc w:val="both"/>
        <w:rPr>
          <w:sz w:val="22"/>
          <w:szCs w:val="22"/>
        </w:rPr>
      </w:pPr>
      <w:r w:rsidRPr="006B3851">
        <w:rPr>
          <w:sz w:val="22"/>
          <w:szCs w:val="22"/>
        </w:rPr>
        <w:t>A Companhia poderá ainda:</w:t>
      </w:r>
    </w:p>
    <w:p w:rsidR="006B3851" w:rsidRPr="003C12E7" w:rsidRDefault="006B3851" w:rsidP="00FA2F3A">
      <w:pPr>
        <w:pStyle w:val="PargrafodaLista"/>
        <w:numPr>
          <w:ilvl w:val="0"/>
          <w:numId w:val="12"/>
        </w:numPr>
        <w:spacing w:before="240" w:after="240"/>
        <w:jc w:val="both"/>
        <w:rPr>
          <w:rFonts w:ascii="Times New Roman" w:hAnsi="Times New Roman" w:cs="Times New Roman"/>
          <w:lang w:val="pt-BR"/>
        </w:rPr>
      </w:pPr>
      <w:r w:rsidRPr="003C12E7">
        <w:rPr>
          <w:rFonts w:ascii="Times New Roman" w:hAnsi="Times New Roman" w:cs="Times New Roman"/>
          <w:lang w:val="pt-BR"/>
        </w:rPr>
        <w:t>Efetuar a implantação e a operação das redes de distribuição de gás canalizado, podendo ainda adquirir e importar diretamente gás natural e executar os serviços de transporte;</w:t>
      </w:r>
    </w:p>
    <w:p w:rsidR="006B3851" w:rsidRPr="003C12E7" w:rsidRDefault="006B3851" w:rsidP="00FA2F3A">
      <w:pPr>
        <w:pStyle w:val="PargrafodaLista"/>
        <w:numPr>
          <w:ilvl w:val="0"/>
          <w:numId w:val="12"/>
        </w:numPr>
        <w:spacing w:before="240" w:after="240"/>
        <w:jc w:val="both"/>
        <w:rPr>
          <w:rFonts w:ascii="Times New Roman" w:hAnsi="Times New Roman" w:cs="Times New Roman"/>
          <w:lang w:val="pt-BR"/>
        </w:rPr>
      </w:pPr>
      <w:r w:rsidRPr="003C12E7">
        <w:rPr>
          <w:rFonts w:ascii="Times New Roman" w:hAnsi="Times New Roman" w:cs="Times New Roman"/>
          <w:lang w:val="pt-BR"/>
        </w:rPr>
        <w:t xml:space="preserve">Exercer atividades correlatas à sua finalidade principal, especialmente execução de estudos, pesquisas e projetos relacionados com o setor de gás, inclusive, sob a forma de prestação de serviços de consultoria técnica a terceiros; e </w:t>
      </w:r>
    </w:p>
    <w:p w:rsidR="006B3851" w:rsidRPr="003C12E7" w:rsidRDefault="006B3851" w:rsidP="00FA2F3A">
      <w:pPr>
        <w:pStyle w:val="PargrafodaLista"/>
        <w:numPr>
          <w:ilvl w:val="0"/>
          <w:numId w:val="12"/>
        </w:numPr>
        <w:spacing w:before="240" w:after="240"/>
        <w:jc w:val="both"/>
        <w:rPr>
          <w:rFonts w:ascii="Times New Roman" w:hAnsi="Times New Roman" w:cs="Times New Roman"/>
          <w:lang w:val="pt-BR"/>
        </w:rPr>
      </w:pPr>
      <w:r w:rsidRPr="003C12E7">
        <w:rPr>
          <w:rFonts w:ascii="Times New Roman" w:hAnsi="Times New Roman" w:cs="Times New Roman"/>
          <w:lang w:val="pt-BR"/>
        </w:rPr>
        <w:t>Constituir ou participar de outras sociedades, inclusive subsidiárias integrais, visando o êxito na realização de suas atividades.</w:t>
      </w:r>
    </w:p>
    <w:p w:rsidR="006B3851" w:rsidRPr="006B3851" w:rsidRDefault="006B3851" w:rsidP="006B3851">
      <w:pPr>
        <w:spacing w:before="240" w:after="240"/>
        <w:jc w:val="both"/>
        <w:rPr>
          <w:sz w:val="22"/>
          <w:szCs w:val="22"/>
        </w:rPr>
      </w:pPr>
      <w:r w:rsidRPr="006B3851">
        <w:rPr>
          <w:sz w:val="22"/>
          <w:szCs w:val="22"/>
        </w:rPr>
        <w:t>A concessão da exploração tem prazo de vigência até 9 de janeiro de 2030, podendo ser prorrogado por mais 30 anos.</w:t>
      </w:r>
    </w:p>
    <w:p w:rsidR="006B3851" w:rsidRPr="006B3851" w:rsidRDefault="006B3851" w:rsidP="006B3851">
      <w:pPr>
        <w:spacing w:before="240" w:after="240"/>
        <w:jc w:val="both"/>
        <w:rPr>
          <w:sz w:val="22"/>
          <w:szCs w:val="22"/>
        </w:rPr>
      </w:pPr>
      <w:r w:rsidRPr="006B3851">
        <w:rPr>
          <w:sz w:val="22"/>
          <w:szCs w:val="22"/>
        </w:rPr>
        <w:t>Atualmente, a Companhia explora a distribuição de gás veicular, em montantes limitados que tem impossibilitado a apuração de resultados favoráveis.</w:t>
      </w:r>
    </w:p>
    <w:p w:rsidR="006B3851" w:rsidRPr="006B3851" w:rsidRDefault="006B3851" w:rsidP="006B3851">
      <w:pPr>
        <w:spacing w:before="240" w:after="240"/>
        <w:jc w:val="both"/>
        <w:rPr>
          <w:sz w:val="22"/>
          <w:szCs w:val="22"/>
        </w:rPr>
      </w:pPr>
      <w:r w:rsidRPr="006B3851">
        <w:rPr>
          <w:sz w:val="22"/>
          <w:szCs w:val="22"/>
        </w:rPr>
        <w:t>Para que sua operação seja similar à de outras empresas Distribuidoras de Gás Canalizado no Brasil, faz-se necessária a viabilização de um suprimento adequado às necessidades do Distrito Federal, por meio de um gasoduto de transporte de gás natural.</w:t>
      </w:r>
    </w:p>
    <w:p w:rsidR="006B3851" w:rsidRDefault="006B3851" w:rsidP="006B3851">
      <w:pPr>
        <w:spacing w:before="240" w:after="240"/>
        <w:jc w:val="both"/>
        <w:rPr>
          <w:sz w:val="22"/>
          <w:szCs w:val="22"/>
        </w:rPr>
      </w:pPr>
      <w:r w:rsidRPr="006B3851">
        <w:rPr>
          <w:sz w:val="22"/>
          <w:szCs w:val="22"/>
        </w:rPr>
        <w:t>A CEB é controladora da Companhia Brasiliense de Gás</w:t>
      </w:r>
      <w:r>
        <w:rPr>
          <w:sz w:val="22"/>
          <w:szCs w:val="22"/>
        </w:rPr>
        <w:t xml:space="preserve"> S.A.</w:t>
      </w:r>
      <w:r w:rsidRPr="006B3851">
        <w:rPr>
          <w:sz w:val="22"/>
          <w:szCs w:val="22"/>
        </w:rPr>
        <w:t>, com 51% das ações ordinárias e 17% do total das ações.</w:t>
      </w:r>
    </w:p>
    <w:p w:rsidR="002D7B9B" w:rsidRPr="007E7E1D" w:rsidRDefault="002D7B9B" w:rsidP="002D7B9B">
      <w:pPr>
        <w:spacing w:before="240" w:after="240"/>
        <w:rPr>
          <w:b/>
          <w:sz w:val="22"/>
          <w:szCs w:val="22"/>
        </w:rPr>
      </w:pPr>
      <w:r w:rsidRPr="007E7E1D">
        <w:rPr>
          <w:b/>
          <w:sz w:val="22"/>
          <w:szCs w:val="22"/>
        </w:rPr>
        <w:lastRenderedPageBreak/>
        <w:t>Organização Societária</w:t>
      </w:r>
    </w:p>
    <w:p w:rsidR="002D7B9B" w:rsidRPr="00F93ACC" w:rsidRDefault="00C925DF" w:rsidP="00D119F5">
      <w:pPr>
        <w:spacing w:before="240" w:after="240"/>
        <w:jc w:val="center"/>
        <w:rPr>
          <w:b/>
          <w:bCs/>
          <w:sz w:val="22"/>
          <w:szCs w:val="22"/>
        </w:rPr>
      </w:pPr>
      <w:r>
        <w:rPr>
          <w:noProof/>
          <w:color w:val="1F497D"/>
        </w:rPr>
        <w:drawing>
          <wp:inline distT="0" distB="0" distL="0" distR="0">
            <wp:extent cx="2743200" cy="2095500"/>
            <wp:effectExtent l="19050" t="0" r="0" b="0"/>
            <wp:docPr id="6" name="Imagem 20" descr="cid:image001.png@01D29E6E.AB181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cid:image001.png@01D29E6E.AB1818C0"/>
                    <pic:cNvPicPr>
                      <a:picLocks noChangeAspect="1" noChangeArrowheads="1"/>
                    </pic:cNvPicPr>
                  </pic:nvPicPr>
                  <pic:blipFill>
                    <a:blip r:embed="rId42" r:link="rId43"/>
                    <a:srcRect/>
                    <a:stretch>
                      <a:fillRect/>
                    </a:stretch>
                  </pic:blipFill>
                  <pic:spPr bwMode="auto">
                    <a:xfrm>
                      <a:off x="0" y="0"/>
                      <a:ext cx="2743200" cy="2095500"/>
                    </a:xfrm>
                    <a:prstGeom prst="rect">
                      <a:avLst/>
                    </a:prstGeom>
                    <a:noFill/>
                    <a:ln w="9525">
                      <a:noFill/>
                      <a:miter lim="800000"/>
                      <a:headEnd/>
                      <a:tailEnd/>
                    </a:ln>
                  </pic:spPr>
                </pic:pic>
              </a:graphicData>
            </a:graphic>
          </wp:inline>
        </w:drawing>
      </w:r>
    </w:p>
    <w:p w:rsidR="002D7B9B" w:rsidRDefault="00E76A9C" w:rsidP="00E76A9C">
      <w:pPr>
        <w:spacing w:before="240" w:after="240"/>
        <w:rPr>
          <w:b/>
          <w:sz w:val="22"/>
          <w:szCs w:val="22"/>
        </w:rPr>
      </w:pPr>
      <w:r>
        <w:rPr>
          <w:b/>
          <w:sz w:val="22"/>
          <w:szCs w:val="22"/>
        </w:rPr>
        <w:t>Dados Econômico-Financeiros</w:t>
      </w:r>
    </w:p>
    <w:tbl>
      <w:tblPr>
        <w:tblW w:w="5000"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5176"/>
        <w:gridCol w:w="1657"/>
        <w:gridCol w:w="1657"/>
        <w:gridCol w:w="1648"/>
      </w:tblGrid>
      <w:tr w:rsidR="00E76A9C" w:rsidRPr="007E7E1D" w:rsidTr="004446A0">
        <w:trPr>
          <w:trHeight w:val="418"/>
          <w:tblHeader/>
          <w:jc w:val="center"/>
        </w:trPr>
        <w:tc>
          <w:tcPr>
            <w:tcW w:w="2553"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E76A9C" w:rsidRPr="00E76A9C" w:rsidRDefault="00E76A9C" w:rsidP="00B54C44">
            <w:pPr>
              <w:autoSpaceDE w:val="0"/>
              <w:autoSpaceDN w:val="0"/>
              <w:adjustRightInd w:val="0"/>
              <w:spacing w:line="264" w:lineRule="auto"/>
              <w:jc w:val="center"/>
              <w:rPr>
                <w:rFonts w:eastAsia="Calibri"/>
                <w:b/>
                <w:bCs/>
                <w:color w:val="FFFFFF" w:themeColor="background1"/>
                <w:lang w:eastAsia="en-US" w:bidi="en-US"/>
              </w:rPr>
            </w:pPr>
            <w:r w:rsidRPr="00E76A9C">
              <w:rPr>
                <w:rFonts w:eastAsia="Calibri"/>
                <w:b/>
                <w:bCs/>
                <w:color w:val="FFFFFF" w:themeColor="background1"/>
                <w:lang w:eastAsia="en-US" w:bidi="en-US"/>
              </w:rPr>
              <w:t>(R$ Mil)</w:t>
            </w:r>
          </w:p>
        </w:tc>
        <w:tc>
          <w:tcPr>
            <w:tcW w:w="817"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E76A9C" w:rsidRPr="00E76A9C" w:rsidRDefault="00E76A9C" w:rsidP="00B54C44">
            <w:pPr>
              <w:autoSpaceDE w:val="0"/>
              <w:autoSpaceDN w:val="0"/>
              <w:adjustRightInd w:val="0"/>
              <w:spacing w:line="264" w:lineRule="auto"/>
              <w:jc w:val="center"/>
              <w:rPr>
                <w:rFonts w:eastAsia="Calibri"/>
                <w:b/>
                <w:bCs/>
                <w:color w:val="FFFFFF" w:themeColor="background1"/>
                <w:lang w:eastAsia="en-US" w:bidi="en-US"/>
              </w:rPr>
            </w:pPr>
            <w:r w:rsidRPr="00E76A9C">
              <w:rPr>
                <w:rFonts w:eastAsia="Calibri"/>
                <w:b/>
                <w:bCs/>
                <w:color w:val="FFFFFF" w:themeColor="background1"/>
                <w:lang w:eastAsia="en-US" w:bidi="en-US"/>
              </w:rPr>
              <w:t>2015</w:t>
            </w:r>
          </w:p>
        </w:tc>
        <w:tc>
          <w:tcPr>
            <w:tcW w:w="817"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E76A9C" w:rsidRPr="00E76A9C" w:rsidRDefault="00E76A9C" w:rsidP="00B54C44">
            <w:pPr>
              <w:autoSpaceDE w:val="0"/>
              <w:autoSpaceDN w:val="0"/>
              <w:adjustRightInd w:val="0"/>
              <w:spacing w:line="264" w:lineRule="auto"/>
              <w:jc w:val="center"/>
              <w:rPr>
                <w:rFonts w:eastAsia="Calibri"/>
                <w:b/>
                <w:bCs/>
                <w:color w:val="FFFFFF" w:themeColor="background1"/>
                <w:lang w:eastAsia="en-US" w:bidi="en-US"/>
              </w:rPr>
            </w:pPr>
            <w:r w:rsidRPr="00E76A9C">
              <w:rPr>
                <w:rFonts w:eastAsia="Calibri"/>
                <w:b/>
                <w:bCs/>
                <w:color w:val="FFFFFF" w:themeColor="background1"/>
                <w:lang w:eastAsia="en-US" w:bidi="en-US"/>
              </w:rPr>
              <w:t>2016</w:t>
            </w:r>
          </w:p>
        </w:tc>
        <w:tc>
          <w:tcPr>
            <w:tcW w:w="813"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E76A9C" w:rsidRPr="00E76A9C" w:rsidRDefault="00E76A9C" w:rsidP="00B54C44">
            <w:pPr>
              <w:jc w:val="center"/>
              <w:rPr>
                <w:b/>
                <w:bCs/>
                <w:snapToGrid w:val="0"/>
                <w:color w:val="FFFFFF" w:themeColor="background1"/>
                <w:lang w:eastAsia="en-US" w:bidi="en-US"/>
              </w:rPr>
            </w:pPr>
            <w:r w:rsidRPr="00E76A9C">
              <w:rPr>
                <w:b/>
                <w:bCs/>
                <w:snapToGrid w:val="0"/>
                <w:color w:val="FFFFFF" w:themeColor="background1"/>
                <w:lang w:eastAsia="en-US" w:bidi="en-US"/>
              </w:rPr>
              <w:t>Δ (R$)</w:t>
            </w:r>
          </w:p>
        </w:tc>
      </w:tr>
      <w:tr w:rsidR="00E76A9C" w:rsidRPr="007E7E1D" w:rsidTr="00B54C44">
        <w:trPr>
          <w:trHeight w:val="170"/>
          <w:jc w:val="center"/>
        </w:trPr>
        <w:tc>
          <w:tcPr>
            <w:tcW w:w="255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E76A9C">
            <w:pPr>
              <w:autoSpaceDE w:val="0"/>
              <w:autoSpaceDN w:val="0"/>
              <w:adjustRightInd w:val="0"/>
              <w:spacing w:line="264" w:lineRule="auto"/>
              <w:rPr>
                <w:rFonts w:eastAsia="Calibri"/>
                <w:b/>
                <w:bCs/>
                <w:lang w:eastAsia="en-US" w:bidi="en-US"/>
              </w:rPr>
            </w:pPr>
            <w:r w:rsidRPr="00E76A9C">
              <w:rPr>
                <w:rFonts w:eastAsia="Calibri"/>
                <w:b/>
                <w:bCs/>
                <w:lang w:eastAsia="en-US" w:bidi="en-US"/>
              </w:rPr>
              <w:t>Receita Operacional Bruta</w:t>
            </w:r>
          </w:p>
        </w:tc>
        <w:tc>
          <w:tcPr>
            <w:tcW w:w="817"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B54C44">
            <w:pPr>
              <w:jc w:val="center"/>
              <w:rPr>
                <w:b/>
                <w:color w:val="000000"/>
              </w:rPr>
            </w:pPr>
            <w:r w:rsidRPr="00E76A9C">
              <w:rPr>
                <w:b/>
                <w:color w:val="000000"/>
              </w:rPr>
              <w:t>4.528</w:t>
            </w:r>
          </w:p>
        </w:tc>
        <w:tc>
          <w:tcPr>
            <w:tcW w:w="817"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314558">
            <w:pPr>
              <w:jc w:val="center"/>
              <w:rPr>
                <w:b/>
                <w:color w:val="000000"/>
              </w:rPr>
            </w:pPr>
            <w:r w:rsidRPr="00E76A9C">
              <w:rPr>
                <w:b/>
                <w:color w:val="000000"/>
              </w:rPr>
              <w:t>4.</w:t>
            </w:r>
            <w:r w:rsidR="00314558">
              <w:rPr>
                <w:b/>
                <w:color w:val="000000"/>
              </w:rPr>
              <w:t>919</w:t>
            </w:r>
          </w:p>
        </w:tc>
        <w:tc>
          <w:tcPr>
            <w:tcW w:w="81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314558" w:rsidP="00314558">
            <w:pPr>
              <w:jc w:val="center"/>
              <w:rPr>
                <w:b/>
                <w:color w:val="000000"/>
              </w:rPr>
            </w:pPr>
            <w:r>
              <w:rPr>
                <w:b/>
                <w:color w:val="000000"/>
              </w:rPr>
              <w:t>391</w:t>
            </w:r>
          </w:p>
        </w:tc>
      </w:tr>
      <w:tr w:rsidR="00E76A9C" w:rsidRPr="007E7E1D" w:rsidTr="00B54C44">
        <w:trPr>
          <w:trHeight w:val="170"/>
          <w:jc w:val="center"/>
        </w:trPr>
        <w:tc>
          <w:tcPr>
            <w:tcW w:w="2553"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E76A9C">
            <w:pPr>
              <w:autoSpaceDE w:val="0"/>
              <w:autoSpaceDN w:val="0"/>
              <w:adjustRightInd w:val="0"/>
              <w:spacing w:line="264" w:lineRule="auto"/>
              <w:rPr>
                <w:rFonts w:eastAsia="Calibri"/>
                <w:b/>
                <w:bCs/>
                <w:lang w:eastAsia="en-US" w:bidi="en-US"/>
              </w:rPr>
            </w:pPr>
            <w:r w:rsidRPr="00E76A9C">
              <w:rPr>
                <w:rFonts w:eastAsia="Calibri"/>
                <w:b/>
                <w:bCs/>
                <w:lang w:eastAsia="en-US" w:bidi="en-US"/>
              </w:rPr>
              <w:t>Receita Operacional Líquida</w:t>
            </w:r>
          </w:p>
        </w:tc>
        <w:tc>
          <w:tcPr>
            <w:tcW w:w="817" w:type="pct"/>
            <w:tcBorders>
              <w:top w:val="single" w:sz="8" w:space="0" w:color="DDDDDD"/>
              <w:left w:val="single" w:sz="8" w:space="0" w:color="DDDDDD"/>
              <w:bottom w:val="single" w:sz="8" w:space="0" w:color="DDDDDD"/>
              <w:right w:val="single" w:sz="8" w:space="0" w:color="DDDDDD"/>
            </w:tcBorders>
            <w:vAlign w:val="center"/>
          </w:tcPr>
          <w:p w:rsidR="00E76A9C" w:rsidRPr="00E76A9C" w:rsidRDefault="00314558" w:rsidP="00314558">
            <w:pPr>
              <w:jc w:val="center"/>
              <w:rPr>
                <w:b/>
                <w:color w:val="000000"/>
              </w:rPr>
            </w:pPr>
            <w:r>
              <w:rPr>
                <w:b/>
                <w:color w:val="000000"/>
              </w:rPr>
              <w:t>4</w:t>
            </w:r>
            <w:r w:rsidR="00E76A9C" w:rsidRPr="00E76A9C">
              <w:rPr>
                <w:b/>
                <w:color w:val="000000"/>
              </w:rPr>
              <w:t>.</w:t>
            </w:r>
            <w:r>
              <w:rPr>
                <w:b/>
                <w:color w:val="000000"/>
              </w:rPr>
              <w:t>375</w:t>
            </w:r>
          </w:p>
        </w:tc>
        <w:tc>
          <w:tcPr>
            <w:tcW w:w="817"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B54C44">
            <w:pPr>
              <w:jc w:val="center"/>
              <w:rPr>
                <w:b/>
                <w:color w:val="000000"/>
              </w:rPr>
            </w:pPr>
            <w:r w:rsidRPr="00E76A9C">
              <w:rPr>
                <w:b/>
                <w:color w:val="000000"/>
              </w:rPr>
              <w:t>3.679</w:t>
            </w:r>
          </w:p>
        </w:tc>
        <w:tc>
          <w:tcPr>
            <w:tcW w:w="813"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314558" w:rsidP="00314558">
            <w:pPr>
              <w:jc w:val="center"/>
              <w:rPr>
                <w:b/>
                <w:color w:val="000000"/>
              </w:rPr>
            </w:pPr>
            <w:r>
              <w:rPr>
                <w:b/>
                <w:color w:val="000000"/>
              </w:rPr>
              <w:t>(696)</w:t>
            </w:r>
          </w:p>
        </w:tc>
      </w:tr>
      <w:tr w:rsidR="00E76A9C" w:rsidRPr="007E7E1D" w:rsidTr="00B54C44">
        <w:trPr>
          <w:trHeight w:val="170"/>
          <w:jc w:val="center"/>
        </w:trPr>
        <w:tc>
          <w:tcPr>
            <w:tcW w:w="255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E76A9C">
            <w:pPr>
              <w:autoSpaceDE w:val="0"/>
              <w:autoSpaceDN w:val="0"/>
              <w:adjustRightInd w:val="0"/>
              <w:spacing w:line="264" w:lineRule="auto"/>
              <w:rPr>
                <w:rFonts w:eastAsia="Calibri"/>
                <w:b/>
                <w:bCs/>
                <w:lang w:eastAsia="en-US" w:bidi="en-US"/>
              </w:rPr>
            </w:pPr>
            <w:r w:rsidRPr="00E76A9C">
              <w:rPr>
                <w:rFonts w:eastAsia="Calibri"/>
                <w:b/>
                <w:bCs/>
                <w:lang w:eastAsia="en-US" w:bidi="en-US"/>
              </w:rPr>
              <w:t>Resultado Operacional Líquido Antes dos Tributos</w:t>
            </w:r>
          </w:p>
        </w:tc>
        <w:tc>
          <w:tcPr>
            <w:tcW w:w="817"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314558">
            <w:pPr>
              <w:jc w:val="center"/>
              <w:rPr>
                <w:b/>
              </w:rPr>
            </w:pPr>
            <w:r w:rsidRPr="00E76A9C">
              <w:rPr>
                <w:b/>
              </w:rPr>
              <w:t>(4</w:t>
            </w:r>
            <w:r w:rsidR="00314558">
              <w:rPr>
                <w:b/>
              </w:rPr>
              <w:t>79</w:t>
            </w:r>
            <w:r w:rsidRPr="00E76A9C">
              <w:rPr>
                <w:b/>
              </w:rPr>
              <w:t>)</w:t>
            </w:r>
          </w:p>
        </w:tc>
        <w:tc>
          <w:tcPr>
            <w:tcW w:w="817"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B54C44">
            <w:pPr>
              <w:jc w:val="center"/>
              <w:rPr>
                <w:b/>
              </w:rPr>
            </w:pPr>
            <w:r w:rsidRPr="00E76A9C">
              <w:rPr>
                <w:b/>
              </w:rPr>
              <w:t>(501)</w:t>
            </w:r>
          </w:p>
        </w:tc>
        <w:tc>
          <w:tcPr>
            <w:tcW w:w="81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B54C44">
            <w:pPr>
              <w:jc w:val="center"/>
              <w:rPr>
                <w:b/>
              </w:rPr>
            </w:pPr>
            <w:r w:rsidRPr="00E76A9C">
              <w:rPr>
                <w:b/>
              </w:rPr>
              <w:t>(22)</w:t>
            </w:r>
          </w:p>
        </w:tc>
      </w:tr>
      <w:tr w:rsidR="00E76A9C" w:rsidRPr="007E7E1D" w:rsidTr="00B54C44">
        <w:trPr>
          <w:trHeight w:val="170"/>
          <w:jc w:val="center"/>
        </w:trPr>
        <w:tc>
          <w:tcPr>
            <w:tcW w:w="2553"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E76A9C">
            <w:pPr>
              <w:autoSpaceDE w:val="0"/>
              <w:autoSpaceDN w:val="0"/>
              <w:adjustRightInd w:val="0"/>
              <w:spacing w:line="264" w:lineRule="auto"/>
              <w:rPr>
                <w:rFonts w:eastAsia="Calibri"/>
                <w:b/>
                <w:bCs/>
                <w:lang w:eastAsia="en-US" w:bidi="en-US"/>
              </w:rPr>
            </w:pPr>
            <w:r w:rsidRPr="00E76A9C">
              <w:rPr>
                <w:rFonts w:eastAsia="Calibri"/>
                <w:b/>
                <w:bCs/>
                <w:lang w:eastAsia="en-US" w:bidi="en-US"/>
              </w:rPr>
              <w:t>EBITDA</w:t>
            </w:r>
            <w:r>
              <w:rPr>
                <w:rFonts w:eastAsia="Calibri"/>
                <w:b/>
                <w:bCs/>
                <w:lang w:eastAsia="en-US" w:bidi="en-US"/>
              </w:rPr>
              <w:t xml:space="preserve"> (LAJIDA)</w:t>
            </w:r>
          </w:p>
        </w:tc>
        <w:tc>
          <w:tcPr>
            <w:tcW w:w="817" w:type="pct"/>
            <w:tcBorders>
              <w:top w:val="single" w:sz="8" w:space="0" w:color="DDDDDD"/>
              <w:left w:val="single" w:sz="8" w:space="0" w:color="DDDDDD"/>
              <w:bottom w:val="single" w:sz="8" w:space="0" w:color="DDDDDD"/>
              <w:right w:val="single" w:sz="8" w:space="0" w:color="DDDDDD"/>
            </w:tcBorders>
            <w:vAlign w:val="center"/>
          </w:tcPr>
          <w:p w:rsidR="00E76A9C" w:rsidRPr="00E76A9C" w:rsidRDefault="00E76A9C" w:rsidP="00314558">
            <w:pPr>
              <w:jc w:val="center"/>
              <w:rPr>
                <w:b/>
              </w:rPr>
            </w:pPr>
            <w:r w:rsidRPr="00E76A9C">
              <w:rPr>
                <w:b/>
              </w:rPr>
              <w:t>(20</w:t>
            </w:r>
            <w:r w:rsidR="00314558">
              <w:rPr>
                <w:b/>
              </w:rPr>
              <w:t>5</w:t>
            </w:r>
            <w:r w:rsidRPr="00E76A9C">
              <w:rPr>
                <w:b/>
              </w:rPr>
              <w:t>)</w:t>
            </w:r>
          </w:p>
        </w:tc>
        <w:tc>
          <w:tcPr>
            <w:tcW w:w="817"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314558">
            <w:pPr>
              <w:jc w:val="center"/>
              <w:rPr>
                <w:b/>
              </w:rPr>
            </w:pPr>
            <w:r w:rsidRPr="00E76A9C">
              <w:rPr>
                <w:b/>
              </w:rPr>
              <w:t>(22</w:t>
            </w:r>
            <w:r w:rsidR="00314558">
              <w:rPr>
                <w:b/>
              </w:rPr>
              <w:t>6</w:t>
            </w:r>
            <w:r w:rsidRPr="00E76A9C">
              <w:rPr>
                <w:b/>
              </w:rPr>
              <w:t>)</w:t>
            </w:r>
          </w:p>
        </w:tc>
        <w:tc>
          <w:tcPr>
            <w:tcW w:w="813"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314558">
            <w:pPr>
              <w:jc w:val="center"/>
              <w:rPr>
                <w:b/>
              </w:rPr>
            </w:pPr>
            <w:r w:rsidRPr="00E76A9C">
              <w:rPr>
                <w:b/>
              </w:rPr>
              <w:t>(2</w:t>
            </w:r>
            <w:r w:rsidR="00314558">
              <w:rPr>
                <w:b/>
              </w:rPr>
              <w:t>1</w:t>
            </w:r>
            <w:r w:rsidRPr="00E76A9C">
              <w:rPr>
                <w:b/>
              </w:rPr>
              <w:t>)</w:t>
            </w:r>
          </w:p>
        </w:tc>
      </w:tr>
      <w:tr w:rsidR="00E76A9C" w:rsidRPr="007E7E1D" w:rsidTr="00B54C44">
        <w:trPr>
          <w:trHeight w:val="170"/>
          <w:jc w:val="center"/>
        </w:trPr>
        <w:tc>
          <w:tcPr>
            <w:tcW w:w="255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E76A9C">
            <w:pPr>
              <w:autoSpaceDE w:val="0"/>
              <w:autoSpaceDN w:val="0"/>
              <w:adjustRightInd w:val="0"/>
              <w:spacing w:line="264" w:lineRule="auto"/>
              <w:rPr>
                <w:rFonts w:eastAsia="Calibri"/>
                <w:b/>
                <w:bCs/>
                <w:lang w:eastAsia="en-US" w:bidi="en-US"/>
              </w:rPr>
            </w:pPr>
            <w:r w:rsidRPr="00E76A9C">
              <w:rPr>
                <w:rFonts w:eastAsia="Calibri"/>
                <w:b/>
                <w:bCs/>
                <w:lang w:eastAsia="en-US" w:bidi="en-US"/>
              </w:rPr>
              <w:t>Lucro Líquido (Prejuízo)</w:t>
            </w:r>
          </w:p>
        </w:tc>
        <w:tc>
          <w:tcPr>
            <w:tcW w:w="817"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B54C44">
            <w:pPr>
              <w:jc w:val="center"/>
              <w:rPr>
                <w:b/>
              </w:rPr>
            </w:pPr>
            <w:r w:rsidRPr="00E76A9C">
              <w:rPr>
                <w:b/>
              </w:rPr>
              <w:t>(443)</w:t>
            </w:r>
          </w:p>
        </w:tc>
        <w:tc>
          <w:tcPr>
            <w:tcW w:w="817"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B54C44">
            <w:pPr>
              <w:jc w:val="center"/>
              <w:rPr>
                <w:b/>
              </w:rPr>
            </w:pPr>
            <w:r w:rsidRPr="00E76A9C">
              <w:rPr>
                <w:b/>
              </w:rPr>
              <w:t>(464)</w:t>
            </w:r>
          </w:p>
        </w:tc>
        <w:tc>
          <w:tcPr>
            <w:tcW w:w="81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E76A9C" w:rsidRPr="00E76A9C" w:rsidRDefault="00E76A9C" w:rsidP="00B54C44">
            <w:pPr>
              <w:jc w:val="center"/>
              <w:rPr>
                <w:b/>
              </w:rPr>
            </w:pPr>
            <w:r w:rsidRPr="00E76A9C">
              <w:rPr>
                <w:b/>
              </w:rPr>
              <w:t>(21)</w:t>
            </w:r>
          </w:p>
        </w:tc>
      </w:tr>
      <w:tr w:rsidR="00E76A9C" w:rsidRPr="007E7E1D" w:rsidTr="00B54C44">
        <w:trPr>
          <w:trHeight w:val="170"/>
          <w:jc w:val="center"/>
        </w:trPr>
        <w:tc>
          <w:tcPr>
            <w:tcW w:w="2553"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E76A9C">
            <w:pPr>
              <w:autoSpaceDE w:val="0"/>
              <w:autoSpaceDN w:val="0"/>
              <w:adjustRightInd w:val="0"/>
              <w:spacing w:line="264" w:lineRule="auto"/>
              <w:rPr>
                <w:rFonts w:eastAsia="Calibri"/>
                <w:b/>
                <w:bCs/>
                <w:lang w:eastAsia="en-US" w:bidi="en-US"/>
              </w:rPr>
            </w:pPr>
            <w:r w:rsidRPr="00E76A9C">
              <w:rPr>
                <w:rFonts w:eastAsia="Calibri"/>
                <w:b/>
                <w:bCs/>
                <w:lang w:eastAsia="en-US" w:bidi="en-US"/>
              </w:rPr>
              <w:t>Patrimônio Líquido</w:t>
            </w:r>
          </w:p>
        </w:tc>
        <w:tc>
          <w:tcPr>
            <w:tcW w:w="817" w:type="pct"/>
            <w:tcBorders>
              <w:top w:val="single" w:sz="8" w:space="0" w:color="DDDDDD"/>
              <w:left w:val="single" w:sz="8" w:space="0" w:color="DDDDDD"/>
              <w:bottom w:val="single" w:sz="8" w:space="0" w:color="DDDDDD"/>
              <w:right w:val="single" w:sz="8" w:space="0" w:color="DDDDDD"/>
            </w:tcBorders>
            <w:vAlign w:val="center"/>
          </w:tcPr>
          <w:p w:rsidR="00E76A9C" w:rsidRPr="00E76A9C" w:rsidRDefault="00E76A9C" w:rsidP="00B54C44">
            <w:pPr>
              <w:jc w:val="center"/>
              <w:rPr>
                <w:b/>
                <w:color w:val="000000"/>
              </w:rPr>
            </w:pPr>
            <w:r w:rsidRPr="00E76A9C">
              <w:rPr>
                <w:b/>
                <w:color w:val="000000"/>
              </w:rPr>
              <w:t>943</w:t>
            </w:r>
          </w:p>
        </w:tc>
        <w:tc>
          <w:tcPr>
            <w:tcW w:w="817"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B54C44">
            <w:pPr>
              <w:jc w:val="center"/>
              <w:rPr>
                <w:b/>
                <w:color w:val="000000"/>
              </w:rPr>
            </w:pPr>
            <w:r w:rsidRPr="00E76A9C">
              <w:rPr>
                <w:b/>
                <w:color w:val="000000"/>
              </w:rPr>
              <w:t>97</w:t>
            </w:r>
            <w:r w:rsidR="00314558">
              <w:rPr>
                <w:b/>
                <w:color w:val="000000"/>
              </w:rPr>
              <w:t>9</w:t>
            </w:r>
          </w:p>
        </w:tc>
        <w:tc>
          <w:tcPr>
            <w:tcW w:w="813" w:type="pct"/>
            <w:tcBorders>
              <w:top w:val="single" w:sz="8" w:space="0" w:color="DDDDDD"/>
              <w:left w:val="single" w:sz="8" w:space="0" w:color="DDDDDD"/>
              <w:bottom w:val="single" w:sz="8" w:space="0" w:color="DDDDDD"/>
              <w:right w:val="single" w:sz="8" w:space="0" w:color="DDDDDD"/>
            </w:tcBorders>
            <w:shd w:val="clear" w:color="auto" w:fill="auto"/>
            <w:vAlign w:val="center"/>
          </w:tcPr>
          <w:p w:rsidR="00E76A9C" w:rsidRPr="00E76A9C" w:rsidRDefault="00E76A9C" w:rsidP="00B54C44">
            <w:pPr>
              <w:jc w:val="center"/>
              <w:rPr>
                <w:b/>
                <w:color w:val="000000"/>
              </w:rPr>
            </w:pPr>
            <w:r w:rsidRPr="00E76A9C">
              <w:rPr>
                <w:b/>
                <w:color w:val="000000"/>
              </w:rPr>
              <w:t>36</w:t>
            </w:r>
          </w:p>
        </w:tc>
      </w:tr>
    </w:tbl>
    <w:p w:rsidR="00E76A9C" w:rsidRPr="007E7E1D" w:rsidRDefault="00E76A9C" w:rsidP="00E76A9C">
      <w:pPr>
        <w:spacing w:before="40" w:after="240"/>
        <w:rPr>
          <w:rFonts w:eastAsia="Calibri"/>
          <w:b/>
          <w:bCs/>
          <w:sz w:val="16"/>
          <w:szCs w:val="16"/>
        </w:rPr>
      </w:pPr>
      <w:r w:rsidRPr="007E7E1D">
        <w:rPr>
          <w:rFonts w:eastAsia="Calibri"/>
          <w:b/>
          <w:bCs/>
          <w:sz w:val="16"/>
          <w:szCs w:val="16"/>
        </w:rPr>
        <w:t>Fonte: Demonstrações Contábeis da Companhia Brasiliense de Gás S.A.</w:t>
      </w:r>
    </w:p>
    <w:p w:rsidR="00DC512A" w:rsidRPr="007E7E1D" w:rsidRDefault="00DC512A" w:rsidP="00DC512A">
      <w:pPr>
        <w:spacing w:before="240" w:after="240"/>
        <w:jc w:val="both"/>
        <w:rPr>
          <w:sz w:val="22"/>
          <w:szCs w:val="22"/>
        </w:rPr>
      </w:pPr>
      <w:r w:rsidRPr="007E7E1D">
        <w:rPr>
          <w:sz w:val="22"/>
          <w:szCs w:val="22"/>
        </w:rPr>
        <w:t>O primeiro desafio para distribuição do gás canalizado é o desenvolvimento de um</w:t>
      </w:r>
      <w:r w:rsidR="001520DB" w:rsidRPr="007E7E1D">
        <w:rPr>
          <w:sz w:val="22"/>
          <w:szCs w:val="22"/>
        </w:rPr>
        <w:t>a</w:t>
      </w:r>
      <w:r w:rsidRPr="007E7E1D">
        <w:rPr>
          <w:sz w:val="22"/>
          <w:szCs w:val="22"/>
        </w:rPr>
        <w:t xml:space="preserve"> </w:t>
      </w:r>
      <w:r w:rsidR="001520DB" w:rsidRPr="007E7E1D">
        <w:rPr>
          <w:sz w:val="22"/>
          <w:szCs w:val="22"/>
        </w:rPr>
        <w:t>infraestrutura</w:t>
      </w:r>
      <w:r w:rsidRPr="007E7E1D">
        <w:rPr>
          <w:sz w:val="22"/>
          <w:szCs w:val="22"/>
        </w:rPr>
        <w:t xml:space="preserve"> </w:t>
      </w:r>
      <w:r w:rsidR="001520DB" w:rsidRPr="007E7E1D">
        <w:rPr>
          <w:sz w:val="22"/>
          <w:szCs w:val="22"/>
        </w:rPr>
        <w:t>logística adequada</w:t>
      </w:r>
      <w:r w:rsidRPr="007E7E1D">
        <w:rPr>
          <w:sz w:val="22"/>
          <w:szCs w:val="22"/>
        </w:rPr>
        <w:t xml:space="preserve"> de suprimento. O Distrito Federal não é abastecido por gasoduto de transporte que possa garantir o suprimento contínuo de gás, de forma que, enquanto as iniciativas de implantação desta infraestrutura não se materializarem, a solução utilizada para a antecipação da oferta ao mercado é o suprimento de estoques de gás natural liquefeito.</w:t>
      </w:r>
    </w:p>
    <w:p w:rsidR="00DC512A" w:rsidRPr="007E7E1D" w:rsidRDefault="00DC512A" w:rsidP="00DC512A">
      <w:pPr>
        <w:spacing w:before="240" w:after="240"/>
        <w:jc w:val="both"/>
        <w:rPr>
          <w:sz w:val="22"/>
          <w:szCs w:val="22"/>
        </w:rPr>
      </w:pPr>
      <w:r w:rsidRPr="007E7E1D">
        <w:rPr>
          <w:sz w:val="22"/>
          <w:szCs w:val="22"/>
        </w:rPr>
        <w:t xml:space="preserve">O gás natural liquefeito é suprido para a </w:t>
      </w:r>
      <w:r w:rsidR="008908B8" w:rsidRPr="007E7E1D">
        <w:rPr>
          <w:sz w:val="22"/>
          <w:szCs w:val="22"/>
        </w:rPr>
        <w:t>Companhia Brasiliense de Gás S.A.</w:t>
      </w:r>
      <w:r w:rsidRPr="007E7E1D">
        <w:rPr>
          <w:sz w:val="22"/>
          <w:szCs w:val="22"/>
        </w:rPr>
        <w:t xml:space="preserve"> pela empresa GNL </w:t>
      </w:r>
      <w:proofErr w:type="spellStart"/>
      <w:r w:rsidRPr="007E7E1D">
        <w:rPr>
          <w:sz w:val="22"/>
          <w:szCs w:val="22"/>
        </w:rPr>
        <w:t>G</w:t>
      </w:r>
      <w:r w:rsidR="001520DB" w:rsidRPr="007E7E1D">
        <w:rPr>
          <w:sz w:val="22"/>
          <w:szCs w:val="22"/>
        </w:rPr>
        <w:t>emini</w:t>
      </w:r>
      <w:proofErr w:type="spellEnd"/>
      <w:r w:rsidRPr="007E7E1D">
        <w:rPr>
          <w:sz w:val="22"/>
          <w:szCs w:val="22"/>
        </w:rPr>
        <w:t xml:space="preserve"> Logística e Comercialização de Gás </w:t>
      </w:r>
      <w:proofErr w:type="spellStart"/>
      <w:r w:rsidRPr="007E7E1D">
        <w:rPr>
          <w:sz w:val="22"/>
          <w:szCs w:val="22"/>
        </w:rPr>
        <w:t>Ltda</w:t>
      </w:r>
      <w:proofErr w:type="spellEnd"/>
      <w:r w:rsidRPr="007E7E1D">
        <w:rPr>
          <w:sz w:val="22"/>
          <w:szCs w:val="22"/>
        </w:rPr>
        <w:t xml:space="preserve"> – </w:t>
      </w:r>
      <w:proofErr w:type="spellStart"/>
      <w:r w:rsidRPr="007E7E1D">
        <w:rPr>
          <w:sz w:val="22"/>
          <w:szCs w:val="22"/>
        </w:rPr>
        <w:t>G</w:t>
      </w:r>
      <w:r w:rsidR="001520DB" w:rsidRPr="007E7E1D">
        <w:rPr>
          <w:sz w:val="22"/>
          <w:szCs w:val="22"/>
        </w:rPr>
        <w:t>emini</w:t>
      </w:r>
      <w:proofErr w:type="spellEnd"/>
      <w:r w:rsidRPr="007E7E1D">
        <w:rPr>
          <w:sz w:val="22"/>
          <w:szCs w:val="22"/>
        </w:rPr>
        <w:t xml:space="preserve">, uma sociedade formada </w:t>
      </w:r>
      <w:r w:rsidR="001520DB" w:rsidRPr="007E7E1D">
        <w:rPr>
          <w:sz w:val="22"/>
          <w:szCs w:val="22"/>
        </w:rPr>
        <w:t>pelas empresas</w:t>
      </w:r>
      <w:r w:rsidRPr="007E7E1D">
        <w:rPr>
          <w:sz w:val="22"/>
          <w:szCs w:val="22"/>
        </w:rPr>
        <w:t xml:space="preserve"> W</w:t>
      </w:r>
      <w:r w:rsidR="001520DB" w:rsidRPr="007E7E1D">
        <w:rPr>
          <w:sz w:val="22"/>
          <w:szCs w:val="22"/>
        </w:rPr>
        <w:t>hite</w:t>
      </w:r>
      <w:r w:rsidRPr="007E7E1D">
        <w:rPr>
          <w:sz w:val="22"/>
          <w:szCs w:val="22"/>
        </w:rPr>
        <w:t xml:space="preserve"> M</w:t>
      </w:r>
      <w:r w:rsidR="001520DB" w:rsidRPr="007E7E1D">
        <w:rPr>
          <w:sz w:val="22"/>
          <w:szCs w:val="22"/>
        </w:rPr>
        <w:t>artins,</w:t>
      </w:r>
      <w:r w:rsidRPr="007E7E1D">
        <w:rPr>
          <w:sz w:val="22"/>
          <w:szCs w:val="22"/>
        </w:rPr>
        <w:t xml:space="preserve"> P</w:t>
      </w:r>
      <w:r w:rsidR="001520DB" w:rsidRPr="007E7E1D">
        <w:rPr>
          <w:sz w:val="22"/>
          <w:szCs w:val="22"/>
        </w:rPr>
        <w:t>etrobrás</w:t>
      </w:r>
      <w:r w:rsidRPr="007E7E1D">
        <w:rPr>
          <w:sz w:val="22"/>
          <w:szCs w:val="22"/>
        </w:rPr>
        <w:t xml:space="preserve"> e a </w:t>
      </w:r>
      <w:proofErr w:type="spellStart"/>
      <w:r w:rsidRPr="007E7E1D">
        <w:rPr>
          <w:sz w:val="22"/>
          <w:szCs w:val="22"/>
        </w:rPr>
        <w:t>G</w:t>
      </w:r>
      <w:r w:rsidR="001520DB" w:rsidRPr="007E7E1D">
        <w:rPr>
          <w:sz w:val="22"/>
          <w:szCs w:val="22"/>
        </w:rPr>
        <w:t>aspetro</w:t>
      </w:r>
      <w:proofErr w:type="spellEnd"/>
      <w:r w:rsidRPr="007E7E1D">
        <w:rPr>
          <w:sz w:val="22"/>
          <w:szCs w:val="22"/>
        </w:rPr>
        <w:t xml:space="preserve">. </w:t>
      </w:r>
    </w:p>
    <w:p w:rsidR="00DC512A" w:rsidRPr="007E7E1D" w:rsidRDefault="00DC512A" w:rsidP="00DC512A">
      <w:pPr>
        <w:spacing w:before="240" w:after="240"/>
        <w:jc w:val="both"/>
        <w:rPr>
          <w:sz w:val="22"/>
          <w:szCs w:val="22"/>
        </w:rPr>
      </w:pPr>
      <w:r w:rsidRPr="007E7E1D">
        <w:rPr>
          <w:sz w:val="22"/>
          <w:szCs w:val="22"/>
        </w:rPr>
        <w:t xml:space="preserve">A alternativa para redução do prejuízo que vem sendo apurado no negócio anualmente (R$ </w:t>
      </w:r>
      <w:r w:rsidR="00052483">
        <w:rPr>
          <w:sz w:val="22"/>
          <w:szCs w:val="22"/>
        </w:rPr>
        <w:t>464</w:t>
      </w:r>
      <w:r w:rsidRPr="007E7E1D">
        <w:rPr>
          <w:sz w:val="22"/>
          <w:szCs w:val="22"/>
        </w:rPr>
        <w:t xml:space="preserve"> mil em 201</w:t>
      </w:r>
      <w:r w:rsidR="00052483">
        <w:rPr>
          <w:sz w:val="22"/>
          <w:szCs w:val="22"/>
        </w:rPr>
        <w:t>6</w:t>
      </w:r>
      <w:r w:rsidRPr="007E7E1D">
        <w:rPr>
          <w:sz w:val="22"/>
          <w:szCs w:val="22"/>
        </w:rPr>
        <w:t xml:space="preserve">), seria a estruturação de </w:t>
      </w:r>
      <w:r w:rsidR="001520DB" w:rsidRPr="007E7E1D">
        <w:rPr>
          <w:sz w:val="22"/>
          <w:szCs w:val="22"/>
        </w:rPr>
        <w:t xml:space="preserve">um </w:t>
      </w:r>
      <w:r w:rsidRPr="007E7E1D">
        <w:rPr>
          <w:sz w:val="22"/>
          <w:szCs w:val="22"/>
        </w:rPr>
        <w:t>projeto para conectar o gasoduto Bolívia-Brasil – G</w:t>
      </w:r>
      <w:r w:rsidR="001520DB" w:rsidRPr="007E7E1D">
        <w:rPr>
          <w:sz w:val="22"/>
          <w:szCs w:val="22"/>
        </w:rPr>
        <w:t>asbol</w:t>
      </w:r>
      <w:r w:rsidRPr="007E7E1D">
        <w:rPr>
          <w:sz w:val="22"/>
          <w:szCs w:val="22"/>
        </w:rPr>
        <w:t xml:space="preserve"> ao Distrito Federal, </w:t>
      </w:r>
      <w:r w:rsidR="001520DB" w:rsidRPr="007E7E1D">
        <w:rPr>
          <w:sz w:val="22"/>
          <w:szCs w:val="22"/>
        </w:rPr>
        <w:t xml:space="preserve">iniciativa </w:t>
      </w:r>
      <w:r w:rsidRPr="007E7E1D">
        <w:rPr>
          <w:sz w:val="22"/>
          <w:szCs w:val="22"/>
        </w:rPr>
        <w:t>que compete à União, por força do artigo 177 da Constituição da República.</w:t>
      </w:r>
    </w:p>
    <w:p w:rsidR="00DC512A" w:rsidRPr="007E7E1D" w:rsidRDefault="00DC512A" w:rsidP="00EA7B2C">
      <w:pPr>
        <w:rPr>
          <w:b/>
          <w:bCs/>
          <w:sz w:val="22"/>
          <w:szCs w:val="22"/>
        </w:rPr>
      </w:pPr>
      <w:bookmarkStart w:id="5" w:name="_Toc444790555"/>
      <w:r w:rsidRPr="007E7E1D">
        <w:rPr>
          <w:b/>
          <w:bCs/>
          <w:sz w:val="22"/>
          <w:szCs w:val="22"/>
        </w:rPr>
        <w:t>Empresa Coligada</w:t>
      </w:r>
      <w:bookmarkEnd w:id="5"/>
    </w:p>
    <w:p w:rsidR="00DC512A" w:rsidRPr="007E7E1D" w:rsidRDefault="00DC512A" w:rsidP="00DC512A">
      <w:pPr>
        <w:spacing w:before="240" w:after="240"/>
        <w:rPr>
          <w:b/>
          <w:bCs/>
          <w:sz w:val="22"/>
          <w:szCs w:val="22"/>
        </w:rPr>
      </w:pPr>
      <w:r w:rsidRPr="007E7E1D">
        <w:rPr>
          <w:b/>
          <w:bCs/>
          <w:sz w:val="22"/>
          <w:szCs w:val="22"/>
        </w:rPr>
        <w:t>Corumbá Concessões S.A.</w:t>
      </w:r>
    </w:p>
    <w:p w:rsidR="00BE69CC" w:rsidRPr="00BE69CC" w:rsidRDefault="00BE69CC" w:rsidP="00593A6B">
      <w:pPr>
        <w:spacing w:before="240" w:after="240"/>
        <w:jc w:val="both"/>
        <w:rPr>
          <w:bCs/>
          <w:sz w:val="22"/>
          <w:szCs w:val="22"/>
        </w:rPr>
      </w:pPr>
      <w:r w:rsidRPr="00BE69CC">
        <w:rPr>
          <w:bCs/>
          <w:sz w:val="22"/>
          <w:szCs w:val="22"/>
        </w:rPr>
        <w:t xml:space="preserve">A Corumbá Concessões S/A é uma sociedade por ações de capital fechado, constituída em 6 de dezembro de 2000, concessionária do serviço público de energia elétrica, atuando na geração de energia elétrica, na condição de produtora independente. A participação do </w:t>
      </w:r>
      <w:r w:rsidR="00EF382F">
        <w:rPr>
          <w:bCs/>
          <w:sz w:val="22"/>
          <w:szCs w:val="22"/>
        </w:rPr>
        <w:t>Grupo CEB</w:t>
      </w:r>
      <w:r w:rsidRPr="00BE69CC">
        <w:rPr>
          <w:bCs/>
          <w:sz w:val="22"/>
          <w:szCs w:val="22"/>
        </w:rPr>
        <w:t xml:space="preserve"> no capital social da Empresa é de 47,56%, sendo 45,21% de propriedade da CEB e 2,35% </w:t>
      </w:r>
      <w:r>
        <w:rPr>
          <w:bCs/>
          <w:sz w:val="22"/>
          <w:szCs w:val="22"/>
        </w:rPr>
        <w:t>da CEB Participações S.</w:t>
      </w:r>
      <w:r w:rsidRPr="00BE69CC">
        <w:rPr>
          <w:bCs/>
          <w:sz w:val="22"/>
          <w:szCs w:val="22"/>
        </w:rPr>
        <w:t>A.</w:t>
      </w:r>
      <w:r w:rsidR="00224640">
        <w:rPr>
          <w:bCs/>
          <w:sz w:val="22"/>
          <w:szCs w:val="22"/>
        </w:rPr>
        <w:t>.</w:t>
      </w:r>
    </w:p>
    <w:p w:rsidR="00690BCF" w:rsidRDefault="00690BCF">
      <w:pPr>
        <w:rPr>
          <w:b/>
          <w:bCs/>
          <w:sz w:val="22"/>
          <w:szCs w:val="22"/>
        </w:rPr>
      </w:pPr>
      <w:r>
        <w:rPr>
          <w:b/>
          <w:bCs/>
          <w:sz w:val="22"/>
          <w:szCs w:val="22"/>
        </w:rPr>
        <w:br w:type="page"/>
      </w:r>
    </w:p>
    <w:p w:rsidR="00983605" w:rsidRPr="007E7E1D" w:rsidRDefault="00983605" w:rsidP="00983605">
      <w:pPr>
        <w:spacing w:before="240" w:after="240"/>
        <w:rPr>
          <w:b/>
          <w:bCs/>
          <w:sz w:val="22"/>
          <w:szCs w:val="22"/>
        </w:rPr>
      </w:pPr>
      <w:r w:rsidRPr="007E7E1D">
        <w:rPr>
          <w:b/>
          <w:bCs/>
          <w:sz w:val="22"/>
          <w:szCs w:val="22"/>
        </w:rPr>
        <w:lastRenderedPageBreak/>
        <w:t>Organização Societária</w:t>
      </w:r>
    </w:p>
    <w:p w:rsidR="00401D01" w:rsidRDefault="00401D01" w:rsidP="00D119F5">
      <w:pPr>
        <w:spacing w:before="240" w:after="240"/>
        <w:jc w:val="center"/>
        <w:rPr>
          <w:b/>
          <w:bCs/>
          <w:sz w:val="22"/>
          <w:szCs w:val="22"/>
        </w:rPr>
      </w:pPr>
    </w:p>
    <w:p w:rsidR="00DC512A" w:rsidRPr="00F93ACC" w:rsidRDefault="003639BB" w:rsidP="00D119F5">
      <w:pPr>
        <w:spacing w:before="240" w:after="240"/>
        <w:jc w:val="center"/>
        <w:rPr>
          <w:b/>
          <w:bCs/>
          <w:sz w:val="22"/>
          <w:szCs w:val="22"/>
        </w:rPr>
      </w:pPr>
      <w:r w:rsidRPr="003639BB">
        <w:rPr>
          <w:b/>
          <w:bCs/>
          <w:noProof/>
          <w:sz w:val="22"/>
          <w:szCs w:val="22"/>
        </w:rPr>
        <w:drawing>
          <wp:inline distT="0" distB="0" distL="0" distR="0">
            <wp:extent cx="3840480" cy="1574358"/>
            <wp:effectExtent l="0" t="0" r="7620" b="0"/>
            <wp:docPr id="13"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4136" cy="2790406"/>
                      <a:chOff x="1331640" y="2082433"/>
                      <a:chExt cx="5764136" cy="2790406"/>
                    </a:xfrm>
                  </a:grpSpPr>
                  <a:pic>
                    <a:nvPicPr>
                      <a:cNvPr id="2" name="Picture 5" descr="35974"/>
                      <a:cNvPicPr>
                        <a:picLocks noChangeArrowheads="1"/>
                      </a:cNvPicPr>
                    </a:nvPicPr>
                    <a:blipFill>
                      <a:blip r:embed="rId24" cstate="print">
                        <a:extLst>
                          <a:ext uri="{28A0092B-C50C-407E-A947-70E740481C1C}">
                            <a14:useLocalDpi xmlns:a14="http://schemas.microsoft.com/office/drawing/2010/main" val="0"/>
                          </a:ext>
                        </a:extLst>
                      </a:blip>
                      <a:srcRect/>
                      <a:stretch>
                        <a:fillRect/>
                      </a:stretch>
                    </a:blipFill>
                    <a:spPr bwMode="auto">
                      <a:xfrm>
                        <a:off x="5508104" y="2132856"/>
                        <a:ext cx="676888" cy="542652"/>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pic>
                  <a:pic>
                    <a:nvPicPr>
                      <a:cNvPr id="3" name="Imagem 2" descr="Descrição: Descrição: cebpart_b"/>
                      <a:cNvPicPr/>
                    </a:nvPicPr>
                    <a:blipFill>
                      <a:blip r:embed="rId28" cstate="print">
                        <a:extLst>
                          <a:ext uri="{28A0092B-C50C-407E-A947-70E740481C1C}">
                            <a14:useLocalDpi xmlns:a14="http://schemas.microsoft.com/office/drawing/2010/main" val="0"/>
                          </a:ext>
                        </a:extLst>
                      </a:blip>
                      <a:srcRect/>
                      <a:stretch>
                        <a:fillRect/>
                      </a:stretch>
                    </a:blipFill>
                    <a:spPr bwMode="auto">
                      <a:xfrm>
                        <a:off x="6156176" y="2132856"/>
                        <a:ext cx="939600" cy="547200"/>
                      </a:xfrm>
                      <a:prstGeom prst="rect">
                        <a:avLst/>
                      </a:prstGeom>
                      <a:noFill/>
                      <a:ln>
                        <a:noFill/>
                      </a:ln>
                    </a:spPr>
                  </a:pic>
                  <a:sp>
                    <a:nvSpPr>
                      <a:cNvPr id="6" name="Line 37"/>
                      <a:cNvSpPr>
                        <a:spLocks noChangeShapeType="1"/>
                      </a:cNvSpPr>
                    </a:nvSpPr>
                    <a:spPr bwMode="auto">
                      <a:xfrm>
                        <a:off x="6617040" y="2705241"/>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7" name="Picture 4" descr="http://www.gruposerveng.com.br/MANAGER/fotos/site_empresa/grande_grande_corumb01062012.jpg"/>
                      <a:cNvPicPr>
                        <a:picLocks noChangeArrowheads="1"/>
                      </a:cNvPicPr>
                    </a:nvPicPr>
                    <a:blipFill rotWithShape="1">
                      <a:blip r:embed="rId25" cstate="print">
                        <a:extLst>
                          <a:ext uri="{28A0092B-C50C-407E-A947-70E740481C1C}">
                            <a14:useLocalDpi xmlns:a14="http://schemas.microsoft.com/office/drawing/2010/main" val="0"/>
                          </a:ext>
                        </a:extLst>
                      </a:blip>
                      <a:srcRect l="17805" t="26602" r="17154" b="30943"/>
                      <a:stretch/>
                    </a:blipFill>
                    <a:spPr bwMode="auto">
                      <a:xfrm>
                        <a:off x="3963624" y="4322039"/>
                        <a:ext cx="939600" cy="550800"/>
                      </a:xfrm>
                      <a:prstGeom prst="rect">
                        <a:avLst/>
                      </a:prstGeom>
                      <a:noFill/>
                      <a:extLst>
                        <a:ext uri="{909E8E84-426E-40DD-AFC4-6F175D3DCCD1}">
                          <a14:hiddenFill xmlns:a14="http://schemas.microsoft.com/office/drawing/2010/main">
                            <a:solidFill>
                              <a:srgbClr val="FFFFFF"/>
                            </a:solidFill>
                          </a14:hiddenFill>
                        </a:ext>
                      </a:extLst>
                    </a:spPr>
                  </a:pic>
                  <a:sp>
                    <a:nvSpPr>
                      <a:cNvPr id="8" name="Line 32"/>
                      <a:cNvSpPr>
                        <a:spLocks noChangeShapeType="1"/>
                      </a:cNvSpPr>
                    </a:nvSpPr>
                    <a:spPr bwMode="auto">
                      <a:xfrm flipH="1">
                        <a:off x="1883628" y="3837749"/>
                        <a:ext cx="4752256"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9" name="Line 33"/>
                      <a:cNvSpPr>
                        <a:spLocks noChangeShapeType="1"/>
                      </a:cNvSpPr>
                    </a:nvSpPr>
                    <a:spPr bwMode="auto">
                      <a:xfrm>
                        <a:off x="1878888" y="3569337"/>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0" name="Line 37"/>
                      <a:cNvSpPr>
                        <a:spLocks noChangeShapeType="1"/>
                      </a:cNvSpPr>
                    </a:nvSpPr>
                    <a:spPr bwMode="auto">
                      <a:xfrm>
                        <a:off x="4440346" y="3845999"/>
                        <a:ext cx="0" cy="378768"/>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1" name="Line 33"/>
                      <a:cNvSpPr>
                        <a:spLocks noChangeShapeType="1"/>
                      </a:cNvSpPr>
                    </a:nvSpPr>
                    <a:spPr bwMode="auto">
                      <a:xfrm>
                        <a:off x="6631416" y="3576695"/>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12" name="Picture 6" descr="http://www.gmkfreelogos.com/logos/C/img/CAESB.gif"/>
                      <a:cNvPicPr>
                        <a:picLocks noChangeArrowheads="1"/>
                      </a:cNvPicPr>
                    </a:nvPicPr>
                    <a:blipFill rotWithShape="1">
                      <a:blip r:embed="rId38" cstate="print">
                        <a:extLst>
                          <a:ext uri="{28A0092B-C50C-407E-A947-70E740481C1C}">
                            <a14:useLocalDpi xmlns:a14="http://schemas.microsoft.com/office/drawing/2010/main" val="0"/>
                          </a:ext>
                        </a:extLst>
                      </a:blip>
                      <a:srcRect t="27915" b="26686"/>
                      <a:stretch/>
                    </a:blipFill>
                    <a:spPr bwMode="auto">
                      <a:xfrm>
                        <a:off x="2454952" y="2204863"/>
                        <a:ext cx="892912" cy="442547"/>
                      </a:xfrm>
                      <a:prstGeom prst="rect">
                        <a:avLst/>
                      </a:prstGeom>
                      <a:noFill/>
                      <a:extLst>
                        <a:ext uri="{909E8E84-426E-40DD-AFC4-6F175D3DCCD1}">
                          <a14:hiddenFill xmlns:a14="http://schemas.microsoft.com/office/drawing/2010/main">
                            <a:solidFill>
                              <a:srgbClr val="FFFFFF"/>
                            </a:solidFill>
                          </a14:hiddenFill>
                        </a:ext>
                      </a:extLst>
                    </a:spPr>
                  </a:pic>
                  <a:pic>
                    <a:nvPicPr>
                      <a:cNvPr id="13" name="Picture 8" descr="http://www.sobreadministracao.com/wp-content/uploads/2011/09/Serveng-Logo.jpg"/>
                      <a:cNvPicPr>
                        <a:picLocks noChangeArrowheads="1"/>
                      </a:cNvPicPr>
                    </a:nvPicPr>
                    <a:blipFill>
                      <a:blip r:embed="rId39" cstate="print">
                        <a:extLst>
                          <a:ext uri="{28A0092B-C50C-407E-A947-70E740481C1C}">
                            <a14:useLocalDpi xmlns:a14="http://schemas.microsoft.com/office/drawing/2010/main" val="0"/>
                          </a:ext>
                        </a:extLst>
                      </a:blip>
                      <a:srcRect/>
                      <a:stretch>
                        <a:fillRect/>
                      </a:stretch>
                    </a:blipFill>
                    <a:spPr bwMode="auto">
                      <a:xfrm>
                        <a:off x="3535072" y="2204863"/>
                        <a:ext cx="748896" cy="475561"/>
                      </a:xfrm>
                      <a:prstGeom prst="rect">
                        <a:avLst/>
                      </a:prstGeom>
                      <a:noFill/>
                      <a:extLst>
                        <a:ext uri="{909E8E84-426E-40DD-AFC4-6F175D3DCCD1}">
                          <a14:hiddenFill xmlns:a14="http://schemas.microsoft.com/office/drawing/2010/main">
                            <a:solidFill>
                              <a:srgbClr val="FFFFFF"/>
                            </a:solidFill>
                          </a14:hiddenFill>
                        </a:ext>
                      </a:extLst>
                    </a:spPr>
                  </a:pic>
                  <a:pic>
                    <a:nvPicPr>
                      <a:cNvPr id="14" name="Picture 14" descr="http://www.hvec.com.br/arquivos/parceiros/parceiros10.png"/>
                      <a:cNvPicPr>
                        <a:picLocks noChangeArrowheads="1"/>
                      </a:cNvPicPr>
                    </a:nvPicPr>
                    <a:blipFill>
                      <a:blip r:embed="rId40" cstate="print">
                        <a:extLst>
                          <a:ext uri="{28A0092B-C50C-407E-A947-70E740481C1C}">
                            <a14:useLocalDpi xmlns:a14="http://schemas.microsoft.com/office/drawing/2010/main" val="0"/>
                          </a:ext>
                        </a:extLst>
                      </a:blip>
                      <a:srcRect/>
                      <a:stretch>
                        <a:fillRect/>
                      </a:stretch>
                    </a:blipFill>
                    <a:spPr bwMode="auto">
                      <a:xfrm>
                        <a:off x="4615192" y="2276871"/>
                        <a:ext cx="748896" cy="406071"/>
                      </a:xfrm>
                      <a:prstGeom prst="rect">
                        <a:avLst/>
                      </a:prstGeom>
                      <a:noFill/>
                      <a:extLst>
                        <a:ext uri="{909E8E84-426E-40DD-AFC4-6F175D3DCCD1}">
                          <a14:hiddenFill xmlns:a14="http://schemas.microsoft.com/office/drawing/2010/main">
                            <a:solidFill>
                              <a:srgbClr val="FFFFFF"/>
                            </a:solidFill>
                          </a14:hiddenFill>
                        </a:ext>
                      </a:extLst>
                    </a:spPr>
                  </a:pic>
                  <a:pic>
                    <a:nvPicPr>
                      <a:cNvPr id="15" name="Picture 16" descr="http://static.folhadirigida.com.br/cs/FolhaDirigida/imgStatic/949/579/terracap,0.jpg"/>
                      <a:cNvPicPr>
                        <a:picLocks noChangeArrowheads="1"/>
                      </a:cNvPicPr>
                    </a:nvPicPr>
                    <a:blipFill rotWithShape="1">
                      <a:blip r:embed="rId41" cstate="print">
                        <a:extLst>
                          <a:ext uri="{28A0092B-C50C-407E-A947-70E740481C1C}">
                            <a14:useLocalDpi xmlns:a14="http://schemas.microsoft.com/office/drawing/2010/main" val="0"/>
                          </a:ext>
                        </a:extLst>
                      </a:blip>
                      <a:srcRect l="6400" t="18342" r="5992" b="18567"/>
                      <a:stretch/>
                    </a:blipFill>
                    <a:spPr bwMode="auto">
                      <a:xfrm>
                        <a:off x="1446840" y="2082433"/>
                        <a:ext cx="939600" cy="550800"/>
                      </a:xfrm>
                      <a:prstGeom prst="rect">
                        <a:avLst/>
                      </a:prstGeom>
                      <a:noFill/>
                      <a:extLst>
                        <a:ext uri="{909E8E84-426E-40DD-AFC4-6F175D3DCCD1}">
                          <a14:hiddenFill xmlns:a14="http://schemas.microsoft.com/office/drawing/2010/main">
                            <a:solidFill>
                              <a:srgbClr val="FFFFFF"/>
                            </a:solidFill>
                          </a14:hiddenFill>
                        </a:ext>
                      </a:extLst>
                    </a:spPr>
                  </a:pic>
                  <a:sp>
                    <a:nvSpPr>
                      <a:cNvPr id="16" name="Line 37"/>
                      <a:cNvSpPr>
                        <a:spLocks noChangeShapeType="1"/>
                      </a:cNvSpPr>
                    </a:nvSpPr>
                    <a:spPr bwMode="auto">
                      <a:xfrm>
                        <a:off x="5122744" y="2705241"/>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7" name="Line 37"/>
                      <a:cNvSpPr>
                        <a:spLocks noChangeShapeType="1"/>
                      </a:cNvSpPr>
                    </a:nvSpPr>
                    <a:spPr bwMode="auto">
                      <a:xfrm>
                        <a:off x="3970616" y="2705241"/>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8" name="Line 37"/>
                      <a:cNvSpPr>
                        <a:spLocks noChangeShapeType="1"/>
                      </a:cNvSpPr>
                    </a:nvSpPr>
                    <a:spPr bwMode="auto">
                      <a:xfrm>
                        <a:off x="3034512" y="2705241"/>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9" name="Line 37"/>
                      <a:cNvSpPr>
                        <a:spLocks noChangeShapeType="1"/>
                      </a:cNvSpPr>
                    </a:nvSpPr>
                    <a:spPr bwMode="auto">
                      <a:xfrm>
                        <a:off x="1878888" y="2705241"/>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0" name="Line 37"/>
                      <a:cNvSpPr>
                        <a:spLocks noChangeShapeType="1"/>
                      </a:cNvSpPr>
                    </a:nvSpPr>
                    <a:spPr bwMode="auto">
                      <a:xfrm>
                        <a:off x="5911336" y="2705241"/>
                        <a:ext cx="0" cy="476954"/>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1" name="CaixaDeTexto 61"/>
                      <a:cNvSpPr txBox="1"/>
                    </a:nvSpPr>
                    <a:spPr>
                      <a:xfrm>
                        <a:off x="1331640" y="3189552"/>
                        <a:ext cx="925160" cy="307777"/>
                      </a:xfrm>
                      <a:prstGeom prst="rect">
                        <a:avLst/>
                      </a:prstGeom>
                      <a:noFill/>
                      <a:ln>
                        <a:noFill/>
                      </a:ln>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17,74%</a:t>
                          </a:r>
                          <a:endParaRPr lang="pt-BR" sz="1400" b="1" dirty="0">
                            <a:latin typeface="Arial" pitchFamily="34" charset="0"/>
                            <a:cs typeface="Arial" pitchFamily="34" charset="0"/>
                          </a:endParaRPr>
                        </a:p>
                      </a:txBody>
                      <a:useSpRect/>
                    </a:txSp>
                  </a:sp>
                  <a:sp>
                    <a:nvSpPr>
                      <a:cNvPr id="22" name="CaixaDeTexto 62"/>
                      <a:cNvSpPr txBox="1"/>
                    </a:nvSpPr>
                    <a:spPr>
                      <a:xfrm>
                        <a:off x="2674472" y="3189552"/>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8,8%</a:t>
                          </a:r>
                          <a:endParaRPr lang="pt-BR" sz="1400" b="1" dirty="0">
                            <a:latin typeface="Arial" pitchFamily="34" charset="0"/>
                            <a:cs typeface="Arial" pitchFamily="34" charset="0"/>
                          </a:endParaRPr>
                        </a:p>
                      </a:txBody>
                      <a:useSpRect/>
                    </a:txSp>
                  </a:sp>
                  <a:sp>
                    <a:nvSpPr>
                      <a:cNvPr id="23" name="CaixaDeTexto 63"/>
                      <a:cNvSpPr txBox="1"/>
                    </a:nvSpPr>
                    <a:spPr>
                      <a:xfrm>
                        <a:off x="3610576" y="3189552"/>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22,9%</a:t>
                          </a:r>
                          <a:endParaRPr lang="pt-BR" sz="1400" b="1" dirty="0">
                            <a:latin typeface="Arial" pitchFamily="34" charset="0"/>
                            <a:cs typeface="Arial" pitchFamily="34" charset="0"/>
                          </a:endParaRPr>
                        </a:p>
                      </a:txBody>
                      <a:useSpRect/>
                    </a:txSp>
                  </a:sp>
                  <a:sp>
                    <a:nvSpPr>
                      <a:cNvPr id="24" name="CaixaDeTexto 64"/>
                      <a:cNvSpPr txBox="1"/>
                    </a:nvSpPr>
                    <a:spPr>
                      <a:xfrm>
                        <a:off x="4762704" y="3189552"/>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a:latin typeface="Arial" pitchFamily="34" charset="0"/>
                              <a:cs typeface="Arial" pitchFamily="34" charset="0"/>
                            </a:rPr>
                            <a:t>3</a:t>
                          </a:r>
                          <a:r>
                            <a:rPr lang="pt-BR" sz="1400" b="1" dirty="0" smtClean="0">
                              <a:latin typeface="Arial" pitchFamily="34" charset="0"/>
                              <a:cs typeface="Arial" pitchFamily="34" charset="0"/>
                            </a:rPr>
                            <a:t>%</a:t>
                          </a:r>
                          <a:endParaRPr lang="pt-BR" sz="1400" b="1" dirty="0">
                            <a:latin typeface="Arial" pitchFamily="34" charset="0"/>
                            <a:cs typeface="Arial" pitchFamily="34" charset="0"/>
                          </a:endParaRPr>
                        </a:p>
                      </a:txBody>
                      <a:useSpRect/>
                    </a:txSp>
                  </a:sp>
                  <a:sp>
                    <a:nvSpPr>
                      <a:cNvPr id="25" name="CaixaDeTexto 65"/>
                      <a:cNvSpPr txBox="1"/>
                    </a:nvSpPr>
                    <a:spPr>
                      <a:xfrm>
                        <a:off x="5407280" y="3189552"/>
                        <a:ext cx="921728"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45,21%</a:t>
                          </a:r>
                          <a:endParaRPr lang="pt-BR" sz="1400" b="1" dirty="0">
                            <a:latin typeface="Arial" pitchFamily="34" charset="0"/>
                            <a:cs typeface="Arial" pitchFamily="34" charset="0"/>
                          </a:endParaRPr>
                        </a:p>
                      </a:txBody>
                      <a:useSpRect/>
                    </a:txSp>
                  </a:sp>
                  <a:sp>
                    <a:nvSpPr>
                      <a:cNvPr id="26" name="CaixaDeTexto 66"/>
                      <a:cNvSpPr txBox="1"/>
                    </a:nvSpPr>
                    <a:spPr>
                      <a:xfrm>
                        <a:off x="6253504" y="3189552"/>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2,35%</a:t>
                          </a:r>
                          <a:endParaRPr lang="pt-BR" sz="1400" b="1" dirty="0">
                            <a:latin typeface="Arial" pitchFamily="34" charset="0"/>
                            <a:cs typeface="Arial" pitchFamily="34" charset="0"/>
                          </a:endParaRPr>
                        </a:p>
                      </a:txBody>
                      <a:useSpRect/>
                    </a:txSp>
                  </a:sp>
                  <a:sp>
                    <a:nvSpPr>
                      <a:cNvPr id="27" name="Line 33"/>
                      <a:cNvSpPr>
                        <a:spLocks noChangeShapeType="1"/>
                      </a:cNvSpPr>
                    </a:nvSpPr>
                    <a:spPr bwMode="auto">
                      <a:xfrm>
                        <a:off x="3031016" y="3569337"/>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8" name="Line 33"/>
                      <a:cNvSpPr>
                        <a:spLocks noChangeShapeType="1"/>
                      </a:cNvSpPr>
                    </a:nvSpPr>
                    <a:spPr bwMode="auto">
                      <a:xfrm>
                        <a:off x="3967120" y="3569337"/>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9" name="Line 33"/>
                      <a:cNvSpPr>
                        <a:spLocks noChangeShapeType="1"/>
                      </a:cNvSpPr>
                    </a:nvSpPr>
                    <a:spPr bwMode="auto">
                      <a:xfrm>
                        <a:off x="5114780" y="3569337"/>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30" name="Line 33"/>
                      <a:cNvSpPr>
                        <a:spLocks noChangeShapeType="1"/>
                      </a:cNvSpPr>
                    </a:nvSpPr>
                    <a:spPr bwMode="auto">
                      <a:xfrm>
                        <a:off x="5911336" y="3569337"/>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lc:lockedCanvas>
              </a:graphicData>
            </a:graphic>
          </wp:inline>
        </w:drawing>
      </w:r>
    </w:p>
    <w:p w:rsidR="00DC512A" w:rsidRDefault="00DC512A" w:rsidP="00014A91">
      <w:pPr>
        <w:spacing w:before="240" w:after="240"/>
        <w:rPr>
          <w:b/>
          <w:sz w:val="22"/>
          <w:szCs w:val="22"/>
        </w:rPr>
      </w:pPr>
      <w:r w:rsidRPr="007E7E1D">
        <w:rPr>
          <w:b/>
          <w:sz w:val="22"/>
          <w:szCs w:val="22"/>
        </w:rPr>
        <w:t>Dados Econômico-Financeiros</w:t>
      </w:r>
    </w:p>
    <w:tbl>
      <w:tblPr>
        <w:tblW w:w="5000"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5178"/>
        <w:gridCol w:w="1655"/>
        <w:gridCol w:w="1655"/>
        <w:gridCol w:w="1650"/>
      </w:tblGrid>
      <w:tr w:rsidR="00014A91" w:rsidRPr="007E7E1D" w:rsidTr="00C73DFD">
        <w:trPr>
          <w:trHeight w:val="344"/>
          <w:tblHeader/>
          <w:jc w:val="center"/>
        </w:trPr>
        <w:tc>
          <w:tcPr>
            <w:tcW w:w="2554"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14A91" w:rsidRPr="00014A91" w:rsidRDefault="00014A91" w:rsidP="00B54C44">
            <w:pPr>
              <w:autoSpaceDE w:val="0"/>
              <w:autoSpaceDN w:val="0"/>
              <w:adjustRightInd w:val="0"/>
              <w:spacing w:line="264" w:lineRule="auto"/>
              <w:jc w:val="center"/>
              <w:rPr>
                <w:rFonts w:eastAsia="Calibri"/>
                <w:b/>
                <w:bCs/>
                <w:color w:val="FFFFFF" w:themeColor="background1"/>
                <w:lang w:eastAsia="en-US" w:bidi="en-US"/>
              </w:rPr>
            </w:pPr>
            <w:r w:rsidRPr="00014A91">
              <w:rPr>
                <w:rFonts w:eastAsia="Calibri"/>
                <w:b/>
                <w:bCs/>
                <w:color w:val="FFFFFF" w:themeColor="background1"/>
                <w:lang w:eastAsia="en-US" w:bidi="en-US"/>
              </w:rPr>
              <w:t xml:space="preserve"> (R$ Mil)</w:t>
            </w:r>
          </w:p>
        </w:tc>
        <w:tc>
          <w:tcPr>
            <w:tcW w:w="816"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14A91" w:rsidRPr="00014A91" w:rsidRDefault="00014A91" w:rsidP="00B54C44">
            <w:pPr>
              <w:autoSpaceDE w:val="0"/>
              <w:autoSpaceDN w:val="0"/>
              <w:adjustRightInd w:val="0"/>
              <w:spacing w:line="264" w:lineRule="auto"/>
              <w:jc w:val="center"/>
              <w:rPr>
                <w:rFonts w:eastAsia="Calibri"/>
                <w:b/>
                <w:bCs/>
                <w:color w:val="FFFFFF" w:themeColor="background1"/>
                <w:lang w:eastAsia="en-US" w:bidi="en-US"/>
              </w:rPr>
            </w:pPr>
            <w:r w:rsidRPr="00014A91">
              <w:rPr>
                <w:rFonts w:eastAsia="Calibri"/>
                <w:b/>
                <w:bCs/>
                <w:color w:val="FFFFFF" w:themeColor="background1"/>
                <w:lang w:eastAsia="en-US" w:bidi="en-US"/>
              </w:rPr>
              <w:t>2015</w:t>
            </w:r>
          </w:p>
        </w:tc>
        <w:tc>
          <w:tcPr>
            <w:tcW w:w="816"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14A91" w:rsidRPr="00014A91" w:rsidRDefault="00014A91" w:rsidP="00B54C44">
            <w:pPr>
              <w:autoSpaceDE w:val="0"/>
              <w:autoSpaceDN w:val="0"/>
              <w:adjustRightInd w:val="0"/>
              <w:spacing w:line="264" w:lineRule="auto"/>
              <w:jc w:val="center"/>
              <w:rPr>
                <w:rFonts w:eastAsia="Calibri"/>
                <w:b/>
                <w:bCs/>
                <w:color w:val="FFFFFF" w:themeColor="background1"/>
                <w:lang w:eastAsia="en-US" w:bidi="en-US"/>
              </w:rPr>
            </w:pPr>
            <w:r w:rsidRPr="00014A91">
              <w:rPr>
                <w:rFonts w:eastAsia="Calibri"/>
                <w:b/>
                <w:bCs/>
                <w:color w:val="FFFFFF" w:themeColor="background1"/>
                <w:lang w:eastAsia="en-US" w:bidi="en-US"/>
              </w:rPr>
              <w:t>2016</w:t>
            </w:r>
          </w:p>
        </w:tc>
        <w:tc>
          <w:tcPr>
            <w:tcW w:w="814"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014A91" w:rsidRPr="00014A91" w:rsidRDefault="00014A91" w:rsidP="00B54C44">
            <w:pPr>
              <w:jc w:val="center"/>
              <w:rPr>
                <w:b/>
                <w:bCs/>
                <w:snapToGrid w:val="0"/>
                <w:color w:val="FFFFFF" w:themeColor="background1"/>
                <w:lang w:eastAsia="en-US" w:bidi="en-US"/>
              </w:rPr>
            </w:pPr>
            <w:r w:rsidRPr="00014A91">
              <w:rPr>
                <w:b/>
                <w:bCs/>
                <w:snapToGrid w:val="0"/>
                <w:color w:val="FFFFFF" w:themeColor="background1"/>
                <w:lang w:eastAsia="en-US" w:bidi="en-US"/>
              </w:rPr>
              <w:t>Δ (R$)</w:t>
            </w:r>
          </w:p>
        </w:tc>
      </w:tr>
      <w:tr w:rsidR="00014A91" w:rsidRPr="007E7E1D" w:rsidTr="00B54C44">
        <w:trPr>
          <w:trHeight w:val="170"/>
          <w:jc w:val="center"/>
        </w:trPr>
        <w:tc>
          <w:tcPr>
            <w:tcW w:w="255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014A91">
            <w:pPr>
              <w:autoSpaceDE w:val="0"/>
              <w:autoSpaceDN w:val="0"/>
              <w:adjustRightInd w:val="0"/>
              <w:spacing w:line="264" w:lineRule="auto"/>
              <w:rPr>
                <w:rFonts w:eastAsia="Calibri"/>
                <w:b/>
                <w:bCs/>
                <w:lang w:eastAsia="en-US" w:bidi="en-US"/>
              </w:rPr>
            </w:pPr>
            <w:r w:rsidRPr="00014A91">
              <w:rPr>
                <w:rFonts w:eastAsia="Calibri"/>
                <w:b/>
                <w:bCs/>
                <w:lang w:eastAsia="en-US" w:bidi="en-US"/>
              </w:rPr>
              <w:t>Receita Operacional Bruta</w:t>
            </w:r>
          </w:p>
        </w:tc>
        <w:tc>
          <w:tcPr>
            <w:tcW w:w="816"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147.287</w:t>
            </w:r>
          </w:p>
        </w:tc>
        <w:tc>
          <w:tcPr>
            <w:tcW w:w="816"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177.856</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30.569</w:t>
            </w:r>
          </w:p>
        </w:tc>
      </w:tr>
      <w:tr w:rsidR="00014A91" w:rsidRPr="007E7E1D" w:rsidTr="00B54C44">
        <w:trPr>
          <w:trHeight w:val="170"/>
          <w:jc w:val="center"/>
        </w:trPr>
        <w:tc>
          <w:tcPr>
            <w:tcW w:w="2554" w:type="pct"/>
            <w:tcBorders>
              <w:top w:val="single" w:sz="8" w:space="0" w:color="DDDDDD"/>
              <w:left w:val="single" w:sz="8" w:space="0" w:color="DDDDDD"/>
              <w:bottom w:val="single" w:sz="8" w:space="0" w:color="DDDDDD"/>
              <w:right w:val="single" w:sz="8" w:space="0" w:color="DDDDDD"/>
            </w:tcBorders>
            <w:shd w:val="clear" w:color="auto" w:fill="auto"/>
            <w:vAlign w:val="center"/>
          </w:tcPr>
          <w:p w:rsidR="00014A91" w:rsidRPr="00014A91" w:rsidRDefault="00014A91" w:rsidP="00014A91">
            <w:pPr>
              <w:autoSpaceDE w:val="0"/>
              <w:autoSpaceDN w:val="0"/>
              <w:adjustRightInd w:val="0"/>
              <w:spacing w:line="264" w:lineRule="auto"/>
              <w:rPr>
                <w:rFonts w:eastAsia="Calibri"/>
                <w:b/>
                <w:bCs/>
                <w:lang w:eastAsia="en-US" w:bidi="en-US"/>
              </w:rPr>
            </w:pPr>
            <w:r w:rsidRPr="00014A91">
              <w:rPr>
                <w:rFonts w:eastAsia="Calibri"/>
                <w:b/>
                <w:bCs/>
                <w:lang w:eastAsia="en-US" w:bidi="en-US"/>
              </w:rPr>
              <w:t>Receita Operacional Líquida</w:t>
            </w:r>
          </w:p>
        </w:tc>
        <w:tc>
          <w:tcPr>
            <w:tcW w:w="816" w:type="pct"/>
            <w:tcBorders>
              <w:top w:val="single" w:sz="8" w:space="0" w:color="DDDDDD"/>
              <w:left w:val="single" w:sz="8" w:space="0" w:color="DDDDDD"/>
              <w:bottom w:val="single" w:sz="8" w:space="0" w:color="DDDDDD"/>
              <w:right w:val="single" w:sz="8" w:space="0" w:color="DDDDDD"/>
            </w:tcBorders>
            <w:shd w:val="clear" w:color="auto" w:fill="auto"/>
            <w:vAlign w:val="center"/>
          </w:tcPr>
          <w:p w:rsidR="00014A91" w:rsidRPr="00014A91" w:rsidRDefault="00014A91" w:rsidP="00B54C44">
            <w:pPr>
              <w:jc w:val="center"/>
              <w:rPr>
                <w:b/>
                <w:color w:val="000000"/>
              </w:rPr>
            </w:pPr>
            <w:r w:rsidRPr="00014A91">
              <w:rPr>
                <w:b/>
                <w:color w:val="000000"/>
              </w:rPr>
              <w:t>141.554</w:t>
            </w:r>
          </w:p>
        </w:tc>
        <w:tc>
          <w:tcPr>
            <w:tcW w:w="816" w:type="pct"/>
            <w:tcBorders>
              <w:top w:val="single" w:sz="8" w:space="0" w:color="DDDDDD"/>
              <w:left w:val="single" w:sz="8" w:space="0" w:color="DDDDDD"/>
              <w:bottom w:val="single" w:sz="8" w:space="0" w:color="DDDDDD"/>
              <w:right w:val="single" w:sz="8" w:space="0" w:color="DDDDDD"/>
            </w:tcBorders>
            <w:vAlign w:val="center"/>
          </w:tcPr>
          <w:p w:rsidR="00014A91" w:rsidRPr="00014A91" w:rsidRDefault="00014A91" w:rsidP="00B54C44">
            <w:pPr>
              <w:jc w:val="center"/>
              <w:rPr>
                <w:b/>
                <w:color w:val="000000"/>
              </w:rPr>
            </w:pPr>
            <w:r w:rsidRPr="00014A91">
              <w:rPr>
                <w:b/>
                <w:color w:val="000000"/>
              </w:rPr>
              <w:t>170.327</w:t>
            </w:r>
          </w:p>
        </w:tc>
        <w:tc>
          <w:tcPr>
            <w:tcW w:w="814" w:type="pct"/>
            <w:tcBorders>
              <w:top w:val="single" w:sz="8" w:space="0" w:color="DDDDDD"/>
              <w:left w:val="single" w:sz="8" w:space="0" w:color="DDDDDD"/>
              <w:bottom w:val="single" w:sz="8" w:space="0" w:color="DDDDDD"/>
              <w:right w:val="single" w:sz="8" w:space="0" w:color="DDDDDD"/>
            </w:tcBorders>
            <w:vAlign w:val="center"/>
          </w:tcPr>
          <w:p w:rsidR="00014A91" w:rsidRPr="00014A91" w:rsidRDefault="00014A91" w:rsidP="00B54C44">
            <w:pPr>
              <w:jc w:val="center"/>
              <w:rPr>
                <w:b/>
                <w:color w:val="000000"/>
              </w:rPr>
            </w:pPr>
            <w:r w:rsidRPr="00014A91">
              <w:rPr>
                <w:b/>
                <w:color w:val="000000"/>
              </w:rPr>
              <w:t>28.773</w:t>
            </w:r>
          </w:p>
        </w:tc>
      </w:tr>
      <w:tr w:rsidR="00014A91" w:rsidRPr="007E7E1D" w:rsidTr="00B54C44">
        <w:trPr>
          <w:trHeight w:val="170"/>
          <w:jc w:val="center"/>
        </w:trPr>
        <w:tc>
          <w:tcPr>
            <w:tcW w:w="255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014A91">
            <w:pPr>
              <w:autoSpaceDE w:val="0"/>
              <w:autoSpaceDN w:val="0"/>
              <w:adjustRightInd w:val="0"/>
              <w:spacing w:line="264" w:lineRule="auto"/>
              <w:rPr>
                <w:rFonts w:eastAsia="Calibri"/>
                <w:b/>
                <w:bCs/>
                <w:lang w:eastAsia="en-US" w:bidi="en-US"/>
              </w:rPr>
            </w:pPr>
            <w:r w:rsidRPr="00014A91">
              <w:rPr>
                <w:rFonts w:eastAsia="Calibri"/>
                <w:b/>
                <w:bCs/>
                <w:lang w:eastAsia="en-US" w:bidi="en-US"/>
              </w:rPr>
              <w:t>Resultado Operacional Líquido Antes dos Tributos</w:t>
            </w:r>
          </w:p>
        </w:tc>
        <w:tc>
          <w:tcPr>
            <w:tcW w:w="816"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(57.952)</w:t>
            </w:r>
          </w:p>
        </w:tc>
        <w:tc>
          <w:tcPr>
            <w:tcW w:w="816"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6.358</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64.310</w:t>
            </w:r>
          </w:p>
        </w:tc>
      </w:tr>
      <w:tr w:rsidR="00014A91" w:rsidRPr="007E7E1D" w:rsidTr="00B54C44">
        <w:trPr>
          <w:trHeight w:val="170"/>
          <w:jc w:val="center"/>
        </w:trPr>
        <w:tc>
          <w:tcPr>
            <w:tcW w:w="2554" w:type="pct"/>
            <w:tcBorders>
              <w:top w:val="single" w:sz="8" w:space="0" w:color="DDDDDD"/>
              <w:left w:val="single" w:sz="8" w:space="0" w:color="DDDDDD"/>
              <w:bottom w:val="single" w:sz="8" w:space="0" w:color="DDDDDD"/>
              <w:right w:val="single" w:sz="8" w:space="0" w:color="DDDDDD"/>
            </w:tcBorders>
            <w:shd w:val="clear" w:color="auto" w:fill="auto"/>
            <w:vAlign w:val="center"/>
          </w:tcPr>
          <w:p w:rsidR="00014A91" w:rsidRPr="00014A91" w:rsidRDefault="00014A91" w:rsidP="00014A91">
            <w:pPr>
              <w:autoSpaceDE w:val="0"/>
              <w:autoSpaceDN w:val="0"/>
              <w:adjustRightInd w:val="0"/>
              <w:spacing w:line="264" w:lineRule="auto"/>
              <w:rPr>
                <w:rFonts w:eastAsia="Calibri"/>
                <w:b/>
                <w:bCs/>
                <w:lang w:eastAsia="en-US" w:bidi="en-US"/>
              </w:rPr>
            </w:pPr>
            <w:r w:rsidRPr="00014A91">
              <w:rPr>
                <w:rFonts w:eastAsia="Calibri"/>
                <w:b/>
                <w:bCs/>
                <w:lang w:eastAsia="en-US" w:bidi="en-US"/>
              </w:rPr>
              <w:t>EBITDA</w:t>
            </w:r>
            <w:r>
              <w:rPr>
                <w:rFonts w:eastAsia="Calibri"/>
                <w:b/>
                <w:bCs/>
                <w:lang w:eastAsia="en-US" w:bidi="en-US"/>
              </w:rPr>
              <w:t xml:space="preserve"> (LAJIDA)</w:t>
            </w:r>
          </w:p>
        </w:tc>
        <w:tc>
          <w:tcPr>
            <w:tcW w:w="816" w:type="pct"/>
            <w:tcBorders>
              <w:top w:val="single" w:sz="8" w:space="0" w:color="DDDDDD"/>
              <w:left w:val="single" w:sz="8" w:space="0" w:color="DDDDDD"/>
              <w:bottom w:val="single" w:sz="8" w:space="0" w:color="DDDDDD"/>
              <w:right w:val="single" w:sz="8" w:space="0" w:color="DDDDDD"/>
            </w:tcBorders>
            <w:shd w:val="clear" w:color="auto" w:fill="auto"/>
            <w:vAlign w:val="center"/>
          </w:tcPr>
          <w:p w:rsidR="00014A91" w:rsidRPr="00014A91" w:rsidRDefault="00014A91" w:rsidP="00B54C44">
            <w:pPr>
              <w:jc w:val="center"/>
              <w:rPr>
                <w:b/>
                <w:color w:val="000000"/>
              </w:rPr>
            </w:pPr>
            <w:r w:rsidRPr="00014A91">
              <w:rPr>
                <w:b/>
                <w:color w:val="000000"/>
              </w:rPr>
              <w:t>35.242</w:t>
            </w:r>
          </w:p>
        </w:tc>
        <w:tc>
          <w:tcPr>
            <w:tcW w:w="816" w:type="pct"/>
            <w:tcBorders>
              <w:top w:val="single" w:sz="8" w:space="0" w:color="DDDDDD"/>
              <w:left w:val="single" w:sz="8" w:space="0" w:color="DDDDDD"/>
              <w:bottom w:val="single" w:sz="8" w:space="0" w:color="DDDDDD"/>
              <w:right w:val="single" w:sz="8" w:space="0" w:color="DDDDDD"/>
            </w:tcBorders>
            <w:vAlign w:val="center"/>
          </w:tcPr>
          <w:p w:rsidR="00014A91" w:rsidRPr="00014A91" w:rsidRDefault="00014A91" w:rsidP="00B54C44">
            <w:pPr>
              <w:jc w:val="center"/>
              <w:rPr>
                <w:b/>
                <w:color w:val="000000"/>
              </w:rPr>
            </w:pPr>
            <w:r w:rsidRPr="00014A91">
              <w:rPr>
                <w:b/>
                <w:color w:val="000000"/>
              </w:rPr>
              <w:t>97.292</w:t>
            </w:r>
          </w:p>
        </w:tc>
        <w:tc>
          <w:tcPr>
            <w:tcW w:w="814" w:type="pct"/>
            <w:tcBorders>
              <w:top w:val="single" w:sz="8" w:space="0" w:color="DDDDDD"/>
              <w:left w:val="single" w:sz="8" w:space="0" w:color="DDDDDD"/>
              <w:bottom w:val="single" w:sz="8" w:space="0" w:color="DDDDDD"/>
              <w:right w:val="single" w:sz="8" w:space="0" w:color="DDDDDD"/>
            </w:tcBorders>
            <w:vAlign w:val="center"/>
          </w:tcPr>
          <w:p w:rsidR="00014A91" w:rsidRPr="00014A91" w:rsidRDefault="00014A91" w:rsidP="00B54C44">
            <w:pPr>
              <w:jc w:val="center"/>
              <w:rPr>
                <w:b/>
                <w:color w:val="000000"/>
              </w:rPr>
            </w:pPr>
            <w:r w:rsidRPr="00014A91">
              <w:rPr>
                <w:b/>
                <w:color w:val="000000"/>
              </w:rPr>
              <w:t>62.050</w:t>
            </w:r>
          </w:p>
        </w:tc>
      </w:tr>
      <w:tr w:rsidR="00014A91" w:rsidRPr="007E7E1D" w:rsidTr="00B54C44">
        <w:trPr>
          <w:trHeight w:val="170"/>
          <w:jc w:val="center"/>
        </w:trPr>
        <w:tc>
          <w:tcPr>
            <w:tcW w:w="255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014A91">
            <w:pPr>
              <w:autoSpaceDE w:val="0"/>
              <w:autoSpaceDN w:val="0"/>
              <w:adjustRightInd w:val="0"/>
              <w:spacing w:line="264" w:lineRule="auto"/>
              <w:rPr>
                <w:rFonts w:eastAsia="Calibri"/>
                <w:b/>
                <w:bCs/>
                <w:lang w:eastAsia="en-US" w:bidi="en-US"/>
              </w:rPr>
            </w:pPr>
            <w:r w:rsidRPr="00014A91">
              <w:rPr>
                <w:rFonts w:eastAsia="Calibri"/>
                <w:b/>
                <w:bCs/>
                <w:lang w:eastAsia="en-US" w:bidi="en-US"/>
              </w:rPr>
              <w:t>Lucro Líquido (Prejuízo)</w:t>
            </w:r>
          </w:p>
        </w:tc>
        <w:tc>
          <w:tcPr>
            <w:tcW w:w="816"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(38.628)</w:t>
            </w:r>
          </w:p>
        </w:tc>
        <w:tc>
          <w:tcPr>
            <w:tcW w:w="816"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4.765</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014A91" w:rsidRPr="00014A91" w:rsidRDefault="00014A91" w:rsidP="00B54C44">
            <w:pPr>
              <w:jc w:val="center"/>
              <w:rPr>
                <w:b/>
                <w:color w:val="000000"/>
              </w:rPr>
            </w:pPr>
            <w:r w:rsidRPr="00014A91">
              <w:rPr>
                <w:b/>
                <w:color w:val="000000"/>
              </w:rPr>
              <w:t>43.393</w:t>
            </w:r>
          </w:p>
        </w:tc>
      </w:tr>
      <w:tr w:rsidR="00014A91" w:rsidRPr="007E7E1D" w:rsidTr="00B54C44">
        <w:trPr>
          <w:trHeight w:val="170"/>
          <w:jc w:val="center"/>
        </w:trPr>
        <w:tc>
          <w:tcPr>
            <w:tcW w:w="2554" w:type="pct"/>
            <w:tcBorders>
              <w:top w:val="single" w:sz="8" w:space="0" w:color="DDDDDD"/>
              <w:left w:val="single" w:sz="8" w:space="0" w:color="DDDDDD"/>
              <w:bottom w:val="single" w:sz="8" w:space="0" w:color="DDDDDD"/>
              <w:right w:val="single" w:sz="8" w:space="0" w:color="DDDDDD"/>
            </w:tcBorders>
            <w:shd w:val="clear" w:color="auto" w:fill="auto"/>
            <w:vAlign w:val="center"/>
          </w:tcPr>
          <w:p w:rsidR="00014A91" w:rsidRPr="00014A91" w:rsidRDefault="00014A91" w:rsidP="00014A91">
            <w:pPr>
              <w:autoSpaceDE w:val="0"/>
              <w:autoSpaceDN w:val="0"/>
              <w:adjustRightInd w:val="0"/>
              <w:spacing w:line="264" w:lineRule="auto"/>
              <w:rPr>
                <w:rFonts w:eastAsia="Calibri"/>
                <w:b/>
                <w:bCs/>
                <w:lang w:eastAsia="en-US" w:bidi="en-US"/>
              </w:rPr>
            </w:pPr>
            <w:r w:rsidRPr="00014A91">
              <w:rPr>
                <w:rFonts w:eastAsia="Calibri"/>
                <w:b/>
                <w:bCs/>
                <w:lang w:eastAsia="en-US" w:bidi="en-US"/>
              </w:rPr>
              <w:t>Patrimônio Líquido</w:t>
            </w:r>
          </w:p>
        </w:tc>
        <w:tc>
          <w:tcPr>
            <w:tcW w:w="816" w:type="pct"/>
            <w:tcBorders>
              <w:top w:val="single" w:sz="8" w:space="0" w:color="DDDDDD"/>
              <w:left w:val="single" w:sz="8" w:space="0" w:color="DDDDDD"/>
              <w:bottom w:val="single" w:sz="8" w:space="0" w:color="DDDDDD"/>
              <w:right w:val="single" w:sz="8" w:space="0" w:color="DDDDDD"/>
            </w:tcBorders>
            <w:shd w:val="clear" w:color="auto" w:fill="auto"/>
            <w:vAlign w:val="center"/>
          </w:tcPr>
          <w:p w:rsidR="00014A91" w:rsidRPr="00014A91" w:rsidRDefault="00014A91" w:rsidP="00B54C44">
            <w:pPr>
              <w:jc w:val="center"/>
              <w:rPr>
                <w:b/>
                <w:color w:val="000000"/>
              </w:rPr>
            </w:pPr>
            <w:r w:rsidRPr="00014A91">
              <w:rPr>
                <w:b/>
                <w:color w:val="000000"/>
              </w:rPr>
              <w:t>153.461</w:t>
            </w:r>
          </w:p>
        </w:tc>
        <w:tc>
          <w:tcPr>
            <w:tcW w:w="816" w:type="pct"/>
            <w:tcBorders>
              <w:top w:val="single" w:sz="8" w:space="0" w:color="DDDDDD"/>
              <w:left w:val="single" w:sz="8" w:space="0" w:color="DDDDDD"/>
              <w:bottom w:val="single" w:sz="8" w:space="0" w:color="DDDDDD"/>
              <w:right w:val="single" w:sz="8" w:space="0" w:color="DDDDDD"/>
            </w:tcBorders>
            <w:vAlign w:val="center"/>
          </w:tcPr>
          <w:p w:rsidR="00014A91" w:rsidRPr="00014A91" w:rsidRDefault="00014A91" w:rsidP="00B54C44">
            <w:pPr>
              <w:jc w:val="center"/>
              <w:rPr>
                <w:b/>
                <w:color w:val="000000"/>
              </w:rPr>
            </w:pPr>
            <w:r w:rsidRPr="00014A91">
              <w:rPr>
                <w:b/>
                <w:color w:val="000000"/>
              </w:rPr>
              <w:t>157.774</w:t>
            </w:r>
          </w:p>
        </w:tc>
        <w:tc>
          <w:tcPr>
            <w:tcW w:w="814" w:type="pct"/>
            <w:tcBorders>
              <w:top w:val="single" w:sz="8" w:space="0" w:color="DDDDDD"/>
              <w:left w:val="single" w:sz="8" w:space="0" w:color="DDDDDD"/>
              <w:bottom w:val="single" w:sz="8" w:space="0" w:color="DDDDDD"/>
              <w:right w:val="single" w:sz="8" w:space="0" w:color="DDDDDD"/>
            </w:tcBorders>
            <w:vAlign w:val="center"/>
          </w:tcPr>
          <w:p w:rsidR="00014A91" w:rsidRPr="00014A91" w:rsidRDefault="00014A91" w:rsidP="00B54C44">
            <w:pPr>
              <w:jc w:val="center"/>
              <w:rPr>
                <w:b/>
                <w:color w:val="000000"/>
              </w:rPr>
            </w:pPr>
            <w:r w:rsidRPr="00014A91">
              <w:rPr>
                <w:b/>
                <w:color w:val="000000"/>
              </w:rPr>
              <w:t>4.313</w:t>
            </w:r>
          </w:p>
        </w:tc>
      </w:tr>
    </w:tbl>
    <w:p w:rsidR="00014A91" w:rsidRPr="007E7E1D" w:rsidRDefault="00014A91" w:rsidP="00014A91">
      <w:pPr>
        <w:spacing w:before="40" w:after="240"/>
        <w:rPr>
          <w:rFonts w:eastAsia="Calibri"/>
          <w:b/>
          <w:bCs/>
          <w:sz w:val="16"/>
          <w:szCs w:val="16"/>
        </w:rPr>
      </w:pPr>
      <w:r w:rsidRPr="007E7E1D">
        <w:rPr>
          <w:rFonts w:eastAsia="Calibri"/>
          <w:b/>
          <w:bCs/>
          <w:sz w:val="16"/>
          <w:szCs w:val="16"/>
        </w:rPr>
        <w:t>Fonte: Demonstrações Contábeis da Corumbá Concessões S.A.</w:t>
      </w:r>
    </w:p>
    <w:p w:rsidR="00983605" w:rsidRPr="007E7E1D" w:rsidRDefault="00663A9B" w:rsidP="00DC512A">
      <w:pPr>
        <w:spacing w:before="240" w:after="240"/>
        <w:jc w:val="both"/>
        <w:rPr>
          <w:bCs/>
          <w:sz w:val="22"/>
          <w:szCs w:val="22"/>
        </w:rPr>
      </w:pPr>
      <w:r w:rsidRPr="007E7E1D">
        <w:rPr>
          <w:bCs/>
          <w:sz w:val="22"/>
          <w:szCs w:val="22"/>
        </w:rPr>
        <w:t xml:space="preserve">Os problemas originados do processo construtivo da Usina Corumbá IV causaram demandas por ressarcimentos tratados em ambientes arbitral e judicial, que explicam o prejuízo apurado no exercício </w:t>
      </w:r>
      <w:r w:rsidR="00B07DD1">
        <w:rPr>
          <w:bCs/>
          <w:sz w:val="22"/>
          <w:szCs w:val="22"/>
        </w:rPr>
        <w:t>d</w:t>
      </w:r>
      <w:r w:rsidRPr="007E7E1D">
        <w:rPr>
          <w:bCs/>
          <w:sz w:val="22"/>
          <w:szCs w:val="22"/>
        </w:rPr>
        <w:t>e 2015.</w:t>
      </w:r>
    </w:p>
    <w:p w:rsidR="00052483" w:rsidRDefault="00B07DD1" w:rsidP="00DC512A">
      <w:pPr>
        <w:spacing w:before="240" w:after="240"/>
        <w:jc w:val="both"/>
        <w:rPr>
          <w:bCs/>
          <w:sz w:val="22"/>
          <w:szCs w:val="22"/>
        </w:rPr>
      </w:pPr>
      <w:r>
        <w:rPr>
          <w:bCs/>
          <w:sz w:val="22"/>
          <w:szCs w:val="22"/>
        </w:rPr>
        <w:t>Em 2016 foi registrado lucro em pequena dimensão (R$ 4.765 mil), revertendo a tendência de apurações de preju</w:t>
      </w:r>
      <w:r w:rsidR="00BE69CC">
        <w:rPr>
          <w:bCs/>
          <w:sz w:val="22"/>
          <w:szCs w:val="22"/>
        </w:rPr>
        <w:t>ízos ocorrido</w:t>
      </w:r>
      <w:r>
        <w:rPr>
          <w:bCs/>
          <w:sz w:val="22"/>
          <w:szCs w:val="22"/>
        </w:rPr>
        <w:t>s em 2014 e 2015.</w:t>
      </w:r>
    </w:p>
    <w:p w:rsidR="003B4394" w:rsidRPr="003B4394" w:rsidRDefault="00052483" w:rsidP="003B4394">
      <w:pPr>
        <w:spacing w:before="240" w:after="240"/>
        <w:jc w:val="both"/>
        <w:rPr>
          <w:bCs/>
          <w:sz w:val="22"/>
          <w:szCs w:val="22"/>
        </w:rPr>
      </w:pPr>
      <w:r>
        <w:rPr>
          <w:bCs/>
          <w:sz w:val="22"/>
          <w:szCs w:val="22"/>
        </w:rPr>
        <w:t xml:space="preserve">Tal resultado positivo foi causado, </w:t>
      </w:r>
      <w:r w:rsidR="00BE69CC">
        <w:rPr>
          <w:bCs/>
          <w:sz w:val="22"/>
          <w:szCs w:val="22"/>
        </w:rPr>
        <w:t>primordialmente</w:t>
      </w:r>
      <w:r w:rsidR="00D62957">
        <w:rPr>
          <w:bCs/>
          <w:sz w:val="22"/>
          <w:szCs w:val="22"/>
        </w:rPr>
        <w:t>,</w:t>
      </w:r>
      <w:r w:rsidR="003B4394" w:rsidRPr="003B4394">
        <w:rPr>
          <w:rFonts w:ascii="Calibri" w:eastAsiaTheme="minorHAnsi" w:hAnsi="Calibri"/>
          <w:sz w:val="22"/>
          <w:szCs w:val="22"/>
        </w:rPr>
        <w:t xml:space="preserve"> </w:t>
      </w:r>
      <w:r w:rsidR="003B4394">
        <w:rPr>
          <w:rFonts w:ascii="Calibri" w:eastAsiaTheme="minorHAnsi" w:hAnsi="Calibri"/>
          <w:sz w:val="22"/>
          <w:szCs w:val="22"/>
        </w:rPr>
        <w:t xml:space="preserve"> pela </w:t>
      </w:r>
      <w:r w:rsidR="003B4394" w:rsidRPr="003B4394">
        <w:rPr>
          <w:bCs/>
          <w:sz w:val="22"/>
          <w:szCs w:val="22"/>
        </w:rPr>
        <w:t>absorção de prejuízos acumulados por meio de redução de capital social, evento esse aprovado na 2</w:t>
      </w:r>
      <w:r w:rsidR="003B4394" w:rsidRPr="003B4394">
        <w:rPr>
          <w:bCs/>
          <w:sz w:val="22"/>
          <w:szCs w:val="22"/>
          <w:vertAlign w:val="superscript"/>
        </w:rPr>
        <w:t>a</w:t>
      </w:r>
      <w:r w:rsidR="003B4394" w:rsidRPr="003B4394">
        <w:rPr>
          <w:bCs/>
          <w:sz w:val="22"/>
          <w:szCs w:val="22"/>
        </w:rPr>
        <w:t xml:space="preserve"> Assembleia Geral Extraordinária, de 29 de novembro de 2016. Cabe ressaltar que essa absorção de resultados negativos anteriores não alterou as estrutural patrimonial do empreendimento. </w:t>
      </w:r>
    </w:p>
    <w:p w:rsidR="00052483" w:rsidRDefault="008241C9" w:rsidP="00DC512A">
      <w:pPr>
        <w:spacing w:before="240" w:after="240"/>
        <w:jc w:val="both"/>
        <w:rPr>
          <w:bCs/>
          <w:sz w:val="22"/>
          <w:szCs w:val="22"/>
        </w:rPr>
      </w:pPr>
      <w:r w:rsidRPr="007E7E1D">
        <w:rPr>
          <w:bCs/>
          <w:sz w:val="22"/>
          <w:szCs w:val="22"/>
        </w:rPr>
        <w:t>Por outro lado, a estrutura de endividamento que restou, principalmente, em decorrência da demanda arbitral</w:t>
      </w:r>
      <w:r w:rsidR="00506D0E">
        <w:rPr>
          <w:bCs/>
          <w:sz w:val="22"/>
          <w:szCs w:val="22"/>
        </w:rPr>
        <w:t>,</w:t>
      </w:r>
      <w:r w:rsidR="00BE69CC">
        <w:rPr>
          <w:bCs/>
          <w:sz w:val="22"/>
          <w:szCs w:val="22"/>
        </w:rPr>
        <w:t xml:space="preserve"> cujo desfecho ocorreu em 2014</w:t>
      </w:r>
      <w:r w:rsidRPr="007E7E1D">
        <w:rPr>
          <w:bCs/>
          <w:sz w:val="22"/>
          <w:szCs w:val="22"/>
        </w:rPr>
        <w:t xml:space="preserve">, produz resultados financeiros negativos que exigirão </w:t>
      </w:r>
      <w:r w:rsidR="000F4CE1" w:rsidRPr="007E7E1D">
        <w:rPr>
          <w:bCs/>
          <w:sz w:val="22"/>
          <w:szCs w:val="22"/>
        </w:rPr>
        <w:t>longo período para superação das obrigações relativ</w:t>
      </w:r>
      <w:r w:rsidR="00713A1C">
        <w:rPr>
          <w:bCs/>
          <w:sz w:val="22"/>
          <w:szCs w:val="22"/>
        </w:rPr>
        <w:t>a</w:t>
      </w:r>
      <w:r w:rsidR="000F4CE1" w:rsidRPr="007E7E1D">
        <w:rPr>
          <w:bCs/>
          <w:sz w:val="22"/>
          <w:szCs w:val="22"/>
        </w:rPr>
        <w:t>s aos encargos de dívidas, situação que compromete a apuração de resultados satisfatórios nos próximos anos</w:t>
      </w:r>
      <w:r w:rsidR="00052483">
        <w:rPr>
          <w:bCs/>
          <w:sz w:val="22"/>
          <w:szCs w:val="22"/>
        </w:rPr>
        <w:t>, bem como insuficiência de capital de giro.</w:t>
      </w:r>
    </w:p>
    <w:p w:rsidR="00FB49EC" w:rsidRPr="007E7E1D" w:rsidRDefault="00052483" w:rsidP="00DC512A">
      <w:pPr>
        <w:spacing w:before="240" w:after="240"/>
        <w:jc w:val="both"/>
        <w:rPr>
          <w:bCs/>
          <w:sz w:val="22"/>
          <w:szCs w:val="22"/>
        </w:rPr>
      </w:pPr>
      <w:r>
        <w:rPr>
          <w:bCs/>
          <w:sz w:val="22"/>
          <w:szCs w:val="22"/>
        </w:rPr>
        <w:t xml:space="preserve">Por esta razão, os acionistas realizaram operações de mútuo para suprir as dificuldades de caixa da Empresa, restando à CEB e à CEB Participações S.A., as formalizações de empréstimos nos </w:t>
      </w:r>
      <w:r w:rsidRPr="00224640">
        <w:rPr>
          <w:bCs/>
          <w:sz w:val="22"/>
          <w:szCs w:val="22"/>
        </w:rPr>
        <w:t xml:space="preserve">valores de R$ </w:t>
      </w:r>
      <w:r w:rsidR="00224640" w:rsidRPr="00224640">
        <w:rPr>
          <w:bCs/>
          <w:sz w:val="22"/>
          <w:szCs w:val="22"/>
        </w:rPr>
        <w:t>3.706 mil</w:t>
      </w:r>
      <w:r w:rsidRPr="00224640">
        <w:rPr>
          <w:bCs/>
          <w:sz w:val="22"/>
          <w:szCs w:val="22"/>
        </w:rPr>
        <w:t xml:space="preserve"> e </w:t>
      </w:r>
      <w:r w:rsidR="003F31F1">
        <w:rPr>
          <w:bCs/>
          <w:sz w:val="22"/>
          <w:szCs w:val="22"/>
        </w:rPr>
        <w:t xml:space="preserve">   </w:t>
      </w:r>
      <w:r w:rsidRPr="00224640">
        <w:rPr>
          <w:bCs/>
          <w:sz w:val="22"/>
          <w:szCs w:val="22"/>
        </w:rPr>
        <w:t>R$</w:t>
      </w:r>
      <w:r w:rsidR="00224640" w:rsidRPr="00224640">
        <w:rPr>
          <w:bCs/>
          <w:sz w:val="22"/>
          <w:szCs w:val="22"/>
        </w:rPr>
        <w:t xml:space="preserve"> 192 mil</w:t>
      </w:r>
      <w:r w:rsidRPr="00224640">
        <w:rPr>
          <w:bCs/>
          <w:sz w:val="22"/>
          <w:szCs w:val="22"/>
        </w:rPr>
        <w:t>, respectivamente.</w:t>
      </w:r>
      <w:r w:rsidR="00FB49EC" w:rsidRPr="007E7E1D">
        <w:rPr>
          <w:bCs/>
          <w:sz w:val="22"/>
          <w:szCs w:val="22"/>
        </w:rPr>
        <w:t xml:space="preserve"> </w:t>
      </w:r>
    </w:p>
    <w:p w:rsidR="00983605" w:rsidRPr="007E7E1D" w:rsidRDefault="00983605" w:rsidP="00EA7B2C">
      <w:pPr>
        <w:rPr>
          <w:b/>
          <w:bCs/>
          <w:sz w:val="22"/>
          <w:szCs w:val="22"/>
        </w:rPr>
      </w:pPr>
      <w:bookmarkStart w:id="6" w:name="_Toc444790556"/>
      <w:r w:rsidRPr="007E7E1D">
        <w:rPr>
          <w:b/>
          <w:bCs/>
          <w:sz w:val="22"/>
          <w:szCs w:val="22"/>
        </w:rPr>
        <w:t>Empresa Controlada em Conjunto</w:t>
      </w:r>
      <w:bookmarkEnd w:id="6"/>
    </w:p>
    <w:p w:rsidR="00983605" w:rsidRPr="007E7E1D" w:rsidRDefault="00983605" w:rsidP="00983605">
      <w:pPr>
        <w:spacing w:before="240" w:after="240"/>
        <w:rPr>
          <w:b/>
          <w:bCs/>
          <w:sz w:val="22"/>
          <w:szCs w:val="22"/>
        </w:rPr>
      </w:pPr>
      <w:r w:rsidRPr="007E7E1D">
        <w:rPr>
          <w:b/>
          <w:bCs/>
          <w:sz w:val="22"/>
          <w:szCs w:val="22"/>
        </w:rPr>
        <w:t>Energética Corumbá III S.A.</w:t>
      </w:r>
    </w:p>
    <w:p w:rsidR="00690BCF" w:rsidRDefault="00BE69CC" w:rsidP="00F62C5A">
      <w:pPr>
        <w:spacing w:before="240" w:after="240"/>
        <w:jc w:val="both"/>
        <w:rPr>
          <w:b/>
          <w:bCs/>
          <w:sz w:val="22"/>
          <w:szCs w:val="22"/>
        </w:rPr>
      </w:pPr>
      <w:r w:rsidRPr="00BE69CC">
        <w:rPr>
          <w:bCs/>
          <w:sz w:val="22"/>
          <w:szCs w:val="22"/>
        </w:rPr>
        <w:t>A Energética Corumbá III S</w:t>
      </w:r>
      <w:r>
        <w:rPr>
          <w:bCs/>
          <w:sz w:val="22"/>
          <w:szCs w:val="22"/>
        </w:rPr>
        <w:t>.</w:t>
      </w:r>
      <w:r w:rsidRPr="00BE69CC">
        <w:rPr>
          <w:bCs/>
          <w:sz w:val="22"/>
          <w:szCs w:val="22"/>
        </w:rPr>
        <w:t>A</w:t>
      </w:r>
      <w:r>
        <w:rPr>
          <w:bCs/>
          <w:sz w:val="22"/>
          <w:szCs w:val="22"/>
        </w:rPr>
        <w:t>.</w:t>
      </w:r>
      <w:r w:rsidRPr="00BE69CC">
        <w:rPr>
          <w:bCs/>
          <w:sz w:val="22"/>
          <w:szCs w:val="22"/>
        </w:rPr>
        <w:t xml:space="preserve"> é uma sociedade por ações de capital fechado, constituída em 25 de julho de 2001, concessionária do serviço público de energia elétrica, na condição de produtora independente. A CEB detém uma participação de 37,5% do capital social, sendo 25% das ações ordinárias e 50% das ações preferenciais.</w:t>
      </w:r>
      <w:r w:rsidR="00690BCF">
        <w:rPr>
          <w:b/>
          <w:bCs/>
          <w:sz w:val="22"/>
          <w:szCs w:val="22"/>
        </w:rPr>
        <w:br w:type="page"/>
      </w:r>
    </w:p>
    <w:p w:rsidR="00983605" w:rsidRPr="007E7E1D" w:rsidRDefault="00983605" w:rsidP="00983605">
      <w:pPr>
        <w:spacing w:before="240" w:after="240"/>
        <w:rPr>
          <w:b/>
          <w:bCs/>
          <w:sz w:val="22"/>
          <w:szCs w:val="22"/>
        </w:rPr>
      </w:pPr>
      <w:r w:rsidRPr="007E7E1D">
        <w:rPr>
          <w:b/>
          <w:bCs/>
          <w:sz w:val="22"/>
          <w:szCs w:val="22"/>
        </w:rPr>
        <w:lastRenderedPageBreak/>
        <w:t>Organização Societária</w:t>
      </w:r>
    </w:p>
    <w:p w:rsidR="00DC512A" w:rsidRPr="00F93ACC" w:rsidRDefault="00904360" w:rsidP="005A620D">
      <w:pPr>
        <w:spacing w:before="240" w:after="240"/>
        <w:jc w:val="center"/>
        <w:rPr>
          <w:b/>
          <w:bCs/>
          <w:sz w:val="22"/>
          <w:szCs w:val="22"/>
        </w:rPr>
      </w:pPr>
      <w:r w:rsidRPr="00904360">
        <w:rPr>
          <w:b/>
          <w:bCs/>
          <w:noProof/>
          <w:sz w:val="22"/>
          <w:szCs w:val="22"/>
        </w:rPr>
        <w:drawing>
          <wp:inline distT="0" distB="0" distL="0" distR="0">
            <wp:extent cx="3674853" cy="2493034"/>
            <wp:effectExtent l="0" t="0" r="1797" b="0"/>
            <wp:docPr id="17"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61003" cy="5905157"/>
                      <a:chOff x="241499" y="476421"/>
                      <a:chExt cx="8661003" cy="5905157"/>
                    </a:xfrm>
                  </a:grpSpPr>
                  <a:pic>
                    <a:nvPicPr>
                      <a:cNvPr id="2" name="Picture 2" descr="Corumbá III"/>
                      <a:cNvPicPr>
                        <a:picLocks noChangeAspect="1" noChangeArrowheads="1"/>
                      </a:cNvPicPr>
                    </a:nvPicPr>
                    <a:blipFill>
                      <a:blip r:embed="rId44" cstate="print">
                        <a:extLst>
                          <a:ext uri="{28A0092B-C50C-407E-A947-70E740481C1C}">
                            <a14:useLocalDpi xmlns:a14="http://schemas.microsoft.com/office/drawing/2010/main" val="0"/>
                          </a:ext>
                        </a:extLst>
                      </a:blip>
                      <a:srcRect/>
                      <a:stretch>
                        <a:fillRect/>
                      </a:stretch>
                    </a:blipFill>
                    <a:spPr bwMode="auto">
                      <a:xfrm>
                        <a:off x="3337124" y="5719591"/>
                        <a:ext cx="2232025" cy="66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sp>
                    <a:nvSpPr>
                      <a:cNvPr id="3" name="Line 7"/>
                      <a:cNvSpPr>
                        <a:spLocks noChangeShapeType="1"/>
                      </a:cNvSpPr>
                    </a:nvSpPr>
                    <a:spPr bwMode="auto">
                      <a:xfrm flipH="1">
                        <a:off x="673299" y="2118446"/>
                        <a:ext cx="3167062" cy="1587"/>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pic>
                    <a:nvPicPr>
                      <a:cNvPr id="4" name="Object 2"/>
                      <a:cNvPicPr>
                        <a:picLocks noChangeAspect="1" noChangeArrowheads="1"/>
                      </a:cNvPicPr>
                    </a:nvPicPr>
                    <a:blipFill>
                      <a:blip r:embed="rId45"/>
                      <a:srcRect/>
                      <a:stretch>
                        <a:fillRect/>
                      </a:stretch>
                    </a:blipFill>
                    <a:spPr bwMode="auto">
                      <a:xfrm>
                        <a:off x="1170186" y="2479503"/>
                        <a:ext cx="1790700" cy="495300"/>
                      </a:xfrm>
                      <a:prstGeom prst="rect">
                        <a:avLst/>
                      </a:prstGeom>
                      <a:noFill/>
                      <a:ln w="9525">
                        <a:miter lim="800000"/>
                        <a:headEnd/>
                        <a:tailEnd/>
                      </a:ln>
                      <a:effectLst/>
                    </a:spPr>
                  </a:pic>
                  <a:pic>
                    <a:nvPicPr>
                      <a:cNvPr id="5" name="Picture 9" descr="CORUMBA III - 1"/>
                      <a:cNvPicPr>
                        <a:picLocks noChangeAspect="1" noChangeArrowheads="1"/>
                      </a:cNvPicPr>
                    </a:nvPicPr>
                    <a:blipFill>
                      <a:blip r:embed="rId32" cstate="print">
                        <a:extLst>
                          <a:ext uri="{28A0092B-C50C-407E-A947-70E740481C1C}">
                            <a14:useLocalDpi xmlns:a14="http://schemas.microsoft.com/office/drawing/2010/main" val="0"/>
                          </a:ext>
                        </a:extLst>
                      </a:blip>
                      <a:srcRect/>
                      <a:stretch>
                        <a:fillRect/>
                      </a:stretch>
                    </a:blipFill>
                    <a:spPr bwMode="auto">
                      <a:xfrm>
                        <a:off x="5569149" y="4135266"/>
                        <a:ext cx="194310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sp>
                    <a:nvSpPr>
                      <a:cNvPr id="6" name="Text Box 11"/>
                      <a:cNvSpPr txBox="1">
                        <a:spLocks noChangeArrowheads="1"/>
                      </a:cNvSpPr>
                    </a:nvSpPr>
                    <a:spPr bwMode="auto">
                      <a:xfrm>
                        <a:off x="241499" y="1399308"/>
                        <a:ext cx="93503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49%</a:t>
                          </a:r>
                        </a:p>
                      </a:txBody>
                      <a:useSpRect/>
                    </a:txSp>
                  </a:sp>
                  <a:pic>
                    <a:nvPicPr>
                      <a:cNvPr id="7" name="Picture 12" descr="Geração C III Horizontal"/>
                      <a:cNvPicPr>
                        <a:picLocks noChangeAspect="1" noChangeArrowheads="1"/>
                      </a:cNvPicPr>
                    </a:nvPicPr>
                    <a:blipFill>
                      <a:blip r:embed="rId46" cstate="print">
                        <a:extLst>
                          <a:ext uri="{28A0092B-C50C-407E-A947-70E740481C1C}">
                            <a14:useLocalDpi xmlns:a14="http://schemas.microsoft.com/office/drawing/2010/main" val="0"/>
                          </a:ext>
                        </a:extLst>
                      </a:blip>
                      <a:srcRect/>
                      <a:stretch>
                        <a:fillRect/>
                      </a:stretch>
                    </a:blipFill>
                    <a:spPr bwMode="auto">
                      <a:xfrm>
                        <a:off x="1105099" y="3990803"/>
                        <a:ext cx="22098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grpSp>
                    <a:nvGrpSpPr>
                      <a:cNvPr id="8" name="Grupo 7"/>
                      <a:cNvGrpSpPr/>
                    </a:nvGrpSpPr>
                    <a:grpSpPr>
                      <a:xfrm>
                        <a:off x="493117" y="476421"/>
                        <a:ext cx="4078883" cy="712919"/>
                        <a:chOff x="0" y="436563"/>
                        <a:chExt cx="4643438" cy="811513"/>
                      </a:xfrm>
                    </a:grpSpPr>
                    <a:pic>
                      <a:nvPicPr>
                        <a:cNvPr id="40" name="Picture 10"/>
                        <a:cNvPicPr>
                          <a:picLocks noChangeAspect="1" noChangeArrowheads="1"/>
                        </a:cNvPicPr>
                      </a:nvPicPr>
                      <a:blipFill>
                        <a:blip r:embed="rId47" cstate="print">
                          <a:extLst>
                            <a:ext uri="{28A0092B-C50C-407E-A947-70E740481C1C}">
                              <a14:useLocalDpi xmlns:a14="http://schemas.microsoft.com/office/drawing/2010/main" val="0"/>
                            </a:ext>
                          </a:extLst>
                        </a:blip>
                        <a:srcRect/>
                        <a:stretch>
                          <a:fillRect/>
                        </a:stretch>
                      </a:blipFill>
                      <a:spPr bwMode="auto">
                        <a:xfrm>
                          <a:off x="0" y="469900"/>
                          <a:ext cx="1619250" cy="71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pic>
                      <a:nvPicPr>
                        <a:cNvPr id="41" name="Picture 13"/>
                        <a:cNvPicPr>
                          <a:picLocks noChangeAspect="1" noChangeArrowheads="1"/>
                        </a:cNvPicPr>
                      </a:nvPicPr>
                      <a:blipFill>
                        <a:blip r:embed="rId48" cstate="print">
                          <a:extLst>
                            <a:ext uri="{28A0092B-C50C-407E-A947-70E740481C1C}">
                              <a14:useLocalDpi xmlns:a14="http://schemas.microsoft.com/office/drawing/2010/main" val="0"/>
                            </a:ext>
                          </a:extLst>
                        </a:blip>
                        <a:srcRect/>
                        <a:stretch>
                          <a:fillRect/>
                        </a:stretch>
                      </a:blipFill>
                      <a:spPr bwMode="auto">
                        <a:xfrm>
                          <a:off x="1848311" y="492426"/>
                          <a:ext cx="1296988"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pic>
                      <a:nvPicPr>
                        <a:cNvPr id="42" name="Picture 14" descr="ANd9GcTMiUHv4VexEAaD4XuHK26-31RlGBAo9X4SNAWBI4yiCbg0RaQ&amp;t=1&amp;usg=__L7G5j_4B90WObgpuzmYqWg2RNMI="/>
                        <a:cNvPicPr>
                          <a:picLocks noChangeAspect="1" noChangeArrowheads="1"/>
                        </a:cNvPicPr>
                      </a:nvPicPr>
                      <a:blipFill>
                        <a:blip r:embed="rId49" cstate="print">
                          <a:extLst>
                            <a:ext uri="{28A0092B-C50C-407E-A947-70E740481C1C}">
                              <a14:useLocalDpi xmlns:a14="http://schemas.microsoft.com/office/drawing/2010/main" val="0"/>
                            </a:ext>
                          </a:extLst>
                        </a:blip>
                        <a:srcRect/>
                        <a:stretch>
                          <a:fillRect/>
                        </a:stretch>
                      </a:blipFill>
                      <a:spPr bwMode="auto">
                        <a:xfrm>
                          <a:off x="3419475" y="436563"/>
                          <a:ext cx="1223963"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grpSp>
                  <a:sp>
                    <a:nvSpPr>
                      <a:cNvPr id="9" name="Text Box 15"/>
                      <a:cNvSpPr txBox="1">
                        <a:spLocks noChangeArrowheads="1"/>
                      </a:cNvSpPr>
                    </a:nvSpPr>
                    <a:spPr bwMode="auto">
                      <a:xfrm>
                        <a:off x="1752799" y="1399308"/>
                        <a:ext cx="93503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39%</a:t>
                          </a:r>
                        </a:p>
                      </a:txBody>
                      <a:useSpRect/>
                    </a:txSp>
                  </a:sp>
                  <a:sp>
                    <a:nvSpPr>
                      <a:cNvPr id="10" name="Text Box 16"/>
                      <a:cNvSpPr txBox="1">
                        <a:spLocks noChangeArrowheads="1"/>
                      </a:cNvSpPr>
                    </a:nvSpPr>
                    <a:spPr bwMode="auto">
                      <a:xfrm>
                        <a:off x="3337124" y="1399308"/>
                        <a:ext cx="93503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12%</a:t>
                          </a:r>
                        </a:p>
                      </a:txBody>
                      <a:useSpRect/>
                    </a:txSp>
                  </a:sp>
                  <a:sp>
                    <a:nvSpPr>
                      <a:cNvPr id="11" name="Text Box 17"/>
                      <a:cNvSpPr txBox="1">
                        <a:spLocks noChangeArrowheads="1"/>
                      </a:cNvSpPr>
                    </a:nvSpPr>
                    <a:spPr bwMode="auto">
                      <a:xfrm>
                        <a:off x="4489649" y="2982741"/>
                        <a:ext cx="93503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37,5%</a:t>
                          </a:r>
                        </a:p>
                      </a:txBody>
                      <a:useSpRect/>
                    </a:txSp>
                  </a:sp>
                  <a:sp>
                    <a:nvSpPr>
                      <a:cNvPr id="12" name="Text Box 18"/>
                      <a:cNvSpPr txBox="1">
                        <a:spLocks noChangeArrowheads="1"/>
                      </a:cNvSpPr>
                    </a:nvSpPr>
                    <a:spPr bwMode="auto">
                      <a:xfrm>
                        <a:off x="5569149" y="2982741"/>
                        <a:ext cx="93503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37,5%</a:t>
                          </a:r>
                        </a:p>
                      </a:txBody>
                      <a:useSpRect/>
                    </a:txSp>
                  </a:sp>
                  <a:sp>
                    <a:nvSpPr>
                      <a:cNvPr id="13" name="Text Box 19"/>
                      <a:cNvSpPr txBox="1">
                        <a:spLocks noChangeArrowheads="1"/>
                      </a:cNvSpPr>
                    </a:nvSpPr>
                    <a:spPr bwMode="auto">
                      <a:xfrm>
                        <a:off x="6793111" y="2982741"/>
                        <a:ext cx="93503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dirty="0"/>
                            <a:t>6,49%</a:t>
                          </a:r>
                        </a:p>
                      </a:txBody>
                      <a:useSpRect/>
                    </a:txSp>
                  </a:sp>
                  <a:sp>
                    <a:nvSpPr>
                      <a:cNvPr id="14" name="Text Box 21"/>
                      <a:cNvSpPr txBox="1">
                        <a:spLocks noChangeArrowheads="1"/>
                      </a:cNvSpPr>
                    </a:nvSpPr>
                    <a:spPr bwMode="auto">
                      <a:xfrm>
                        <a:off x="1681361" y="2911303"/>
                        <a:ext cx="93503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100%</a:t>
                          </a:r>
                        </a:p>
                      </a:txBody>
                      <a:useSpRect/>
                    </a:txSp>
                  </a:sp>
                  <a:sp>
                    <a:nvSpPr>
                      <a:cNvPr id="15" name="Text Box 22"/>
                      <a:cNvSpPr txBox="1">
                        <a:spLocks noChangeArrowheads="1"/>
                      </a:cNvSpPr>
                    </a:nvSpPr>
                    <a:spPr bwMode="auto">
                      <a:xfrm>
                        <a:off x="1681361" y="4782966"/>
                        <a:ext cx="93503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60%</a:t>
                          </a:r>
                        </a:p>
                      </a:txBody>
                      <a:useSpRect/>
                    </a:txSp>
                  </a:sp>
                  <a:sp>
                    <a:nvSpPr>
                      <a:cNvPr id="16" name="Text Box 23"/>
                      <a:cNvSpPr txBox="1">
                        <a:spLocks noChangeArrowheads="1"/>
                      </a:cNvSpPr>
                    </a:nvSpPr>
                    <a:spPr bwMode="auto">
                      <a:xfrm>
                        <a:off x="6073974" y="4711528"/>
                        <a:ext cx="93503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40%</a:t>
                          </a:r>
                        </a:p>
                      </a:txBody>
                      <a:useSpRect/>
                    </a:txSp>
                  </a:sp>
                  <a:sp>
                    <a:nvSpPr>
                      <a:cNvPr id="17" name="Line 24"/>
                      <a:cNvSpPr>
                        <a:spLocks noChangeShapeType="1"/>
                      </a:cNvSpPr>
                    </a:nvSpPr>
                    <a:spPr bwMode="auto">
                      <a:xfrm>
                        <a:off x="673299" y="1902546"/>
                        <a:ext cx="0" cy="21590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18" name="Line 25"/>
                      <a:cNvSpPr>
                        <a:spLocks noChangeShapeType="1"/>
                      </a:cNvSpPr>
                    </a:nvSpPr>
                    <a:spPr bwMode="auto">
                      <a:xfrm>
                        <a:off x="2184946" y="1902546"/>
                        <a:ext cx="0" cy="21590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19" name="Line 26"/>
                      <a:cNvSpPr>
                        <a:spLocks noChangeShapeType="1"/>
                      </a:cNvSpPr>
                    </a:nvSpPr>
                    <a:spPr bwMode="auto">
                      <a:xfrm>
                        <a:off x="3840361" y="1902546"/>
                        <a:ext cx="0" cy="21590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0" name="Line 27"/>
                      <a:cNvSpPr>
                        <a:spLocks noChangeShapeType="1"/>
                      </a:cNvSpPr>
                    </a:nvSpPr>
                    <a:spPr bwMode="auto">
                      <a:xfrm flipH="1">
                        <a:off x="4921449" y="3632028"/>
                        <a:ext cx="3455987" cy="1588"/>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1" name="Line 28"/>
                      <a:cNvSpPr>
                        <a:spLocks noChangeShapeType="1"/>
                      </a:cNvSpPr>
                    </a:nvSpPr>
                    <a:spPr bwMode="auto">
                      <a:xfrm>
                        <a:off x="4921449" y="3414541"/>
                        <a:ext cx="0" cy="21590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2" name="Line 29"/>
                      <a:cNvSpPr>
                        <a:spLocks noChangeShapeType="1"/>
                      </a:cNvSpPr>
                    </a:nvSpPr>
                    <a:spPr bwMode="auto">
                      <a:xfrm>
                        <a:off x="6000949" y="3414541"/>
                        <a:ext cx="0" cy="21590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3" name="Line 30"/>
                      <a:cNvSpPr>
                        <a:spLocks noChangeShapeType="1"/>
                      </a:cNvSpPr>
                    </a:nvSpPr>
                    <a:spPr bwMode="auto">
                      <a:xfrm>
                        <a:off x="7153474" y="3414541"/>
                        <a:ext cx="0" cy="21590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4" name="Line 31"/>
                      <a:cNvSpPr>
                        <a:spLocks noChangeShapeType="1"/>
                      </a:cNvSpPr>
                    </a:nvSpPr>
                    <a:spPr bwMode="auto">
                      <a:xfrm>
                        <a:off x="8377436" y="3414541"/>
                        <a:ext cx="0" cy="21590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5" name="Line 32"/>
                      <a:cNvSpPr>
                        <a:spLocks noChangeShapeType="1"/>
                      </a:cNvSpPr>
                    </a:nvSpPr>
                    <a:spPr bwMode="auto">
                      <a:xfrm flipH="1">
                        <a:off x="2113161" y="5503691"/>
                        <a:ext cx="4392613" cy="0"/>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6" name="Line 33"/>
                      <a:cNvSpPr>
                        <a:spLocks noChangeShapeType="1"/>
                      </a:cNvSpPr>
                    </a:nvSpPr>
                    <a:spPr bwMode="auto">
                      <a:xfrm>
                        <a:off x="2113161" y="5214766"/>
                        <a:ext cx="0" cy="288925"/>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7" name="Line 34"/>
                      <a:cNvSpPr>
                        <a:spLocks noChangeShapeType="1"/>
                      </a:cNvSpPr>
                    </a:nvSpPr>
                    <a:spPr bwMode="auto">
                      <a:xfrm>
                        <a:off x="6505774" y="5214766"/>
                        <a:ext cx="0" cy="288925"/>
                      </a:xfrm>
                      <a:prstGeom prst="line">
                        <a:avLst/>
                      </a:prstGeom>
                      <a:noFill/>
                      <a:ln w="19050">
                        <a:solidFill>
                          <a:schemeClr val="accent2"/>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8" name="Line 35"/>
                      <a:cNvSpPr>
                        <a:spLocks noChangeShapeType="1"/>
                      </a:cNvSpPr>
                    </a:nvSpPr>
                    <a:spPr bwMode="auto">
                      <a:xfrm>
                        <a:off x="6577211" y="3632028"/>
                        <a:ext cx="0" cy="358775"/>
                      </a:xfrm>
                      <a:prstGeom prst="line">
                        <a:avLst/>
                      </a:prstGeom>
                      <a:noFill/>
                      <a:ln w="19050">
                        <a:solidFill>
                          <a:schemeClr val="accent2"/>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29" name="Line 36"/>
                      <a:cNvSpPr>
                        <a:spLocks noChangeShapeType="1"/>
                      </a:cNvSpPr>
                    </a:nvSpPr>
                    <a:spPr bwMode="auto">
                      <a:xfrm>
                        <a:off x="2184946" y="2120034"/>
                        <a:ext cx="0" cy="245124"/>
                      </a:xfrm>
                      <a:prstGeom prst="line">
                        <a:avLst/>
                      </a:prstGeom>
                      <a:noFill/>
                      <a:ln w="19050">
                        <a:solidFill>
                          <a:schemeClr val="accent2"/>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30" name="Line 37"/>
                      <a:cNvSpPr>
                        <a:spLocks noChangeShapeType="1"/>
                      </a:cNvSpPr>
                    </a:nvSpPr>
                    <a:spPr bwMode="auto">
                      <a:xfrm>
                        <a:off x="4416624" y="5503691"/>
                        <a:ext cx="0" cy="215900"/>
                      </a:xfrm>
                      <a:prstGeom prst="line">
                        <a:avLst/>
                      </a:prstGeom>
                      <a:noFill/>
                      <a:ln w="19050">
                        <a:solidFill>
                          <a:schemeClr val="accent2"/>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31" name="Line 38"/>
                      <a:cNvSpPr>
                        <a:spLocks noChangeShapeType="1"/>
                      </a:cNvSpPr>
                    </a:nvSpPr>
                    <a:spPr bwMode="auto">
                      <a:xfrm>
                        <a:off x="2113161" y="3270078"/>
                        <a:ext cx="0" cy="720725"/>
                      </a:xfrm>
                      <a:prstGeom prst="line">
                        <a:avLst/>
                      </a:prstGeom>
                      <a:noFill/>
                      <a:ln w="19050">
                        <a:solidFill>
                          <a:schemeClr val="accent2"/>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32" name="Line 39"/>
                      <a:cNvSpPr>
                        <a:spLocks noChangeShapeType="1"/>
                      </a:cNvSpPr>
                    </a:nvSpPr>
                    <a:spPr bwMode="auto">
                      <a:xfrm>
                        <a:off x="3481586" y="4279728"/>
                        <a:ext cx="1871663" cy="0"/>
                      </a:xfrm>
                      <a:prstGeom prst="line">
                        <a:avLst/>
                      </a:prstGeom>
                      <a:noFill/>
                      <a:ln w="19050">
                        <a:solidFill>
                          <a:schemeClr val="accent2"/>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33" name="Text Box 40"/>
                      <a:cNvSpPr txBox="1">
                        <a:spLocks noChangeArrowheads="1"/>
                      </a:cNvSpPr>
                    </a:nvSpPr>
                    <a:spPr bwMode="auto">
                      <a:xfrm>
                        <a:off x="3984824" y="3990803"/>
                        <a:ext cx="93503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a:t>15,58%</a:t>
                          </a:r>
                        </a:p>
                      </a:txBody>
                      <a:useSpRect/>
                    </a:txSp>
                  </a:sp>
                  <a:grpSp>
                    <a:nvGrpSpPr>
                      <a:cNvPr id="34" name="Grupo 33"/>
                      <a:cNvGrpSpPr>
                        <a:grpSpLocks/>
                      </a:cNvGrpSpPr>
                    </a:nvGrpSpPr>
                    <a:grpSpPr bwMode="auto">
                      <a:xfrm>
                        <a:off x="4489649" y="2335041"/>
                        <a:ext cx="4291012" cy="525462"/>
                        <a:chOff x="4716463" y="2636838"/>
                        <a:chExt cx="4291012" cy="525462"/>
                      </a:xfrm>
                    </a:grpSpPr>
                    <a:pic>
                      <a:nvPicPr>
                        <a:cNvPr id="36" name="Picture 5" descr="35974"/>
                        <a:cNvPicPr>
                          <a:picLocks noChangeAspect="1" noChangeArrowheads="1"/>
                        </a:cNvPicPr>
                      </a:nvPicPr>
                      <a:blipFill>
                        <a:blip r:embed="rId24" cstate="print">
                          <a:extLst>
                            <a:ext uri="{28A0092B-C50C-407E-A947-70E740481C1C}">
                              <a14:useLocalDpi xmlns:a14="http://schemas.microsoft.com/office/drawing/2010/main" val="0"/>
                            </a:ext>
                          </a:extLst>
                        </a:blip>
                        <a:srcRect/>
                        <a:stretch>
                          <a:fillRect/>
                        </a:stretch>
                      </a:blipFill>
                      <a:spPr bwMode="auto">
                        <a:xfrm>
                          <a:off x="4716463" y="2636838"/>
                          <a:ext cx="863600" cy="525462"/>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pic>
                    <a:pic>
                      <a:nvPicPr>
                        <a:cNvPr id="37" name="Picture 6" descr="celg"/>
                        <a:cNvPicPr>
                          <a:picLocks noChangeAspect="1" noChangeArrowheads="1"/>
                        </a:cNvPicPr>
                      </a:nvPicPr>
                      <a:blipFill>
                        <a:blip r:embed="rId50" cstate="print">
                          <a:extLst>
                            <a:ext uri="{28A0092B-C50C-407E-A947-70E740481C1C}">
                              <a14:useLocalDpi xmlns:a14="http://schemas.microsoft.com/office/drawing/2010/main" val="0"/>
                            </a:ext>
                          </a:extLst>
                        </a:blip>
                        <a:srcRect/>
                        <a:stretch>
                          <a:fillRect/>
                        </a:stretch>
                      </a:blipFill>
                      <a:spPr bwMode="auto">
                        <a:xfrm>
                          <a:off x="5795963" y="2708275"/>
                          <a:ext cx="792162"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pic>
                      <a:nvPicPr>
                        <a:cNvPr id="38" name="Picture 7"/>
                        <a:cNvPicPr>
                          <a:picLocks noChangeAspect="1" noChangeArrowheads="1"/>
                        </a:cNvPicPr>
                      </a:nvPicPr>
                      <a:blipFill>
                        <a:blip r:embed="rId51" cstate="print">
                          <a:extLst>
                            <a:ext uri="{28A0092B-C50C-407E-A947-70E740481C1C}">
                              <a14:useLocalDpi xmlns:a14="http://schemas.microsoft.com/office/drawing/2010/main" val="0"/>
                            </a:ext>
                          </a:extLst>
                        </a:blip>
                        <a:srcRect/>
                        <a:stretch>
                          <a:fillRect/>
                        </a:stretch>
                      </a:blipFill>
                      <a:spPr bwMode="auto">
                        <a:xfrm>
                          <a:off x="8286750" y="2643188"/>
                          <a:ext cx="720725" cy="48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pic>
                      <a:nvPicPr>
                        <a:cNvPr id="39" name="Picture 8"/>
                        <a:cNvPicPr>
                          <a:picLocks noChangeAspect="1" noChangeArrowheads="1"/>
                        </a:cNvPicPr>
                      </a:nvPicPr>
                      <a:blipFill>
                        <a:blip r:embed="rId52" cstate="print">
                          <a:extLst>
                            <a:ext uri="{28A0092B-C50C-407E-A947-70E740481C1C}">
                              <a14:useLocalDpi xmlns:a14="http://schemas.microsoft.com/office/drawing/2010/main" val="0"/>
                            </a:ext>
                          </a:extLst>
                        </a:blip>
                        <a:srcRect/>
                        <a:stretch>
                          <a:fillRect/>
                        </a:stretch>
                      </a:blipFill>
                      <a:spPr bwMode="auto">
                        <a:xfrm>
                          <a:off x="6858000" y="2714625"/>
                          <a:ext cx="1152525" cy="395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pic>
                  </a:grpSp>
                  <a:sp>
                    <a:nvSpPr>
                      <a:cNvPr id="35" name="Text Box 19"/>
                      <a:cNvSpPr txBox="1">
                        <a:spLocks noChangeArrowheads="1"/>
                      </a:cNvSpPr>
                    </a:nvSpPr>
                    <a:spPr bwMode="auto">
                      <a:xfrm>
                        <a:off x="7967464" y="2996952"/>
                        <a:ext cx="93503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spcBef>
                              <a:spcPct val="50000"/>
                            </a:spcBef>
                          </a:pPr>
                          <a:r>
                            <a:rPr lang="pt-BR" sz="1400" b="1" dirty="0" smtClean="0"/>
                            <a:t>2,93%</a:t>
                          </a:r>
                          <a:endParaRPr lang="pt-BR" sz="1400" b="1" dirty="0"/>
                        </a:p>
                      </a:txBody>
                      <a:useSpRect/>
                    </a:txSp>
                  </a:sp>
                </lc:lockedCanvas>
              </a:graphicData>
            </a:graphic>
          </wp:inline>
        </w:drawing>
      </w:r>
    </w:p>
    <w:p w:rsidR="00B61F39" w:rsidRDefault="00B61F39" w:rsidP="00C47217">
      <w:pPr>
        <w:spacing w:before="240" w:after="240"/>
        <w:rPr>
          <w:b/>
          <w:sz w:val="22"/>
          <w:szCs w:val="22"/>
        </w:rPr>
      </w:pPr>
    </w:p>
    <w:p w:rsidR="004F57A9" w:rsidRDefault="004F57A9" w:rsidP="00C47217">
      <w:pPr>
        <w:spacing w:before="240" w:after="240"/>
        <w:rPr>
          <w:b/>
          <w:sz w:val="22"/>
          <w:szCs w:val="22"/>
        </w:rPr>
      </w:pPr>
      <w:r w:rsidRPr="007E7E1D">
        <w:rPr>
          <w:b/>
          <w:sz w:val="22"/>
          <w:szCs w:val="22"/>
        </w:rPr>
        <w:t>Dados Econômico-Financeiros</w:t>
      </w:r>
    </w:p>
    <w:tbl>
      <w:tblPr>
        <w:tblW w:w="5000"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5196"/>
        <w:gridCol w:w="1650"/>
        <w:gridCol w:w="1650"/>
        <w:gridCol w:w="1642"/>
      </w:tblGrid>
      <w:tr w:rsidR="00C47217" w:rsidRPr="004C1CCC" w:rsidTr="004446A0">
        <w:trPr>
          <w:trHeight w:val="385"/>
          <w:jc w:val="center"/>
        </w:trPr>
        <w:tc>
          <w:tcPr>
            <w:tcW w:w="2562"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C47217" w:rsidRPr="00C47217" w:rsidRDefault="00C47217" w:rsidP="00B54C44">
            <w:pPr>
              <w:autoSpaceDE w:val="0"/>
              <w:autoSpaceDN w:val="0"/>
              <w:adjustRightInd w:val="0"/>
              <w:spacing w:line="264" w:lineRule="auto"/>
              <w:jc w:val="center"/>
              <w:rPr>
                <w:rFonts w:eastAsia="Calibri"/>
                <w:b/>
                <w:bCs/>
                <w:color w:val="FFFFFF" w:themeColor="background1"/>
                <w:lang w:eastAsia="en-US" w:bidi="en-US"/>
              </w:rPr>
            </w:pPr>
            <w:r w:rsidRPr="00C47217">
              <w:rPr>
                <w:rFonts w:eastAsia="Calibri"/>
                <w:b/>
                <w:bCs/>
                <w:color w:val="FFFFFF" w:themeColor="background1"/>
                <w:lang w:eastAsia="en-US" w:bidi="en-US"/>
              </w:rPr>
              <w:t>(R$ Mil)</w:t>
            </w:r>
          </w:p>
        </w:tc>
        <w:tc>
          <w:tcPr>
            <w:tcW w:w="814"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C47217" w:rsidRPr="00C47217" w:rsidRDefault="00C47217" w:rsidP="00B54C44">
            <w:pPr>
              <w:autoSpaceDE w:val="0"/>
              <w:autoSpaceDN w:val="0"/>
              <w:adjustRightInd w:val="0"/>
              <w:spacing w:line="264" w:lineRule="auto"/>
              <w:jc w:val="center"/>
              <w:rPr>
                <w:rFonts w:eastAsia="Calibri"/>
                <w:b/>
                <w:bCs/>
                <w:color w:val="FFFFFF" w:themeColor="background1"/>
                <w:lang w:eastAsia="en-US" w:bidi="en-US"/>
              </w:rPr>
            </w:pPr>
            <w:r w:rsidRPr="00C47217">
              <w:rPr>
                <w:rFonts w:eastAsia="Calibri"/>
                <w:b/>
                <w:bCs/>
                <w:color w:val="FFFFFF" w:themeColor="background1"/>
                <w:lang w:eastAsia="en-US" w:bidi="en-US"/>
              </w:rPr>
              <w:t>2015</w:t>
            </w:r>
          </w:p>
        </w:tc>
        <w:tc>
          <w:tcPr>
            <w:tcW w:w="814"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C47217" w:rsidRPr="00C47217" w:rsidRDefault="00C47217" w:rsidP="00B54C44">
            <w:pPr>
              <w:autoSpaceDE w:val="0"/>
              <w:autoSpaceDN w:val="0"/>
              <w:adjustRightInd w:val="0"/>
              <w:spacing w:line="264" w:lineRule="auto"/>
              <w:jc w:val="center"/>
              <w:rPr>
                <w:rFonts w:eastAsia="Calibri"/>
                <w:b/>
                <w:bCs/>
                <w:color w:val="FFFFFF" w:themeColor="background1"/>
                <w:lang w:eastAsia="en-US" w:bidi="en-US"/>
              </w:rPr>
            </w:pPr>
            <w:r w:rsidRPr="00C47217">
              <w:rPr>
                <w:rFonts w:eastAsia="Calibri"/>
                <w:b/>
                <w:bCs/>
                <w:color w:val="FFFFFF" w:themeColor="background1"/>
                <w:lang w:eastAsia="en-US" w:bidi="en-US"/>
              </w:rPr>
              <w:t>2016</w:t>
            </w:r>
          </w:p>
        </w:tc>
        <w:tc>
          <w:tcPr>
            <w:tcW w:w="811"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C47217" w:rsidRPr="00C47217" w:rsidRDefault="00C47217" w:rsidP="00B54C44">
            <w:pPr>
              <w:jc w:val="center"/>
              <w:rPr>
                <w:b/>
                <w:bCs/>
                <w:snapToGrid w:val="0"/>
                <w:color w:val="FFFFFF" w:themeColor="background1"/>
                <w:lang w:eastAsia="en-US" w:bidi="en-US"/>
              </w:rPr>
            </w:pPr>
            <w:r w:rsidRPr="00C47217">
              <w:rPr>
                <w:b/>
                <w:bCs/>
                <w:snapToGrid w:val="0"/>
                <w:color w:val="FFFFFF" w:themeColor="background1"/>
                <w:lang w:eastAsia="en-US" w:bidi="en-US"/>
              </w:rPr>
              <w:t>Δ (R$)</w:t>
            </w:r>
          </w:p>
        </w:tc>
      </w:tr>
      <w:tr w:rsidR="00C47217" w:rsidRPr="004C1CCC" w:rsidTr="00C47217">
        <w:trPr>
          <w:trHeight w:val="170"/>
          <w:jc w:val="center"/>
        </w:trPr>
        <w:tc>
          <w:tcPr>
            <w:tcW w:w="256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C47217">
            <w:pPr>
              <w:autoSpaceDE w:val="0"/>
              <w:autoSpaceDN w:val="0"/>
              <w:adjustRightInd w:val="0"/>
              <w:spacing w:line="264" w:lineRule="auto"/>
              <w:rPr>
                <w:rFonts w:eastAsia="Calibri"/>
                <w:b/>
                <w:bCs/>
                <w:lang w:eastAsia="en-US" w:bidi="en-US"/>
              </w:rPr>
            </w:pPr>
            <w:r w:rsidRPr="00C47217">
              <w:rPr>
                <w:rFonts w:eastAsia="Calibri"/>
                <w:b/>
                <w:bCs/>
                <w:lang w:eastAsia="en-US" w:bidi="en-US"/>
              </w:rPr>
              <w:t>Receita Operacional Bruta</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38.282</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41.739</w:t>
            </w:r>
          </w:p>
        </w:tc>
        <w:tc>
          <w:tcPr>
            <w:tcW w:w="811"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3.456</w:t>
            </w:r>
          </w:p>
        </w:tc>
      </w:tr>
      <w:tr w:rsidR="00C47217" w:rsidRPr="004C1CCC" w:rsidTr="00C47217">
        <w:trPr>
          <w:trHeight w:val="170"/>
          <w:jc w:val="center"/>
        </w:trPr>
        <w:tc>
          <w:tcPr>
            <w:tcW w:w="2562" w:type="pct"/>
            <w:tcBorders>
              <w:top w:val="single" w:sz="8" w:space="0" w:color="DDDDDD"/>
              <w:left w:val="single" w:sz="8" w:space="0" w:color="DDDDDD"/>
              <w:bottom w:val="single" w:sz="8" w:space="0" w:color="DDDDDD"/>
              <w:right w:val="single" w:sz="8" w:space="0" w:color="DDDDDD"/>
            </w:tcBorders>
            <w:shd w:val="clear" w:color="auto" w:fill="auto"/>
            <w:vAlign w:val="center"/>
          </w:tcPr>
          <w:p w:rsidR="00C47217" w:rsidRPr="00C47217" w:rsidRDefault="00C47217" w:rsidP="00C47217">
            <w:pPr>
              <w:autoSpaceDE w:val="0"/>
              <w:autoSpaceDN w:val="0"/>
              <w:adjustRightInd w:val="0"/>
              <w:spacing w:line="264" w:lineRule="auto"/>
              <w:rPr>
                <w:rFonts w:eastAsia="Calibri"/>
                <w:b/>
                <w:bCs/>
                <w:lang w:eastAsia="en-US" w:bidi="en-US"/>
              </w:rPr>
            </w:pPr>
            <w:r w:rsidRPr="00C47217">
              <w:rPr>
                <w:rFonts w:eastAsia="Calibri"/>
                <w:b/>
                <w:bCs/>
                <w:lang w:eastAsia="en-US" w:bidi="en-US"/>
              </w:rPr>
              <w:t>Receita Operacional Líquida</w:t>
            </w:r>
          </w:p>
        </w:tc>
        <w:tc>
          <w:tcPr>
            <w:tcW w:w="814" w:type="pct"/>
            <w:tcBorders>
              <w:top w:val="single" w:sz="8" w:space="0" w:color="DDDDDD"/>
              <w:left w:val="single" w:sz="8" w:space="0" w:color="DDDDDD"/>
              <w:bottom w:val="single" w:sz="8" w:space="0" w:color="DDDDDD"/>
              <w:right w:val="single" w:sz="8" w:space="0" w:color="DDDDDD"/>
            </w:tcBorders>
            <w:shd w:val="clear" w:color="auto" w:fill="auto"/>
            <w:vAlign w:val="center"/>
          </w:tcPr>
          <w:p w:rsidR="00C47217" w:rsidRPr="00C47217" w:rsidRDefault="00C47217" w:rsidP="00B54C44">
            <w:pPr>
              <w:jc w:val="center"/>
              <w:rPr>
                <w:b/>
                <w:color w:val="000000"/>
              </w:rPr>
            </w:pPr>
            <w:r w:rsidRPr="00C47217">
              <w:rPr>
                <w:b/>
                <w:color w:val="000000"/>
              </w:rPr>
              <w:t>36.523</w:t>
            </w:r>
          </w:p>
        </w:tc>
        <w:tc>
          <w:tcPr>
            <w:tcW w:w="814" w:type="pct"/>
            <w:tcBorders>
              <w:top w:val="single" w:sz="8" w:space="0" w:color="DDDDDD"/>
              <w:left w:val="single" w:sz="8" w:space="0" w:color="DDDDDD"/>
              <w:bottom w:val="single" w:sz="8" w:space="0" w:color="DDDDDD"/>
              <w:right w:val="single" w:sz="8" w:space="0" w:color="DDDDDD"/>
            </w:tcBorders>
            <w:vAlign w:val="center"/>
          </w:tcPr>
          <w:p w:rsidR="00C47217" w:rsidRPr="00C47217" w:rsidRDefault="00C47217" w:rsidP="00B54C44">
            <w:pPr>
              <w:jc w:val="center"/>
              <w:rPr>
                <w:b/>
                <w:color w:val="000000"/>
              </w:rPr>
            </w:pPr>
            <w:r w:rsidRPr="00C47217">
              <w:rPr>
                <w:b/>
                <w:color w:val="000000"/>
              </w:rPr>
              <w:t>39.826</w:t>
            </w:r>
          </w:p>
        </w:tc>
        <w:tc>
          <w:tcPr>
            <w:tcW w:w="811" w:type="pct"/>
            <w:tcBorders>
              <w:top w:val="single" w:sz="8" w:space="0" w:color="DDDDDD"/>
              <w:left w:val="single" w:sz="8" w:space="0" w:color="DDDDDD"/>
              <w:bottom w:val="single" w:sz="8" w:space="0" w:color="DDDDDD"/>
              <w:right w:val="single" w:sz="8" w:space="0" w:color="DDDDDD"/>
            </w:tcBorders>
            <w:vAlign w:val="center"/>
          </w:tcPr>
          <w:p w:rsidR="00C47217" w:rsidRPr="00C47217" w:rsidRDefault="00C47217" w:rsidP="00B54C44">
            <w:pPr>
              <w:jc w:val="center"/>
              <w:rPr>
                <w:b/>
                <w:color w:val="000000"/>
              </w:rPr>
            </w:pPr>
            <w:r w:rsidRPr="00C47217">
              <w:rPr>
                <w:b/>
                <w:color w:val="000000"/>
              </w:rPr>
              <w:t>3.302</w:t>
            </w:r>
          </w:p>
        </w:tc>
      </w:tr>
      <w:tr w:rsidR="00C47217" w:rsidRPr="004C1CCC" w:rsidTr="00C47217">
        <w:trPr>
          <w:trHeight w:val="170"/>
          <w:jc w:val="center"/>
        </w:trPr>
        <w:tc>
          <w:tcPr>
            <w:tcW w:w="256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C47217">
            <w:pPr>
              <w:autoSpaceDE w:val="0"/>
              <w:autoSpaceDN w:val="0"/>
              <w:adjustRightInd w:val="0"/>
              <w:spacing w:line="264" w:lineRule="auto"/>
              <w:rPr>
                <w:rFonts w:eastAsia="Calibri"/>
                <w:b/>
                <w:bCs/>
                <w:lang w:eastAsia="en-US" w:bidi="en-US"/>
              </w:rPr>
            </w:pPr>
            <w:r w:rsidRPr="00C47217">
              <w:rPr>
                <w:rFonts w:eastAsia="Calibri"/>
                <w:b/>
                <w:bCs/>
                <w:lang w:eastAsia="en-US" w:bidi="en-US"/>
              </w:rPr>
              <w:t>Resultado Operacional Líquido Antes dos Tributos</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6.875</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14.206</w:t>
            </w:r>
          </w:p>
        </w:tc>
        <w:tc>
          <w:tcPr>
            <w:tcW w:w="811"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7.331</w:t>
            </w:r>
          </w:p>
        </w:tc>
      </w:tr>
      <w:tr w:rsidR="00C47217" w:rsidRPr="004C1CCC" w:rsidTr="00C47217">
        <w:trPr>
          <w:trHeight w:val="170"/>
          <w:jc w:val="center"/>
        </w:trPr>
        <w:tc>
          <w:tcPr>
            <w:tcW w:w="2562" w:type="pct"/>
            <w:tcBorders>
              <w:top w:val="single" w:sz="8" w:space="0" w:color="DDDDDD"/>
              <w:left w:val="single" w:sz="8" w:space="0" w:color="DDDDDD"/>
              <w:bottom w:val="single" w:sz="8" w:space="0" w:color="DDDDDD"/>
              <w:right w:val="single" w:sz="8" w:space="0" w:color="DDDDDD"/>
            </w:tcBorders>
            <w:shd w:val="clear" w:color="auto" w:fill="auto"/>
            <w:vAlign w:val="center"/>
          </w:tcPr>
          <w:p w:rsidR="00C47217" w:rsidRPr="00C47217" w:rsidRDefault="00C47217" w:rsidP="00C47217">
            <w:pPr>
              <w:autoSpaceDE w:val="0"/>
              <w:autoSpaceDN w:val="0"/>
              <w:adjustRightInd w:val="0"/>
              <w:spacing w:line="264" w:lineRule="auto"/>
              <w:rPr>
                <w:rFonts w:eastAsia="Calibri"/>
                <w:b/>
                <w:bCs/>
                <w:lang w:eastAsia="en-US" w:bidi="en-US"/>
              </w:rPr>
            </w:pPr>
            <w:r w:rsidRPr="00C47217">
              <w:rPr>
                <w:rFonts w:eastAsia="Calibri"/>
                <w:b/>
                <w:bCs/>
                <w:lang w:eastAsia="en-US" w:bidi="en-US"/>
              </w:rPr>
              <w:t>EBITDA</w:t>
            </w:r>
            <w:r>
              <w:rPr>
                <w:rFonts w:eastAsia="Calibri"/>
                <w:b/>
                <w:bCs/>
                <w:lang w:eastAsia="en-US" w:bidi="en-US"/>
              </w:rPr>
              <w:t xml:space="preserve"> (LAJIDA)</w:t>
            </w:r>
          </w:p>
        </w:tc>
        <w:tc>
          <w:tcPr>
            <w:tcW w:w="814" w:type="pct"/>
            <w:tcBorders>
              <w:top w:val="single" w:sz="8" w:space="0" w:color="DDDDDD"/>
              <w:left w:val="single" w:sz="8" w:space="0" w:color="DDDDDD"/>
              <w:bottom w:val="single" w:sz="8" w:space="0" w:color="DDDDDD"/>
              <w:right w:val="single" w:sz="8" w:space="0" w:color="DDDDDD"/>
            </w:tcBorders>
            <w:shd w:val="clear" w:color="auto" w:fill="auto"/>
            <w:vAlign w:val="center"/>
          </w:tcPr>
          <w:p w:rsidR="00C47217" w:rsidRPr="00C47217" w:rsidRDefault="00C47217" w:rsidP="00B54C44">
            <w:pPr>
              <w:jc w:val="center"/>
              <w:rPr>
                <w:b/>
                <w:color w:val="000000"/>
              </w:rPr>
            </w:pPr>
            <w:r w:rsidRPr="00C47217">
              <w:rPr>
                <w:b/>
                <w:color w:val="000000"/>
              </w:rPr>
              <w:t>17.411</w:t>
            </w:r>
          </w:p>
        </w:tc>
        <w:tc>
          <w:tcPr>
            <w:tcW w:w="814" w:type="pct"/>
            <w:tcBorders>
              <w:top w:val="single" w:sz="8" w:space="0" w:color="DDDDDD"/>
              <w:left w:val="single" w:sz="8" w:space="0" w:color="DDDDDD"/>
              <w:bottom w:val="single" w:sz="8" w:space="0" w:color="DDDDDD"/>
              <w:right w:val="single" w:sz="8" w:space="0" w:color="DDDDDD"/>
            </w:tcBorders>
            <w:vAlign w:val="center"/>
          </w:tcPr>
          <w:p w:rsidR="00C47217" w:rsidRPr="00C47217" w:rsidRDefault="00C47217" w:rsidP="00B54C44">
            <w:pPr>
              <w:jc w:val="center"/>
              <w:rPr>
                <w:b/>
                <w:color w:val="000000"/>
              </w:rPr>
            </w:pPr>
            <w:r w:rsidRPr="00C47217">
              <w:rPr>
                <w:b/>
                <w:color w:val="000000"/>
              </w:rPr>
              <w:t>25.541</w:t>
            </w:r>
          </w:p>
        </w:tc>
        <w:tc>
          <w:tcPr>
            <w:tcW w:w="811" w:type="pct"/>
            <w:tcBorders>
              <w:top w:val="single" w:sz="8" w:space="0" w:color="DDDDDD"/>
              <w:left w:val="single" w:sz="8" w:space="0" w:color="DDDDDD"/>
              <w:bottom w:val="single" w:sz="8" w:space="0" w:color="DDDDDD"/>
              <w:right w:val="single" w:sz="8" w:space="0" w:color="DDDDDD"/>
            </w:tcBorders>
            <w:vAlign w:val="center"/>
          </w:tcPr>
          <w:p w:rsidR="00C47217" w:rsidRPr="00C47217" w:rsidRDefault="00C47217" w:rsidP="00B54C44">
            <w:pPr>
              <w:jc w:val="center"/>
              <w:rPr>
                <w:b/>
                <w:color w:val="000000"/>
              </w:rPr>
            </w:pPr>
            <w:r w:rsidRPr="00C47217">
              <w:rPr>
                <w:b/>
                <w:color w:val="000000"/>
              </w:rPr>
              <w:t>8.130</w:t>
            </w:r>
          </w:p>
        </w:tc>
      </w:tr>
      <w:tr w:rsidR="00C47217" w:rsidRPr="004C1CCC" w:rsidTr="00C47217">
        <w:trPr>
          <w:trHeight w:val="170"/>
          <w:jc w:val="center"/>
        </w:trPr>
        <w:tc>
          <w:tcPr>
            <w:tcW w:w="2562"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C47217">
            <w:pPr>
              <w:autoSpaceDE w:val="0"/>
              <w:autoSpaceDN w:val="0"/>
              <w:adjustRightInd w:val="0"/>
              <w:spacing w:line="264" w:lineRule="auto"/>
              <w:rPr>
                <w:rFonts w:eastAsia="Calibri"/>
                <w:b/>
                <w:bCs/>
                <w:lang w:eastAsia="en-US" w:bidi="en-US"/>
              </w:rPr>
            </w:pPr>
            <w:r w:rsidRPr="00C47217">
              <w:rPr>
                <w:rFonts w:eastAsia="Calibri"/>
                <w:b/>
                <w:bCs/>
                <w:lang w:eastAsia="en-US" w:bidi="en-US"/>
              </w:rPr>
              <w:t>Lucro Líquido (Prejuízo)</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5.557</w:t>
            </w:r>
          </w:p>
        </w:tc>
        <w:tc>
          <w:tcPr>
            <w:tcW w:w="814"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12.731</w:t>
            </w:r>
          </w:p>
        </w:tc>
        <w:tc>
          <w:tcPr>
            <w:tcW w:w="811"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C47217" w:rsidRPr="00C47217" w:rsidRDefault="00C47217" w:rsidP="00B54C44">
            <w:pPr>
              <w:jc w:val="center"/>
              <w:rPr>
                <w:b/>
                <w:color w:val="000000"/>
              </w:rPr>
            </w:pPr>
            <w:r w:rsidRPr="00C47217">
              <w:rPr>
                <w:b/>
                <w:color w:val="000000"/>
              </w:rPr>
              <w:t>7.174</w:t>
            </w:r>
          </w:p>
        </w:tc>
      </w:tr>
      <w:tr w:rsidR="00C47217" w:rsidRPr="004C1CCC" w:rsidTr="00C47217">
        <w:trPr>
          <w:trHeight w:val="170"/>
          <w:jc w:val="center"/>
        </w:trPr>
        <w:tc>
          <w:tcPr>
            <w:tcW w:w="2562" w:type="pct"/>
            <w:tcBorders>
              <w:top w:val="single" w:sz="8" w:space="0" w:color="DDDDDD"/>
              <w:left w:val="single" w:sz="8" w:space="0" w:color="DDDDDD"/>
              <w:bottom w:val="single" w:sz="8" w:space="0" w:color="DDDDDD"/>
              <w:right w:val="single" w:sz="8" w:space="0" w:color="DDDDDD"/>
            </w:tcBorders>
            <w:shd w:val="clear" w:color="auto" w:fill="auto"/>
            <w:vAlign w:val="center"/>
          </w:tcPr>
          <w:p w:rsidR="00C47217" w:rsidRPr="00C47217" w:rsidRDefault="00C47217" w:rsidP="00C47217">
            <w:pPr>
              <w:autoSpaceDE w:val="0"/>
              <w:autoSpaceDN w:val="0"/>
              <w:adjustRightInd w:val="0"/>
              <w:spacing w:line="264" w:lineRule="auto"/>
              <w:rPr>
                <w:rFonts w:eastAsia="Calibri"/>
                <w:b/>
                <w:bCs/>
                <w:lang w:eastAsia="en-US" w:bidi="en-US"/>
              </w:rPr>
            </w:pPr>
            <w:r w:rsidRPr="00C47217">
              <w:rPr>
                <w:rFonts w:eastAsia="Calibri"/>
                <w:b/>
                <w:bCs/>
                <w:lang w:eastAsia="en-US" w:bidi="en-US"/>
              </w:rPr>
              <w:t>Patrimônio Líquido</w:t>
            </w:r>
          </w:p>
        </w:tc>
        <w:tc>
          <w:tcPr>
            <w:tcW w:w="814" w:type="pct"/>
            <w:tcBorders>
              <w:top w:val="single" w:sz="8" w:space="0" w:color="DDDDDD"/>
              <w:left w:val="single" w:sz="8" w:space="0" w:color="DDDDDD"/>
              <w:bottom w:val="single" w:sz="8" w:space="0" w:color="DDDDDD"/>
              <w:right w:val="single" w:sz="8" w:space="0" w:color="DDDDDD"/>
            </w:tcBorders>
            <w:shd w:val="clear" w:color="auto" w:fill="auto"/>
            <w:vAlign w:val="center"/>
          </w:tcPr>
          <w:p w:rsidR="00C47217" w:rsidRPr="00C47217" w:rsidRDefault="00C47217" w:rsidP="00B54C44">
            <w:pPr>
              <w:jc w:val="center"/>
              <w:rPr>
                <w:b/>
                <w:color w:val="000000"/>
              </w:rPr>
            </w:pPr>
            <w:r w:rsidRPr="00C47217">
              <w:rPr>
                <w:b/>
                <w:color w:val="000000"/>
              </w:rPr>
              <w:t>155.649</w:t>
            </w:r>
          </w:p>
        </w:tc>
        <w:tc>
          <w:tcPr>
            <w:tcW w:w="814" w:type="pct"/>
            <w:tcBorders>
              <w:top w:val="single" w:sz="8" w:space="0" w:color="DDDDDD"/>
              <w:left w:val="single" w:sz="8" w:space="0" w:color="DDDDDD"/>
              <w:bottom w:val="single" w:sz="8" w:space="0" w:color="DDDDDD"/>
              <w:right w:val="single" w:sz="8" w:space="0" w:color="DDDDDD"/>
            </w:tcBorders>
            <w:vAlign w:val="center"/>
          </w:tcPr>
          <w:p w:rsidR="00C47217" w:rsidRPr="00C47217" w:rsidRDefault="00C47217" w:rsidP="00B54C44">
            <w:pPr>
              <w:jc w:val="center"/>
              <w:rPr>
                <w:b/>
                <w:color w:val="000000"/>
              </w:rPr>
            </w:pPr>
            <w:r w:rsidRPr="00C47217">
              <w:rPr>
                <w:b/>
                <w:color w:val="000000"/>
              </w:rPr>
              <w:t>167.323</w:t>
            </w:r>
          </w:p>
        </w:tc>
        <w:tc>
          <w:tcPr>
            <w:tcW w:w="811" w:type="pct"/>
            <w:tcBorders>
              <w:top w:val="single" w:sz="8" w:space="0" w:color="DDDDDD"/>
              <w:left w:val="single" w:sz="8" w:space="0" w:color="DDDDDD"/>
              <w:bottom w:val="single" w:sz="8" w:space="0" w:color="DDDDDD"/>
              <w:right w:val="single" w:sz="8" w:space="0" w:color="DDDDDD"/>
            </w:tcBorders>
            <w:vAlign w:val="center"/>
          </w:tcPr>
          <w:p w:rsidR="00C47217" w:rsidRPr="00C47217" w:rsidRDefault="00C47217" w:rsidP="00B54C44">
            <w:pPr>
              <w:jc w:val="center"/>
              <w:rPr>
                <w:b/>
                <w:color w:val="000000"/>
              </w:rPr>
            </w:pPr>
            <w:r w:rsidRPr="00C47217">
              <w:rPr>
                <w:b/>
                <w:color w:val="000000"/>
              </w:rPr>
              <w:t>11.674</w:t>
            </w:r>
          </w:p>
        </w:tc>
      </w:tr>
    </w:tbl>
    <w:p w:rsidR="00C47217" w:rsidRPr="004C1CCC" w:rsidRDefault="00C47217" w:rsidP="00C47217">
      <w:pPr>
        <w:spacing w:before="40" w:after="240"/>
        <w:rPr>
          <w:rFonts w:eastAsia="Calibri"/>
          <w:b/>
          <w:bCs/>
          <w:sz w:val="16"/>
          <w:szCs w:val="16"/>
        </w:rPr>
      </w:pPr>
      <w:r w:rsidRPr="004C1CCC">
        <w:rPr>
          <w:rFonts w:eastAsia="Calibri"/>
          <w:b/>
          <w:bCs/>
          <w:sz w:val="16"/>
          <w:szCs w:val="16"/>
        </w:rPr>
        <w:t>Fonte: Demonstrações Contábeis da Energética Corumbá III S.A.</w:t>
      </w:r>
    </w:p>
    <w:p w:rsidR="00572546" w:rsidRPr="004C1CCC" w:rsidRDefault="00CD2EE5" w:rsidP="00CD2EE5">
      <w:pPr>
        <w:spacing w:before="240" w:after="240"/>
        <w:jc w:val="both"/>
        <w:rPr>
          <w:sz w:val="22"/>
          <w:szCs w:val="22"/>
        </w:rPr>
      </w:pPr>
      <w:bookmarkStart w:id="7" w:name="_Toc444790557"/>
      <w:r w:rsidRPr="004C1CCC">
        <w:rPr>
          <w:sz w:val="22"/>
          <w:szCs w:val="22"/>
        </w:rPr>
        <w:t>Ano a ano, os resultados da Energética Corumbá III S.A. têm sido positivos e crescentes, à medida em que se amortiza o montante do financiamento captado para a c</w:t>
      </w:r>
      <w:r w:rsidR="003B4394">
        <w:rPr>
          <w:sz w:val="22"/>
          <w:szCs w:val="22"/>
        </w:rPr>
        <w:t xml:space="preserve">onstrução da Usina Corumbá III. De fato, verifica-se que o </w:t>
      </w:r>
      <w:r w:rsidR="0063367D">
        <w:rPr>
          <w:sz w:val="22"/>
          <w:szCs w:val="22"/>
        </w:rPr>
        <w:t>Lucro L</w:t>
      </w:r>
      <w:r w:rsidR="003B4394">
        <w:rPr>
          <w:sz w:val="22"/>
          <w:szCs w:val="22"/>
        </w:rPr>
        <w:t>íquido de 2016 foi muito superior àquele apurado em 2015</w:t>
      </w:r>
      <w:r w:rsidR="00506D0E">
        <w:rPr>
          <w:sz w:val="22"/>
          <w:szCs w:val="22"/>
        </w:rPr>
        <w:t>, certamente com a contribuição dos efeitos da redução das despesas financeiras</w:t>
      </w:r>
      <w:r w:rsidR="003B4394">
        <w:rPr>
          <w:sz w:val="22"/>
          <w:szCs w:val="22"/>
        </w:rPr>
        <w:t>.</w:t>
      </w:r>
    </w:p>
    <w:p w:rsidR="00CD2EE5" w:rsidRPr="004C1CCC" w:rsidRDefault="00CD2EE5" w:rsidP="00CD2EE5">
      <w:pPr>
        <w:spacing w:before="240" w:after="240"/>
        <w:jc w:val="both"/>
        <w:rPr>
          <w:sz w:val="22"/>
          <w:szCs w:val="22"/>
        </w:rPr>
      </w:pPr>
      <w:r w:rsidRPr="004C1CCC">
        <w:rPr>
          <w:sz w:val="22"/>
          <w:szCs w:val="22"/>
        </w:rPr>
        <w:t xml:space="preserve">Fato relevante a ser destacado foi a formalização do Acordo Global concluído </w:t>
      </w:r>
      <w:r w:rsidR="00BE22EF">
        <w:rPr>
          <w:sz w:val="22"/>
          <w:szCs w:val="22"/>
        </w:rPr>
        <w:t>em</w:t>
      </w:r>
      <w:r w:rsidRPr="004C1CCC">
        <w:rPr>
          <w:sz w:val="22"/>
          <w:szCs w:val="22"/>
        </w:rPr>
        <w:t xml:space="preserve"> 2016, envolvendo diversas empresas, incluindo aquelas acionista</w:t>
      </w:r>
      <w:r w:rsidR="00BE22EF">
        <w:rPr>
          <w:sz w:val="22"/>
          <w:szCs w:val="22"/>
        </w:rPr>
        <w:t>s</w:t>
      </w:r>
      <w:r w:rsidR="001958C6" w:rsidRPr="004C1CCC">
        <w:rPr>
          <w:sz w:val="22"/>
          <w:szCs w:val="22"/>
        </w:rPr>
        <w:t xml:space="preserve"> da Energética Corumbá III S.A.</w:t>
      </w:r>
      <w:r w:rsidR="00DA3012" w:rsidRPr="004C1CCC">
        <w:rPr>
          <w:sz w:val="22"/>
          <w:szCs w:val="22"/>
        </w:rPr>
        <w:t>,</w:t>
      </w:r>
      <w:r w:rsidR="00B91C1D" w:rsidRPr="004C1CCC">
        <w:rPr>
          <w:sz w:val="22"/>
          <w:szCs w:val="22"/>
        </w:rPr>
        <w:t xml:space="preserve"> </w:t>
      </w:r>
      <w:r w:rsidR="00BE22EF">
        <w:rPr>
          <w:sz w:val="22"/>
          <w:szCs w:val="22"/>
        </w:rPr>
        <w:t xml:space="preserve">e </w:t>
      </w:r>
      <w:r w:rsidR="00B91C1D" w:rsidRPr="004C1CCC">
        <w:rPr>
          <w:sz w:val="22"/>
          <w:szCs w:val="22"/>
        </w:rPr>
        <w:t>participantes</w:t>
      </w:r>
      <w:r w:rsidRPr="004C1CCC">
        <w:rPr>
          <w:sz w:val="22"/>
          <w:szCs w:val="22"/>
        </w:rPr>
        <w:t xml:space="preserve"> do</w:t>
      </w:r>
      <w:r w:rsidR="00B91C1D" w:rsidRPr="004C1CCC">
        <w:rPr>
          <w:sz w:val="22"/>
          <w:szCs w:val="22"/>
        </w:rPr>
        <w:t>s</w:t>
      </w:r>
      <w:r w:rsidRPr="004C1CCC">
        <w:rPr>
          <w:sz w:val="22"/>
          <w:szCs w:val="22"/>
        </w:rPr>
        <w:t xml:space="preserve"> Consórcio</w:t>
      </w:r>
      <w:r w:rsidR="00B91C1D" w:rsidRPr="004C1CCC">
        <w:rPr>
          <w:sz w:val="22"/>
          <w:szCs w:val="22"/>
        </w:rPr>
        <w:t>s</w:t>
      </w:r>
      <w:r w:rsidRPr="004C1CCC">
        <w:rPr>
          <w:sz w:val="22"/>
          <w:szCs w:val="22"/>
        </w:rPr>
        <w:t xml:space="preserve"> Empreendedor Corumbá III </w:t>
      </w:r>
      <w:r w:rsidR="00B91C1D" w:rsidRPr="004C1CCC">
        <w:rPr>
          <w:sz w:val="22"/>
          <w:szCs w:val="22"/>
        </w:rPr>
        <w:t xml:space="preserve">e </w:t>
      </w:r>
      <w:r w:rsidRPr="004C1CCC">
        <w:rPr>
          <w:sz w:val="22"/>
          <w:szCs w:val="22"/>
        </w:rPr>
        <w:t>Construtor Corumbá III.</w:t>
      </w:r>
    </w:p>
    <w:p w:rsidR="00CD2EE5" w:rsidRPr="004C1CCC" w:rsidRDefault="00CD2EE5" w:rsidP="00CD2EE5">
      <w:pPr>
        <w:spacing w:before="240" w:after="240"/>
        <w:jc w:val="both"/>
        <w:rPr>
          <w:sz w:val="22"/>
          <w:szCs w:val="22"/>
        </w:rPr>
      </w:pPr>
      <w:r w:rsidRPr="004C1CCC">
        <w:rPr>
          <w:sz w:val="22"/>
          <w:szCs w:val="22"/>
        </w:rPr>
        <w:t xml:space="preserve">O mencionado </w:t>
      </w:r>
      <w:r w:rsidR="00B91C1D" w:rsidRPr="004C1CCC">
        <w:rPr>
          <w:sz w:val="22"/>
          <w:szCs w:val="22"/>
        </w:rPr>
        <w:t>Acordo</w:t>
      </w:r>
      <w:r w:rsidRPr="004C1CCC">
        <w:rPr>
          <w:sz w:val="22"/>
          <w:szCs w:val="22"/>
        </w:rPr>
        <w:t xml:space="preserve"> resultará nas eliminações de diversas demandas que estão sofrendo tratamento em ambiente arbitral e jurídico</w:t>
      </w:r>
      <w:r w:rsidR="0028751D" w:rsidRPr="004C1CCC">
        <w:rPr>
          <w:sz w:val="22"/>
          <w:szCs w:val="22"/>
        </w:rPr>
        <w:t>, remanescentes de reivindicações (</w:t>
      </w:r>
      <w:r w:rsidR="0028751D" w:rsidRPr="004C1CCC">
        <w:rPr>
          <w:i/>
          <w:sz w:val="22"/>
          <w:szCs w:val="22"/>
        </w:rPr>
        <w:t>claims</w:t>
      </w:r>
      <w:r w:rsidR="0028751D" w:rsidRPr="004C1CCC">
        <w:rPr>
          <w:sz w:val="22"/>
          <w:szCs w:val="22"/>
        </w:rPr>
        <w:t>) oriundas da época da construção da usina</w:t>
      </w:r>
      <w:r w:rsidR="00B91C1D" w:rsidRPr="004C1CCC">
        <w:rPr>
          <w:sz w:val="22"/>
          <w:szCs w:val="22"/>
        </w:rPr>
        <w:t>. Tais eliminações significam desistências e quitações de eventuais obrigações recíprocas, pendentes de julgamento, que agregarão valor ao negócio, uma vez deixarão de existir expectativas futuras de provisões no passivo</w:t>
      </w:r>
      <w:r w:rsidR="00DA3012" w:rsidRPr="004C1CCC">
        <w:rPr>
          <w:sz w:val="22"/>
          <w:szCs w:val="22"/>
        </w:rPr>
        <w:t xml:space="preserve"> da Energética Corumbá III </w:t>
      </w:r>
      <w:proofErr w:type="gramStart"/>
      <w:r w:rsidR="00DA3012" w:rsidRPr="004C1CCC">
        <w:rPr>
          <w:sz w:val="22"/>
          <w:szCs w:val="22"/>
        </w:rPr>
        <w:t>S.A..</w:t>
      </w:r>
      <w:proofErr w:type="gramEnd"/>
    </w:p>
    <w:p w:rsidR="00572546" w:rsidRDefault="003B4394" w:rsidP="0028751D">
      <w:pPr>
        <w:spacing w:before="240" w:after="240"/>
        <w:jc w:val="both"/>
        <w:rPr>
          <w:sz w:val="22"/>
          <w:szCs w:val="22"/>
        </w:rPr>
      </w:pPr>
      <w:r>
        <w:rPr>
          <w:sz w:val="22"/>
          <w:szCs w:val="22"/>
        </w:rPr>
        <w:t>Outro aspecto positivo</w:t>
      </w:r>
      <w:r w:rsidR="0028751D" w:rsidRPr="004C1CCC">
        <w:rPr>
          <w:sz w:val="22"/>
          <w:szCs w:val="22"/>
        </w:rPr>
        <w:t xml:space="preserve"> reside nas solicitações dos acionistas para que seja elevado o limite de distribuição de resultados, atualmente restrito ao percentual mínimo legal (25%), por exigência do BNDES quando da contratação do financiamento, tendo em vista que parte significativa deste compromisso foi honrad</w:t>
      </w:r>
      <w:r w:rsidR="00415BA2">
        <w:rPr>
          <w:sz w:val="22"/>
          <w:szCs w:val="22"/>
        </w:rPr>
        <w:t>o</w:t>
      </w:r>
      <w:r w:rsidR="0028751D" w:rsidRPr="004C1CCC">
        <w:rPr>
          <w:sz w:val="22"/>
          <w:szCs w:val="22"/>
        </w:rPr>
        <w:t>, de forma a permitir recebimentos de dividendos em montantes mais elevados.</w:t>
      </w:r>
    </w:p>
    <w:p w:rsidR="00C526B6" w:rsidRDefault="003B4394" w:rsidP="00F62C5A">
      <w:pPr>
        <w:spacing w:before="240" w:after="240"/>
        <w:jc w:val="both"/>
        <w:rPr>
          <w:b/>
          <w:bCs/>
          <w:sz w:val="22"/>
          <w:szCs w:val="22"/>
        </w:rPr>
      </w:pPr>
      <w:r>
        <w:rPr>
          <w:sz w:val="22"/>
          <w:szCs w:val="22"/>
        </w:rPr>
        <w:t xml:space="preserve">Essa iniciativa possibilitou a </w:t>
      </w:r>
      <w:r w:rsidR="00224640">
        <w:rPr>
          <w:sz w:val="22"/>
          <w:szCs w:val="22"/>
        </w:rPr>
        <w:t>destinação de resultados em</w:t>
      </w:r>
      <w:r w:rsidR="00506D0E">
        <w:rPr>
          <w:sz w:val="22"/>
          <w:szCs w:val="22"/>
        </w:rPr>
        <w:t xml:space="preserve"> um percentual adicional de </w:t>
      </w:r>
      <w:r w:rsidR="00E42AA5" w:rsidRPr="00E42AA5">
        <w:rPr>
          <w:sz w:val="22"/>
          <w:szCs w:val="22"/>
        </w:rPr>
        <w:t>65</w:t>
      </w:r>
      <w:r w:rsidR="00506D0E" w:rsidRPr="00E42AA5">
        <w:rPr>
          <w:sz w:val="22"/>
          <w:szCs w:val="22"/>
        </w:rPr>
        <w:t>% relativo ao exercício de 201</w:t>
      </w:r>
      <w:r w:rsidR="00224640" w:rsidRPr="00E42AA5">
        <w:rPr>
          <w:sz w:val="22"/>
          <w:szCs w:val="22"/>
        </w:rPr>
        <w:t>5</w:t>
      </w:r>
      <w:r w:rsidR="00506D0E" w:rsidRPr="00E42AA5">
        <w:rPr>
          <w:sz w:val="22"/>
          <w:szCs w:val="22"/>
        </w:rPr>
        <w:t xml:space="preserve">, </w:t>
      </w:r>
      <w:r w:rsidR="00224640" w:rsidRPr="00E42AA5">
        <w:rPr>
          <w:sz w:val="22"/>
          <w:szCs w:val="22"/>
        </w:rPr>
        <w:t xml:space="preserve">recebidos em janeiro de 2017, </w:t>
      </w:r>
      <w:r w:rsidR="00506D0E" w:rsidRPr="00E42AA5">
        <w:rPr>
          <w:sz w:val="22"/>
          <w:szCs w:val="22"/>
        </w:rPr>
        <w:t xml:space="preserve">perfazendo o total de </w:t>
      </w:r>
      <w:r w:rsidR="00E42AA5" w:rsidRPr="00E42AA5">
        <w:rPr>
          <w:sz w:val="22"/>
          <w:szCs w:val="22"/>
        </w:rPr>
        <w:t>90</w:t>
      </w:r>
      <w:r w:rsidR="00506D0E" w:rsidRPr="00E42AA5">
        <w:rPr>
          <w:sz w:val="22"/>
          <w:szCs w:val="22"/>
        </w:rPr>
        <w:t>%.</w:t>
      </w:r>
      <w:r w:rsidR="00C526B6">
        <w:rPr>
          <w:b/>
          <w:bCs/>
          <w:sz w:val="22"/>
          <w:szCs w:val="22"/>
        </w:rPr>
        <w:br w:type="page"/>
      </w:r>
    </w:p>
    <w:p w:rsidR="004F57A9" w:rsidRPr="004C1CCC" w:rsidRDefault="00366758" w:rsidP="00C2200D">
      <w:pPr>
        <w:rPr>
          <w:b/>
          <w:bCs/>
          <w:sz w:val="22"/>
          <w:szCs w:val="22"/>
        </w:rPr>
      </w:pPr>
      <w:r w:rsidRPr="004C1CCC">
        <w:rPr>
          <w:b/>
          <w:bCs/>
          <w:sz w:val="22"/>
          <w:szCs w:val="22"/>
        </w:rPr>
        <w:lastRenderedPageBreak/>
        <w:t>E</w:t>
      </w:r>
      <w:r w:rsidR="004F57A9" w:rsidRPr="004C1CCC">
        <w:rPr>
          <w:b/>
          <w:bCs/>
          <w:sz w:val="22"/>
          <w:szCs w:val="22"/>
        </w:rPr>
        <w:t>mpresa Ligada</w:t>
      </w:r>
      <w:bookmarkEnd w:id="7"/>
    </w:p>
    <w:p w:rsidR="004F57A9" w:rsidRPr="004C1CCC" w:rsidRDefault="004F57A9" w:rsidP="00EA7B2C">
      <w:pPr>
        <w:spacing w:before="240" w:after="240"/>
        <w:rPr>
          <w:b/>
          <w:bCs/>
          <w:sz w:val="22"/>
          <w:szCs w:val="22"/>
        </w:rPr>
      </w:pPr>
      <w:r w:rsidRPr="004C1CCC">
        <w:rPr>
          <w:b/>
          <w:bCs/>
          <w:sz w:val="22"/>
          <w:szCs w:val="22"/>
        </w:rPr>
        <w:t>BSB Energética S.A.</w:t>
      </w:r>
    </w:p>
    <w:p w:rsidR="00506D0E" w:rsidRPr="00506D0E" w:rsidRDefault="00506D0E" w:rsidP="00506D0E">
      <w:pPr>
        <w:spacing w:before="240" w:after="240"/>
        <w:jc w:val="both"/>
        <w:rPr>
          <w:bCs/>
          <w:sz w:val="22"/>
          <w:szCs w:val="22"/>
        </w:rPr>
      </w:pPr>
      <w:r w:rsidRPr="00506D0E">
        <w:rPr>
          <w:bCs/>
          <w:sz w:val="22"/>
          <w:szCs w:val="22"/>
        </w:rPr>
        <w:t xml:space="preserve">A BSB Energética </w:t>
      </w:r>
      <w:r>
        <w:rPr>
          <w:bCs/>
          <w:sz w:val="22"/>
          <w:szCs w:val="22"/>
        </w:rPr>
        <w:t>S.</w:t>
      </w:r>
      <w:r w:rsidRPr="00506D0E">
        <w:rPr>
          <w:bCs/>
          <w:sz w:val="22"/>
          <w:szCs w:val="22"/>
        </w:rPr>
        <w:t>A</w:t>
      </w:r>
      <w:r>
        <w:rPr>
          <w:bCs/>
          <w:sz w:val="22"/>
          <w:szCs w:val="22"/>
        </w:rPr>
        <w:t>.</w:t>
      </w:r>
      <w:r w:rsidRPr="00506D0E">
        <w:rPr>
          <w:bCs/>
          <w:sz w:val="22"/>
          <w:szCs w:val="22"/>
        </w:rPr>
        <w:t xml:space="preserve"> é uma sociedade por ações, constituída em 24 de março de 2000, para explorar Pequenas Centrais Hidrelétricas – PCHs, com potência global máxima instalada de 200 MW e, estatutariamente, está autorizada a participar de outros empreendimentos ou sociedades, seja como acionista ou quotista. A CEB detém uma participação acionária de 9,0% do cap</w:t>
      </w:r>
      <w:r>
        <w:rPr>
          <w:bCs/>
          <w:sz w:val="22"/>
          <w:szCs w:val="22"/>
        </w:rPr>
        <w:t>ital social da BSB Energética S.</w:t>
      </w:r>
      <w:r w:rsidRPr="00506D0E">
        <w:rPr>
          <w:bCs/>
          <w:sz w:val="22"/>
          <w:szCs w:val="22"/>
        </w:rPr>
        <w:t>A.</w:t>
      </w:r>
      <w:r>
        <w:rPr>
          <w:bCs/>
          <w:sz w:val="22"/>
          <w:szCs w:val="22"/>
        </w:rPr>
        <w:t>.</w:t>
      </w:r>
    </w:p>
    <w:p w:rsidR="00506D0E" w:rsidRPr="00506D0E" w:rsidRDefault="00506D0E" w:rsidP="00506D0E">
      <w:pPr>
        <w:spacing w:before="240" w:after="240"/>
        <w:jc w:val="both"/>
        <w:rPr>
          <w:bCs/>
          <w:sz w:val="22"/>
          <w:szCs w:val="22"/>
        </w:rPr>
      </w:pPr>
      <w:r w:rsidRPr="00506D0E">
        <w:rPr>
          <w:bCs/>
          <w:sz w:val="22"/>
          <w:szCs w:val="22"/>
        </w:rPr>
        <w:t>Em 2006, ao associar-se com outras empresas que possuíam concessões, projetos e licenças ambientais de empreendimentos de mesma natureza (PCHs), a BSB Energética S</w:t>
      </w:r>
      <w:r>
        <w:rPr>
          <w:bCs/>
          <w:sz w:val="22"/>
          <w:szCs w:val="22"/>
        </w:rPr>
        <w:t>.</w:t>
      </w:r>
      <w:r w:rsidRPr="00506D0E">
        <w:rPr>
          <w:bCs/>
          <w:sz w:val="22"/>
          <w:szCs w:val="22"/>
        </w:rPr>
        <w:t>A</w:t>
      </w:r>
      <w:r>
        <w:rPr>
          <w:bCs/>
          <w:sz w:val="22"/>
          <w:szCs w:val="22"/>
        </w:rPr>
        <w:t>.</w:t>
      </w:r>
      <w:r w:rsidRPr="00506D0E">
        <w:rPr>
          <w:bCs/>
          <w:sz w:val="22"/>
          <w:szCs w:val="22"/>
        </w:rPr>
        <w:t xml:space="preserve"> passou a deter participação acionária na Brasil PCH S</w:t>
      </w:r>
      <w:r>
        <w:rPr>
          <w:bCs/>
          <w:sz w:val="22"/>
          <w:szCs w:val="22"/>
        </w:rPr>
        <w:t>.</w:t>
      </w:r>
      <w:r w:rsidRPr="00506D0E">
        <w:rPr>
          <w:bCs/>
          <w:sz w:val="22"/>
          <w:szCs w:val="22"/>
        </w:rPr>
        <w:t>A</w:t>
      </w:r>
      <w:r>
        <w:rPr>
          <w:bCs/>
          <w:sz w:val="22"/>
          <w:szCs w:val="22"/>
        </w:rPr>
        <w:t>.</w:t>
      </w:r>
      <w:r w:rsidRPr="00506D0E">
        <w:rPr>
          <w:bCs/>
          <w:sz w:val="22"/>
          <w:szCs w:val="22"/>
        </w:rPr>
        <w:t>.</w:t>
      </w:r>
    </w:p>
    <w:p w:rsidR="00506D0E" w:rsidRPr="00506D0E" w:rsidRDefault="00506D0E" w:rsidP="00506D0E">
      <w:pPr>
        <w:spacing w:before="240" w:after="240"/>
        <w:jc w:val="both"/>
        <w:rPr>
          <w:bCs/>
          <w:sz w:val="22"/>
          <w:szCs w:val="22"/>
        </w:rPr>
      </w:pPr>
      <w:r w:rsidRPr="00506D0E">
        <w:rPr>
          <w:bCs/>
          <w:sz w:val="22"/>
          <w:szCs w:val="22"/>
        </w:rPr>
        <w:t>A Brasil</w:t>
      </w:r>
      <w:r>
        <w:rPr>
          <w:bCs/>
          <w:sz w:val="22"/>
          <w:szCs w:val="22"/>
        </w:rPr>
        <w:t xml:space="preserve"> PCH S.</w:t>
      </w:r>
      <w:r w:rsidRPr="00506D0E">
        <w:rPr>
          <w:bCs/>
          <w:sz w:val="22"/>
          <w:szCs w:val="22"/>
        </w:rPr>
        <w:t>A</w:t>
      </w:r>
      <w:r>
        <w:rPr>
          <w:bCs/>
          <w:sz w:val="22"/>
          <w:szCs w:val="22"/>
        </w:rPr>
        <w:t>.</w:t>
      </w:r>
      <w:r w:rsidRPr="00506D0E">
        <w:rPr>
          <w:bCs/>
          <w:sz w:val="22"/>
          <w:szCs w:val="22"/>
        </w:rPr>
        <w:t xml:space="preserve"> possui 13 Pequenas Centrais Hidrelétricas com capacidade total</w:t>
      </w:r>
      <w:r>
        <w:rPr>
          <w:bCs/>
          <w:sz w:val="22"/>
          <w:szCs w:val="22"/>
        </w:rPr>
        <w:t xml:space="preserve"> de 291 MW e a BSB Energética S.</w:t>
      </w:r>
      <w:r w:rsidRPr="00506D0E">
        <w:rPr>
          <w:bCs/>
          <w:sz w:val="22"/>
          <w:szCs w:val="22"/>
        </w:rPr>
        <w:t>A</w:t>
      </w:r>
      <w:r>
        <w:rPr>
          <w:bCs/>
          <w:sz w:val="22"/>
          <w:szCs w:val="22"/>
        </w:rPr>
        <w:t>.</w:t>
      </w:r>
      <w:r w:rsidRPr="00506D0E">
        <w:rPr>
          <w:bCs/>
          <w:sz w:val="22"/>
          <w:szCs w:val="22"/>
        </w:rPr>
        <w:t xml:space="preserve"> tem participação equivalente a 14,70% do capital.</w:t>
      </w:r>
    </w:p>
    <w:p w:rsidR="00506D0E" w:rsidRPr="00506D0E" w:rsidRDefault="00506D0E" w:rsidP="00506D0E">
      <w:pPr>
        <w:spacing w:before="240" w:after="240"/>
        <w:jc w:val="both"/>
        <w:rPr>
          <w:bCs/>
          <w:sz w:val="22"/>
          <w:szCs w:val="22"/>
        </w:rPr>
      </w:pPr>
      <w:r w:rsidRPr="00506D0E">
        <w:rPr>
          <w:bCs/>
          <w:sz w:val="22"/>
          <w:szCs w:val="22"/>
        </w:rPr>
        <w:t>A venda da energia gerada se dá por meio de contratos de compra e venda firmados por cada uma das empresas relacionadas com as PCHs para a Eletrobrás, por intermédio do Programa de Incentivo às Fontes Alternativas de Energia Elétrica – Proinfa.</w:t>
      </w:r>
    </w:p>
    <w:p w:rsidR="004F57A9" w:rsidRPr="004C1CCC" w:rsidRDefault="004F57A9" w:rsidP="00EA7B2C">
      <w:pPr>
        <w:spacing w:before="240" w:after="240"/>
        <w:rPr>
          <w:b/>
          <w:bCs/>
          <w:sz w:val="22"/>
          <w:szCs w:val="22"/>
        </w:rPr>
      </w:pPr>
      <w:r w:rsidRPr="004C1CCC">
        <w:rPr>
          <w:b/>
          <w:bCs/>
          <w:sz w:val="22"/>
          <w:szCs w:val="22"/>
        </w:rPr>
        <w:t>Organização Societária</w:t>
      </w:r>
    </w:p>
    <w:p w:rsidR="00EA7B2C" w:rsidRPr="00F93ACC" w:rsidRDefault="003639BB" w:rsidP="005A620D">
      <w:pPr>
        <w:spacing w:before="240" w:after="240"/>
        <w:jc w:val="center"/>
        <w:rPr>
          <w:sz w:val="22"/>
          <w:szCs w:val="22"/>
        </w:rPr>
      </w:pPr>
      <w:r w:rsidRPr="003639BB">
        <w:rPr>
          <w:noProof/>
          <w:sz w:val="22"/>
          <w:szCs w:val="22"/>
        </w:rPr>
        <w:drawing>
          <wp:inline distT="0" distB="0" distL="0" distR="0">
            <wp:extent cx="2422001" cy="2067339"/>
            <wp:effectExtent l="19050" t="0" r="0" b="0"/>
            <wp:docPr id="15" name="Obje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9991" cy="4360024"/>
                      <a:chOff x="2322005" y="1248988"/>
                      <a:chExt cx="4499991" cy="4360024"/>
                    </a:xfrm>
                  </a:grpSpPr>
                  <a:sp>
                    <a:nvSpPr>
                      <a:cNvPr id="2" name="Line 32"/>
                      <a:cNvSpPr>
                        <a:spLocks noChangeShapeType="1"/>
                      </a:cNvSpPr>
                    </a:nvSpPr>
                    <a:spPr bwMode="auto">
                      <a:xfrm flipH="1" flipV="1">
                        <a:off x="4122205" y="3029189"/>
                        <a:ext cx="1394895"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3" name="Line 37"/>
                      <a:cNvSpPr>
                        <a:spLocks noChangeShapeType="1"/>
                      </a:cNvSpPr>
                    </a:nvSpPr>
                    <a:spPr bwMode="auto">
                      <a:xfrm>
                        <a:off x="4842285" y="3037439"/>
                        <a:ext cx="0" cy="378768"/>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4" name="Line 33"/>
                      <a:cNvSpPr>
                        <a:spLocks noChangeShapeType="1"/>
                      </a:cNvSpPr>
                    </a:nvSpPr>
                    <a:spPr bwMode="auto">
                      <a:xfrm>
                        <a:off x="5490357" y="2768135"/>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5" name="Line 37"/>
                      <a:cNvSpPr>
                        <a:spLocks noChangeShapeType="1"/>
                      </a:cNvSpPr>
                    </a:nvSpPr>
                    <a:spPr bwMode="auto">
                      <a:xfrm>
                        <a:off x="5490357" y="1896681"/>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6" name="Line 37"/>
                      <a:cNvSpPr>
                        <a:spLocks noChangeShapeType="1"/>
                      </a:cNvSpPr>
                    </a:nvSpPr>
                    <a:spPr bwMode="auto">
                      <a:xfrm>
                        <a:off x="4122205" y="1896681"/>
                        <a:ext cx="0" cy="476953"/>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7" name="CaixaDeTexto 81"/>
                      <a:cNvSpPr txBox="1"/>
                    </a:nvSpPr>
                    <a:spPr>
                      <a:xfrm>
                        <a:off x="3834173" y="2380992"/>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9%</a:t>
                          </a:r>
                          <a:endParaRPr lang="pt-BR" sz="1400" b="1" dirty="0">
                            <a:latin typeface="Arial" pitchFamily="34" charset="0"/>
                            <a:cs typeface="Arial" pitchFamily="34" charset="0"/>
                          </a:endParaRPr>
                        </a:p>
                      </a:txBody>
                      <a:useSpRect/>
                    </a:txSp>
                  </a:sp>
                  <a:sp>
                    <a:nvSpPr>
                      <a:cNvPr id="8" name="CaixaDeTexto 82"/>
                      <a:cNvSpPr txBox="1"/>
                    </a:nvSpPr>
                    <a:spPr>
                      <a:xfrm>
                        <a:off x="5202325" y="2380992"/>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91%</a:t>
                          </a:r>
                          <a:endParaRPr lang="pt-BR" sz="1400" b="1" dirty="0">
                            <a:latin typeface="Arial" pitchFamily="34" charset="0"/>
                            <a:cs typeface="Arial" pitchFamily="34" charset="0"/>
                          </a:endParaRPr>
                        </a:p>
                      </a:txBody>
                      <a:useSpRect/>
                    </a:txSp>
                  </a:sp>
                  <a:sp>
                    <a:nvSpPr>
                      <a:cNvPr id="9" name="Line 33"/>
                      <a:cNvSpPr>
                        <a:spLocks noChangeShapeType="1"/>
                      </a:cNvSpPr>
                    </a:nvSpPr>
                    <a:spPr bwMode="auto">
                      <a:xfrm>
                        <a:off x="4122205" y="2760777"/>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pic>
                    <a:nvPicPr>
                      <a:cNvPr id="10" name="Picture 5" descr="35974"/>
                      <a:cNvPicPr>
                        <a:picLocks noChangeArrowheads="1"/>
                      </a:cNvPicPr>
                    </a:nvPicPr>
                    <a:blipFill>
                      <a:blip r:embed="rId24" cstate="print">
                        <a:extLst>
                          <a:ext uri="{28A0092B-C50C-407E-A947-70E740481C1C}">
                            <a14:useLocalDpi xmlns:a14="http://schemas.microsoft.com/office/drawing/2010/main" val="0"/>
                          </a:ext>
                        </a:extLst>
                      </a:blip>
                      <a:srcRect/>
                      <a:stretch>
                        <a:fillRect/>
                      </a:stretch>
                    </a:blipFill>
                    <a:spPr bwMode="auto">
                      <a:xfrm>
                        <a:off x="3546141" y="1248988"/>
                        <a:ext cx="953976" cy="546331"/>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pic>
                  <a:sp>
                    <a:nvSpPr>
                      <a:cNvPr id="11" name="Fluxograma: Processo 10"/>
                      <a:cNvSpPr>
                        <a:spLocks/>
                      </a:cNvSpPr>
                    </a:nvSpPr>
                    <a:spPr bwMode="auto">
                      <a:xfrm rot="10800000" flipV="1">
                        <a:off x="4220904" y="3437713"/>
                        <a:ext cx="1053429" cy="472715"/>
                      </a:xfrm>
                      <a:prstGeom prst="flowChartProcess">
                        <a:avLst/>
                      </a:prstGeom>
                      <a:solidFill>
                        <a:srgbClr val="FFFFFF"/>
                      </a:solidFill>
                      <a:ln w="254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1400" b="1" dirty="0" smtClean="0">
                              <a:solidFill>
                                <a:srgbClr val="002060"/>
                              </a:solidFill>
                              <a:latin typeface="Arial Narrow" pitchFamily="34" charset="0"/>
                            </a:rPr>
                            <a:t>BSB Energética</a:t>
                          </a:r>
                          <a:endParaRPr lang="pt-BR" altLang="pt-BR" sz="1400" b="1" dirty="0">
                            <a:solidFill>
                              <a:srgbClr val="002060"/>
                            </a:solidFill>
                            <a:latin typeface="Arial Narrow" pitchFamily="34" charset="0"/>
                          </a:endParaRPr>
                        </a:p>
                      </a:txBody>
                      <a:useSpRect/>
                    </a:txSp>
                  </a:sp>
                  <a:pic>
                    <a:nvPicPr>
                      <a:cNvPr id="12" name="Picture 6" descr="http://www.consen.com.br/mpainel/galeria/Brasil%20PCH.jpg"/>
                      <a:cNvPicPr>
                        <a:picLocks noChangeArrowheads="1"/>
                      </a:cNvPicPr>
                    </a:nvPicPr>
                    <a:blipFill rotWithShape="1">
                      <a:blip r:embed="rId53" cstate="print">
                        <a:extLst>
                          <a:ext uri="{28A0092B-C50C-407E-A947-70E740481C1C}">
                            <a14:useLocalDpi xmlns:a14="http://schemas.microsoft.com/office/drawing/2010/main" val="0"/>
                          </a:ext>
                        </a:extLst>
                      </a:blip>
                      <a:srcRect l="11410" t="31259" r="3243" b="34370"/>
                      <a:stretch/>
                    </a:blipFill>
                    <a:spPr bwMode="auto">
                      <a:xfrm>
                        <a:off x="4266221" y="5065412"/>
                        <a:ext cx="939600" cy="543600"/>
                      </a:xfrm>
                      <a:prstGeom prst="rect">
                        <a:avLst/>
                      </a:prstGeom>
                      <a:noFill/>
                      <a:extLst>
                        <a:ext uri="{909E8E84-426E-40DD-AFC4-6F175D3DCCD1}">
                          <a14:hiddenFill xmlns:a14="http://schemas.microsoft.com/office/drawing/2010/main">
                            <a:solidFill>
                              <a:srgbClr val="FFFFFF"/>
                            </a:solidFill>
                          </a14:hiddenFill>
                        </a:ext>
                      </a:extLst>
                    </a:spPr>
                  </a:pic>
                  <a:sp>
                    <a:nvSpPr>
                      <a:cNvPr id="13" name="Fluxograma: Processo 12"/>
                      <a:cNvSpPr>
                        <a:spLocks/>
                      </a:cNvSpPr>
                    </a:nvSpPr>
                    <a:spPr bwMode="auto">
                      <a:xfrm rot="10800000" flipV="1">
                        <a:off x="2322005" y="3438828"/>
                        <a:ext cx="1584174" cy="471600"/>
                      </a:xfrm>
                      <a:prstGeom prst="flowChartProcess">
                        <a:avLst/>
                      </a:prstGeom>
                      <a:solidFill>
                        <a:srgbClr val="FFFFFF"/>
                      </a:solidFill>
                      <a:ln w="254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1400" b="1" i="1" dirty="0" smtClean="0">
                              <a:solidFill>
                                <a:srgbClr val="002060"/>
                              </a:solidFill>
                              <a:latin typeface="Arial Narrow" pitchFamily="34" charset="0"/>
                            </a:rPr>
                            <a:t>Chipley</a:t>
                          </a:r>
                          <a:r>
                            <a:rPr lang="pt-BR" altLang="pt-BR" sz="1400" b="1" dirty="0" smtClean="0">
                              <a:solidFill>
                                <a:srgbClr val="002060"/>
                              </a:solidFill>
                              <a:latin typeface="Arial Narrow" pitchFamily="34" charset="0"/>
                            </a:rPr>
                            <a:t> SP Participações SA</a:t>
                          </a:r>
                          <a:endParaRPr lang="pt-BR" altLang="pt-BR" sz="1400" b="1" dirty="0">
                            <a:solidFill>
                              <a:srgbClr val="002060"/>
                            </a:solidFill>
                            <a:latin typeface="Arial Narrow" pitchFamily="34" charset="0"/>
                          </a:endParaRPr>
                        </a:p>
                      </a:txBody>
                      <a:useSpRect/>
                    </a:txSp>
                  </a:sp>
                  <a:sp>
                    <a:nvSpPr>
                      <a:cNvPr id="14" name="Fluxograma: Processo 13"/>
                      <a:cNvSpPr>
                        <a:spLocks/>
                      </a:cNvSpPr>
                    </a:nvSpPr>
                    <a:spPr bwMode="auto">
                      <a:xfrm rot="10800000" flipV="1">
                        <a:off x="5517046" y="3440568"/>
                        <a:ext cx="1304950" cy="472715"/>
                      </a:xfrm>
                      <a:prstGeom prst="flowChartProcess">
                        <a:avLst/>
                      </a:prstGeom>
                      <a:solidFill>
                        <a:srgbClr val="FFFFFF"/>
                      </a:solidFill>
                      <a:ln w="254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1400" b="1" dirty="0" smtClean="0">
                              <a:solidFill>
                                <a:srgbClr val="002060"/>
                              </a:solidFill>
                              <a:latin typeface="Arial Narrow" pitchFamily="34" charset="0"/>
                            </a:rPr>
                            <a:t>Eletroriver SA</a:t>
                          </a:r>
                          <a:endParaRPr lang="pt-BR" altLang="pt-BR" sz="1400" b="1" dirty="0">
                            <a:solidFill>
                              <a:srgbClr val="002060"/>
                            </a:solidFill>
                            <a:latin typeface="Arial Narrow" pitchFamily="34" charset="0"/>
                          </a:endParaRPr>
                        </a:p>
                      </a:txBody>
                      <a:useSpRect/>
                    </a:txSp>
                  </a:sp>
                  <a:sp>
                    <a:nvSpPr>
                      <a:cNvPr id="15" name="Line 32"/>
                      <a:cNvSpPr>
                        <a:spLocks noChangeShapeType="1"/>
                      </a:cNvSpPr>
                    </a:nvSpPr>
                    <a:spPr bwMode="auto">
                      <a:xfrm flipH="1">
                        <a:off x="3042085" y="4694002"/>
                        <a:ext cx="3166118"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p>
                      </a:txBody>
                      <a:useSpRect/>
                    </a:txSp>
                  </a:sp>
                  <a:sp>
                    <a:nvSpPr>
                      <a:cNvPr id="16" name="Line 37"/>
                      <a:cNvSpPr>
                        <a:spLocks noChangeShapeType="1"/>
                      </a:cNvSpPr>
                    </a:nvSpPr>
                    <a:spPr bwMode="auto">
                      <a:xfrm>
                        <a:off x="4767918" y="4694002"/>
                        <a:ext cx="0" cy="378768"/>
                      </a:xfrm>
                      <a:prstGeom prst="line">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7" name="Line 33"/>
                      <a:cNvSpPr>
                        <a:spLocks noChangeShapeType="1"/>
                      </a:cNvSpPr>
                    </a:nvSpPr>
                    <a:spPr bwMode="auto">
                      <a:xfrm>
                        <a:off x="6205969" y="4424698"/>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8" name="Line 33"/>
                      <a:cNvSpPr>
                        <a:spLocks noChangeShapeType="1"/>
                      </a:cNvSpPr>
                    </a:nvSpPr>
                    <a:spPr bwMode="auto">
                      <a:xfrm>
                        <a:off x="3042085" y="4417340"/>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19" name="Line 33"/>
                      <a:cNvSpPr>
                        <a:spLocks noChangeShapeType="1"/>
                      </a:cNvSpPr>
                    </a:nvSpPr>
                    <a:spPr bwMode="auto">
                      <a:xfrm>
                        <a:off x="4763450" y="4417340"/>
                        <a:ext cx="4468" cy="269304"/>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a:spPr>
                    <a:txSp>
                      <a:txBody>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BR">
                            <a:ln>
                              <a:solidFill>
                                <a:srgbClr val="C00000"/>
                              </a:solidFill>
                            </a:ln>
                          </a:endParaRPr>
                        </a:p>
                      </a:txBody>
                      <a:useSpRect/>
                    </a:txSp>
                  </a:sp>
                  <a:sp>
                    <a:nvSpPr>
                      <a:cNvPr id="20" name="CaixaDeTexto 98"/>
                      <a:cNvSpPr txBox="1"/>
                    </a:nvSpPr>
                    <a:spPr>
                      <a:xfrm>
                        <a:off x="2736181" y="4057300"/>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51%</a:t>
                          </a:r>
                          <a:endParaRPr lang="pt-BR" sz="1400" b="1" dirty="0">
                            <a:latin typeface="Arial" pitchFamily="34" charset="0"/>
                            <a:cs typeface="Arial" pitchFamily="34" charset="0"/>
                          </a:endParaRPr>
                        </a:p>
                      </a:txBody>
                      <a:useSpRect/>
                    </a:txSp>
                  </a:sp>
                  <a:sp>
                    <a:nvSpPr>
                      <a:cNvPr id="21" name="CaixaDeTexto 99"/>
                      <a:cNvSpPr txBox="1"/>
                    </a:nvSpPr>
                    <a:spPr>
                      <a:xfrm>
                        <a:off x="4392365" y="4057300"/>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smtClean="0">
                              <a:latin typeface="Arial" pitchFamily="34" charset="0"/>
                              <a:cs typeface="Arial" pitchFamily="34" charset="0"/>
                            </a:rPr>
                            <a:t>14,7%</a:t>
                          </a:r>
                          <a:endParaRPr lang="pt-BR" sz="1400" b="1" dirty="0">
                            <a:latin typeface="Arial" pitchFamily="34" charset="0"/>
                            <a:cs typeface="Arial" pitchFamily="34" charset="0"/>
                          </a:endParaRPr>
                        </a:p>
                      </a:txBody>
                      <a:useSpRect/>
                    </a:txSp>
                  </a:sp>
                  <a:sp>
                    <a:nvSpPr>
                      <a:cNvPr id="22" name="CaixaDeTexto 100"/>
                      <a:cNvSpPr txBox="1"/>
                    </a:nvSpPr>
                    <a:spPr>
                      <a:xfrm>
                        <a:off x="5832525" y="4057300"/>
                        <a:ext cx="737952" cy="307777"/>
                      </a:xfrm>
                      <a:prstGeom prst="rect">
                        <a:avLst/>
                      </a:prstGeom>
                      <a:noFill/>
                    </a:spPr>
                    <a:txSp>
                      <a:txBody>
                        <a:bodyPr wrap="square" rtlCol="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1400" b="1" dirty="0">
                              <a:latin typeface="Arial" pitchFamily="34" charset="0"/>
                              <a:cs typeface="Arial" pitchFamily="34" charset="0"/>
                            </a:rPr>
                            <a:t>3</a:t>
                          </a:r>
                          <a:r>
                            <a:rPr lang="pt-BR" sz="1400" b="1" dirty="0" smtClean="0">
                              <a:latin typeface="Arial" pitchFamily="34" charset="0"/>
                              <a:cs typeface="Arial" pitchFamily="34" charset="0"/>
                            </a:rPr>
                            <a:t>4,3%</a:t>
                          </a:r>
                          <a:endParaRPr lang="pt-BR" sz="1400" b="1" dirty="0">
                            <a:latin typeface="Arial" pitchFamily="34" charset="0"/>
                            <a:cs typeface="Arial" pitchFamily="34" charset="0"/>
                          </a:endParaRPr>
                        </a:p>
                      </a:txBody>
                      <a:useSpRect/>
                    </a:txSp>
                  </a:sp>
                  <a:sp>
                    <a:nvSpPr>
                      <a:cNvPr id="23" name="Fluxograma: Processo 22"/>
                      <a:cNvSpPr>
                        <a:spLocks/>
                      </a:cNvSpPr>
                    </a:nvSpPr>
                    <a:spPr bwMode="auto">
                      <a:xfrm rot="10800000" flipV="1">
                        <a:off x="4914293" y="1280329"/>
                        <a:ext cx="1304950" cy="472715"/>
                      </a:xfrm>
                      <a:prstGeom prst="flowChartProcess">
                        <a:avLst/>
                      </a:prstGeom>
                      <a:solidFill>
                        <a:srgbClr val="FFFFFF"/>
                      </a:solidFill>
                      <a:ln w="25400">
                        <a:solidFill>
                          <a:srgbClr val="002060"/>
                        </a:solidFill>
                        <a:miter lim="800000"/>
                        <a:headEnd/>
                        <a:tailEnd/>
                      </a:ln>
                    </a:spPr>
                    <a:txSp>
                      <a:txBody>
                        <a:bodyPr anchor="ct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pt-BR" altLang="pt-BR" sz="1400" b="1" dirty="0" smtClean="0">
                              <a:solidFill>
                                <a:srgbClr val="002060"/>
                              </a:solidFill>
                              <a:latin typeface="Arial Narrow" pitchFamily="34" charset="0"/>
                            </a:rPr>
                            <a:t>Eletroriver SA</a:t>
                          </a:r>
                          <a:endParaRPr lang="pt-BR" altLang="pt-BR" sz="1400" b="1" dirty="0">
                            <a:solidFill>
                              <a:srgbClr val="002060"/>
                            </a:solidFill>
                            <a:latin typeface="Arial Narrow" pitchFamily="34" charset="0"/>
                          </a:endParaRPr>
                        </a:p>
                      </a:txBody>
                      <a:useSpRect/>
                    </a:txSp>
                  </a:sp>
                </lc:lockedCanvas>
              </a:graphicData>
            </a:graphic>
          </wp:inline>
        </w:drawing>
      </w:r>
    </w:p>
    <w:p w:rsidR="00EA7B2C" w:rsidRDefault="00EA7B2C" w:rsidP="00410309">
      <w:pPr>
        <w:spacing w:before="240" w:after="240"/>
        <w:rPr>
          <w:b/>
          <w:sz w:val="22"/>
          <w:szCs w:val="22"/>
        </w:rPr>
      </w:pPr>
      <w:r w:rsidRPr="004C1CCC">
        <w:rPr>
          <w:b/>
          <w:sz w:val="22"/>
          <w:szCs w:val="22"/>
        </w:rPr>
        <w:t>Dados Econômico-Financeiros</w:t>
      </w:r>
    </w:p>
    <w:tbl>
      <w:tblPr>
        <w:tblW w:w="5000" w:type="pct"/>
        <w:jc w:val="center"/>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5190"/>
        <w:gridCol w:w="1652"/>
        <w:gridCol w:w="1652"/>
        <w:gridCol w:w="1644"/>
      </w:tblGrid>
      <w:tr w:rsidR="00410309" w:rsidRPr="004C1CCC" w:rsidTr="004446A0">
        <w:trPr>
          <w:trHeight w:val="361"/>
          <w:tblHeader/>
          <w:jc w:val="center"/>
        </w:trPr>
        <w:tc>
          <w:tcPr>
            <w:tcW w:w="2559"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410309" w:rsidRPr="00410309" w:rsidRDefault="00410309" w:rsidP="00B54C44">
            <w:pPr>
              <w:autoSpaceDE w:val="0"/>
              <w:autoSpaceDN w:val="0"/>
              <w:adjustRightInd w:val="0"/>
              <w:spacing w:line="264" w:lineRule="auto"/>
              <w:jc w:val="center"/>
              <w:rPr>
                <w:rFonts w:eastAsia="Calibri"/>
                <w:b/>
                <w:bCs/>
                <w:color w:val="FFFFFF" w:themeColor="background1"/>
                <w:lang w:eastAsia="en-US" w:bidi="en-US"/>
              </w:rPr>
            </w:pPr>
            <w:r w:rsidRPr="00410309">
              <w:rPr>
                <w:rFonts w:eastAsia="Calibri"/>
                <w:b/>
                <w:bCs/>
                <w:color w:val="FFFFFF" w:themeColor="background1"/>
              </w:rPr>
              <w:t>(R$ Mil)</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410309" w:rsidRPr="00410309" w:rsidRDefault="00410309" w:rsidP="00B54C44">
            <w:pPr>
              <w:autoSpaceDE w:val="0"/>
              <w:autoSpaceDN w:val="0"/>
              <w:adjustRightInd w:val="0"/>
              <w:spacing w:line="264" w:lineRule="auto"/>
              <w:jc w:val="center"/>
              <w:rPr>
                <w:rFonts w:eastAsia="Calibri"/>
                <w:b/>
                <w:bCs/>
                <w:color w:val="FFFFFF" w:themeColor="background1"/>
                <w:lang w:eastAsia="en-US" w:bidi="en-US"/>
              </w:rPr>
            </w:pPr>
            <w:r w:rsidRPr="00410309">
              <w:rPr>
                <w:rFonts w:eastAsia="Calibri"/>
                <w:b/>
                <w:bCs/>
                <w:color w:val="FFFFFF" w:themeColor="background1"/>
              </w:rPr>
              <w:t>2015</w:t>
            </w:r>
          </w:p>
        </w:tc>
        <w:tc>
          <w:tcPr>
            <w:tcW w:w="815"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410309" w:rsidRPr="00410309" w:rsidRDefault="00410309" w:rsidP="00B54C44">
            <w:pPr>
              <w:autoSpaceDE w:val="0"/>
              <w:autoSpaceDN w:val="0"/>
              <w:adjustRightInd w:val="0"/>
              <w:spacing w:line="264" w:lineRule="auto"/>
              <w:jc w:val="center"/>
              <w:rPr>
                <w:rFonts w:eastAsia="Calibri"/>
                <w:b/>
                <w:bCs/>
                <w:color w:val="FFFFFF" w:themeColor="background1"/>
                <w:lang w:eastAsia="en-US" w:bidi="en-US"/>
              </w:rPr>
            </w:pPr>
            <w:r w:rsidRPr="00410309">
              <w:rPr>
                <w:rFonts w:eastAsia="Calibri"/>
                <w:b/>
                <w:bCs/>
                <w:color w:val="FFFFFF" w:themeColor="background1"/>
              </w:rPr>
              <w:t>2016</w:t>
            </w:r>
          </w:p>
        </w:tc>
        <w:tc>
          <w:tcPr>
            <w:tcW w:w="812" w:type="pct"/>
            <w:tcBorders>
              <w:top w:val="single" w:sz="8" w:space="0" w:color="DDDDDD"/>
              <w:left w:val="single" w:sz="8" w:space="0" w:color="DDDDDD"/>
              <w:bottom w:val="single" w:sz="18" w:space="0" w:color="DDDDDD"/>
              <w:right w:val="single" w:sz="8" w:space="0" w:color="DDDDDD"/>
            </w:tcBorders>
            <w:shd w:val="clear" w:color="auto" w:fill="0070C0"/>
            <w:vAlign w:val="center"/>
          </w:tcPr>
          <w:p w:rsidR="00410309" w:rsidRPr="00410309" w:rsidRDefault="00410309" w:rsidP="00B54C44">
            <w:pPr>
              <w:jc w:val="center"/>
              <w:rPr>
                <w:b/>
                <w:bCs/>
                <w:snapToGrid w:val="0"/>
                <w:color w:val="FFFFFF" w:themeColor="background1"/>
                <w:lang w:eastAsia="en-US" w:bidi="en-US"/>
              </w:rPr>
            </w:pPr>
            <w:r w:rsidRPr="00410309">
              <w:rPr>
                <w:b/>
                <w:bCs/>
                <w:snapToGrid w:val="0"/>
                <w:color w:val="FFFFFF" w:themeColor="background1"/>
                <w:lang w:eastAsia="en-US" w:bidi="en-US"/>
              </w:rPr>
              <w:t>Δ (R$)</w:t>
            </w:r>
          </w:p>
        </w:tc>
      </w:tr>
      <w:tr w:rsidR="00410309" w:rsidRPr="004C1CCC" w:rsidTr="00410309">
        <w:trPr>
          <w:trHeight w:val="170"/>
          <w:jc w:val="center"/>
        </w:trPr>
        <w:tc>
          <w:tcPr>
            <w:tcW w:w="2559" w:type="pct"/>
            <w:shd w:val="clear" w:color="auto" w:fill="F6F6F6"/>
            <w:vAlign w:val="center"/>
            <w:hideMark/>
          </w:tcPr>
          <w:p w:rsidR="00410309" w:rsidRPr="00410309" w:rsidRDefault="00410309" w:rsidP="00410309">
            <w:pPr>
              <w:autoSpaceDE w:val="0"/>
              <w:autoSpaceDN w:val="0"/>
              <w:adjustRightInd w:val="0"/>
              <w:spacing w:line="264" w:lineRule="auto"/>
              <w:rPr>
                <w:rFonts w:eastAsia="Calibri"/>
                <w:b/>
                <w:bCs/>
                <w:lang w:eastAsia="en-US" w:bidi="en-US"/>
              </w:rPr>
            </w:pPr>
            <w:r w:rsidRPr="00410309">
              <w:rPr>
                <w:rFonts w:eastAsia="Calibri"/>
                <w:b/>
                <w:bCs/>
              </w:rPr>
              <w:t>Resultado Operacional Líquido Antes dos Tributos</w:t>
            </w:r>
          </w:p>
        </w:tc>
        <w:tc>
          <w:tcPr>
            <w:tcW w:w="815" w:type="pct"/>
            <w:shd w:val="clear" w:color="auto" w:fill="F6F6F6"/>
            <w:vAlign w:val="center"/>
            <w:hideMark/>
          </w:tcPr>
          <w:p w:rsidR="00410309" w:rsidRPr="00410309" w:rsidRDefault="00410309" w:rsidP="00B54C44">
            <w:pPr>
              <w:jc w:val="center"/>
              <w:rPr>
                <w:b/>
                <w:color w:val="000000"/>
              </w:rPr>
            </w:pPr>
            <w:r w:rsidRPr="00410309">
              <w:rPr>
                <w:b/>
                <w:color w:val="000000"/>
              </w:rPr>
              <w:t>11.537</w:t>
            </w:r>
          </w:p>
        </w:tc>
        <w:tc>
          <w:tcPr>
            <w:tcW w:w="815" w:type="pct"/>
            <w:shd w:val="clear" w:color="auto" w:fill="F6F6F6"/>
            <w:vAlign w:val="center"/>
          </w:tcPr>
          <w:p w:rsidR="00410309" w:rsidRPr="00410309" w:rsidRDefault="00410309" w:rsidP="00B54C44">
            <w:pPr>
              <w:jc w:val="center"/>
              <w:rPr>
                <w:b/>
                <w:color w:val="000000"/>
              </w:rPr>
            </w:pPr>
            <w:r w:rsidRPr="00410309">
              <w:rPr>
                <w:b/>
                <w:color w:val="000000"/>
              </w:rPr>
              <w:t>1.969</w:t>
            </w:r>
          </w:p>
        </w:tc>
        <w:tc>
          <w:tcPr>
            <w:tcW w:w="812" w:type="pct"/>
            <w:shd w:val="clear" w:color="auto" w:fill="F6F6F6"/>
            <w:vAlign w:val="center"/>
          </w:tcPr>
          <w:p w:rsidR="00410309" w:rsidRPr="00410309" w:rsidRDefault="00410309" w:rsidP="00B54C44">
            <w:pPr>
              <w:jc w:val="center"/>
              <w:rPr>
                <w:b/>
                <w:color w:val="000000"/>
              </w:rPr>
            </w:pPr>
            <w:r w:rsidRPr="00410309">
              <w:rPr>
                <w:b/>
                <w:color w:val="000000"/>
              </w:rPr>
              <w:t>(9.568)</w:t>
            </w:r>
          </w:p>
        </w:tc>
      </w:tr>
      <w:tr w:rsidR="00410309" w:rsidRPr="004C1CCC" w:rsidTr="00410309">
        <w:trPr>
          <w:trHeight w:val="170"/>
          <w:jc w:val="center"/>
        </w:trPr>
        <w:tc>
          <w:tcPr>
            <w:tcW w:w="2559"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410309" w:rsidRPr="00410309" w:rsidRDefault="00410309" w:rsidP="00410309">
            <w:pPr>
              <w:autoSpaceDE w:val="0"/>
              <w:autoSpaceDN w:val="0"/>
              <w:adjustRightInd w:val="0"/>
              <w:spacing w:line="264" w:lineRule="auto"/>
              <w:rPr>
                <w:rFonts w:eastAsia="Calibri"/>
                <w:b/>
                <w:bCs/>
                <w:lang w:eastAsia="en-US" w:bidi="en-US"/>
              </w:rPr>
            </w:pPr>
            <w:r w:rsidRPr="00410309">
              <w:rPr>
                <w:rFonts w:eastAsia="Calibri"/>
                <w:b/>
                <w:bCs/>
              </w:rPr>
              <w:t>Lucro Líquido (Prejuízo)</w:t>
            </w:r>
          </w:p>
        </w:tc>
        <w:tc>
          <w:tcPr>
            <w:tcW w:w="815"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410309" w:rsidRPr="00410309" w:rsidRDefault="00410309" w:rsidP="00B54C44">
            <w:pPr>
              <w:jc w:val="center"/>
              <w:rPr>
                <w:b/>
                <w:color w:val="000000"/>
              </w:rPr>
            </w:pPr>
            <w:r w:rsidRPr="00410309">
              <w:rPr>
                <w:b/>
                <w:color w:val="000000"/>
              </w:rPr>
              <w:t>11.537</w:t>
            </w:r>
          </w:p>
        </w:tc>
        <w:tc>
          <w:tcPr>
            <w:tcW w:w="815" w:type="pct"/>
            <w:tcBorders>
              <w:top w:val="single" w:sz="8" w:space="0" w:color="DDDDDD"/>
              <w:left w:val="single" w:sz="8" w:space="0" w:color="DDDDDD"/>
              <w:bottom w:val="single" w:sz="8" w:space="0" w:color="DDDDDD"/>
              <w:right w:val="single" w:sz="8" w:space="0" w:color="DDDDDD"/>
            </w:tcBorders>
            <w:vAlign w:val="center"/>
          </w:tcPr>
          <w:p w:rsidR="00410309" w:rsidRPr="00410309" w:rsidRDefault="00410309" w:rsidP="00B54C44">
            <w:pPr>
              <w:jc w:val="center"/>
              <w:rPr>
                <w:b/>
                <w:color w:val="000000"/>
              </w:rPr>
            </w:pPr>
            <w:r w:rsidRPr="00410309">
              <w:rPr>
                <w:b/>
                <w:color w:val="000000"/>
              </w:rPr>
              <w:t>1.969</w:t>
            </w:r>
          </w:p>
        </w:tc>
        <w:tc>
          <w:tcPr>
            <w:tcW w:w="812" w:type="pct"/>
            <w:tcBorders>
              <w:top w:val="single" w:sz="8" w:space="0" w:color="DDDDDD"/>
              <w:left w:val="single" w:sz="8" w:space="0" w:color="DDDDDD"/>
              <w:bottom w:val="single" w:sz="8" w:space="0" w:color="DDDDDD"/>
              <w:right w:val="single" w:sz="8" w:space="0" w:color="DDDDDD"/>
            </w:tcBorders>
            <w:vAlign w:val="center"/>
          </w:tcPr>
          <w:p w:rsidR="00410309" w:rsidRPr="00410309" w:rsidRDefault="00410309" w:rsidP="00B54C44">
            <w:pPr>
              <w:jc w:val="center"/>
              <w:rPr>
                <w:b/>
                <w:color w:val="000000"/>
              </w:rPr>
            </w:pPr>
            <w:r w:rsidRPr="00410309">
              <w:rPr>
                <w:b/>
                <w:color w:val="000000"/>
              </w:rPr>
              <w:t>(9.568)</w:t>
            </w:r>
          </w:p>
        </w:tc>
      </w:tr>
      <w:tr w:rsidR="00410309" w:rsidRPr="004C1CCC" w:rsidTr="00410309">
        <w:trPr>
          <w:trHeight w:val="170"/>
          <w:jc w:val="center"/>
        </w:trPr>
        <w:tc>
          <w:tcPr>
            <w:tcW w:w="2559" w:type="pct"/>
            <w:shd w:val="clear" w:color="auto" w:fill="F6F6F6"/>
            <w:vAlign w:val="center"/>
            <w:hideMark/>
          </w:tcPr>
          <w:p w:rsidR="00410309" w:rsidRPr="00410309" w:rsidRDefault="00410309" w:rsidP="00410309">
            <w:pPr>
              <w:autoSpaceDE w:val="0"/>
              <w:autoSpaceDN w:val="0"/>
              <w:adjustRightInd w:val="0"/>
              <w:spacing w:line="264" w:lineRule="auto"/>
              <w:rPr>
                <w:rFonts w:eastAsia="Calibri"/>
                <w:b/>
                <w:bCs/>
                <w:lang w:eastAsia="en-US" w:bidi="en-US"/>
              </w:rPr>
            </w:pPr>
            <w:r w:rsidRPr="00410309">
              <w:rPr>
                <w:rFonts w:eastAsia="Calibri"/>
                <w:b/>
                <w:bCs/>
              </w:rPr>
              <w:t>Patrimônio Líquido</w:t>
            </w:r>
          </w:p>
        </w:tc>
        <w:tc>
          <w:tcPr>
            <w:tcW w:w="815" w:type="pct"/>
            <w:shd w:val="clear" w:color="auto" w:fill="F6F6F6"/>
            <w:vAlign w:val="center"/>
            <w:hideMark/>
          </w:tcPr>
          <w:p w:rsidR="00410309" w:rsidRPr="00410309" w:rsidRDefault="00410309" w:rsidP="00B54C44">
            <w:pPr>
              <w:jc w:val="center"/>
              <w:rPr>
                <w:b/>
                <w:color w:val="000000"/>
              </w:rPr>
            </w:pPr>
            <w:r w:rsidRPr="00410309">
              <w:rPr>
                <w:b/>
                <w:color w:val="000000"/>
              </w:rPr>
              <w:t>12.851</w:t>
            </w:r>
          </w:p>
        </w:tc>
        <w:tc>
          <w:tcPr>
            <w:tcW w:w="815" w:type="pct"/>
            <w:shd w:val="clear" w:color="auto" w:fill="F6F6F6"/>
            <w:vAlign w:val="center"/>
          </w:tcPr>
          <w:p w:rsidR="00410309" w:rsidRPr="00410309" w:rsidRDefault="00410309" w:rsidP="00B54C44">
            <w:pPr>
              <w:jc w:val="center"/>
              <w:rPr>
                <w:b/>
                <w:color w:val="000000"/>
              </w:rPr>
            </w:pPr>
            <w:r w:rsidRPr="00410309">
              <w:rPr>
                <w:b/>
                <w:color w:val="000000"/>
              </w:rPr>
              <w:t>9.124</w:t>
            </w:r>
          </w:p>
        </w:tc>
        <w:tc>
          <w:tcPr>
            <w:tcW w:w="812" w:type="pct"/>
            <w:shd w:val="clear" w:color="auto" w:fill="F6F6F6"/>
            <w:vAlign w:val="center"/>
          </w:tcPr>
          <w:p w:rsidR="00410309" w:rsidRPr="00410309" w:rsidRDefault="00410309" w:rsidP="00B54C44">
            <w:pPr>
              <w:jc w:val="center"/>
              <w:rPr>
                <w:b/>
                <w:color w:val="000000"/>
              </w:rPr>
            </w:pPr>
            <w:r w:rsidRPr="00410309">
              <w:rPr>
                <w:b/>
                <w:color w:val="000000"/>
              </w:rPr>
              <w:t>(3.728)</w:t>
            </w:r>
          </w:p>
        </w:tc>
      </w:tr>
    </w:tbl>
    <w:p w:rsidR="00410309" w:rsidRPr="004C1CCC" w:rsidRDefault="00410309" w:rsidP="00410309">
      <w:pPr>
        <w:spacing w:before="40" w:after="240"/>
        <w:rPr>
          <w:rFonts w:eastAsia="Calibri"/>
          <w:b/>
          <w:bCs/>
          <w:sz w:val="16"/>
          <w:szCs w:val="16"/>
        </w:rPr>
      </w:pPr>
      <w:r w:rsidRPr="004C1CCC">
        <w:rPr>
          <w:rFonts w:eastAsia="Calibri"/>
          <w:b/>
          <w:bCs/>
          <w:sz w:val="16"/>
          <w:szCs w:val="16"/>
        </w:rPr>
        <w:t>Fonte: Demonstrações Contábeis da BSB Energética S.A.</w:t>
      </w:r>
    </w:p>
    <w:p w:rsidR="006B7A43" w:rsidRPr="006B7A43" w:rsidRDefault="00076190" w:rsidP="006B7A43">
      <w:pPr>
        <w:spacing w:before="240" w:after="240"/>
        <w:jc w:val="both"/>
        <w:rPr>
          <w:i/>
          <w:sz w:val="22"/>
          <w:szCs w:val="22"/>
        </w:rPr>
      </w:pPr>
      <w:r>
        <w:rPr>
          <w:sz w:val="22"/>
          <w:szCs w:val="22"/>
        </w:rPr>
        <w:t xml:space="preserve">O Lucro Líquido do exercício de 2016 (R$ 1.969 mil) foi muito inferior ao apurado em 2015 (R$ 11.537 mil). </w:t>
      </w:r>
      <w:r w:rsidR="00BE207F">
        <w:rPr>
          <w:sz w:val="22"/>
          <w:szCs w:val="22"/>
        </w:rPr>
        <w:t>Esse desempenho pode ser justificado com os seguintes argumentos:</w:t>
      </w:r>
      <w:r w:rsidRPr="00076190">
        <w:rPr>
          <w:sz w:val="22"/>
          <w:szCs w:val="22"/>
        </w:rPr>
        <w:t xml:space="preserve"> </w:t>
      </w:r>
    </w:p>
    <w:p w:rsidR="00BE207F" w:rsidRPr="0002156A" w:rsidRDefault="00BE207F" w:rsidP="00FA2F3A">
      <w:pPr>
        <w:pStyle w:val="PargrafodaLista"/>
        <w:numPr>
          <w:ilvl w:val="0"/>
          <w:numId w:val="15"/>
        </w:numPr>
        <w:jc w:val="both"/>
        <w:rPr>
          <w:rFonts w:ascii="Times New Roman" w:hAnsi="Times New Roman" w:cs="Times New Roman"/>
          <w:lang w:val="pt-BR"/>
        </w:rPr>
      </w:pPr>
      <w:r w:rsidRPr="00752FFF">
        <w:rPr>
          <w:rFonts w:ascii="Times New Roman" w:hAnsi="Times New Roman" w:cs="Times New Roman"/>
          <w:lang w:val="pt-BR"/>
        </w:rPr>
        <w:t xml:space="preserve">A BSB Energética S.A. é uma empresa </w:t>
      </w:r>
      <w:r w:rsidRPr="00752FFF">
        <w:rPr>
          <w:rFonts w:ascii="Times New Roman" w:hAnsi="Times New Roman" w:cs="Times New Roman"/>
          <w:i/>
          <w:lang w:val="pt-BR"/>
        </w:rPr>
        <w:t>holding</w:t>
      </w:r>
      <w:r w:rsidRPr="00752FFF">
        <w:rPr>
          <w:rFonts w:ascii="Times New Roman" w:hAnsi="Times New Roman" w:cs="Times New Roman"/>
          <w:lang w:val="pt-BR"/>
        </w:rPr>
        <w:t xml:space="preserve"> pura, que recebe dividendos da Brasil PCH, companhia que controla 13 Sociedades de Propósito Específico – </w:t>
      </w:r>
      <w:proofErr w:type="spellStart"/>
      <w:r w:rsidRPr="00752FFF">
        <w:rPr>
          <w:rFonts w:ascii="Times New Roman" w:hAnsi="Times New Roman" w:cs="Times New Roman"/>
          <w:lang w:val="pt-BR"/>
        </w:rPr>
        <w:t>SPEs</w:t>
      </w:r>
      <w:proofErr w:type="spellEnd"/>
      <w:r w:rsidRPr="00752FFF">
        <w:rPr>
          <w:rFonts w:ascii="Times New Roman" w:hAnsi="Times New Roman" w:cs="Times New Roman"/>
          <w:lang w:val="pt-BR"/>
        </w:rPr>
        <w:t xml:space="preserve"> de geração hidrelétrica. </w:t>
      </w:r>
      <w:r w:rsidRPr="0002156A">
        <w:rPr>
          <w:rFonts w:ascii="Times New Roman" w:hAnsi="Times New Roman" w:cs="Times New Roman"/>
          <w:lang w:val="pt-BR"/>
        </w:rPr>
        <w:t>Sua receita, portanto, é exclusivamente decorrente do recebimento da distribuição de resultados</w:t>
      </w:r>
      <w:r w:rsidR="0002156A" w:rsidRPr="0002156A">
        <w:rPr>
          <w:rFonts w:ascii="Times New Roman" w:hAnsi="Times New Roman" w:cs="Times New Roman"/>
          <w:lang w:val="pt-BR"/>
        </w:rPr>
        <w:t>;</w:t>
      </w:r>
    </w:p>
    <w:p w:rsidR="00BE207F" w:rsidRPr="00B66B33" w:rsidRDefault="0002156A" w:rsidP="00BE207F">
      <w:pPr>
        <w:pStyle w:val="PargrafodaLista"/>
        <w:numPr>
          <w:ilvl w:val="0"/>
          <w:numId w:val="15"/>
        </w:numPr>
        <w:tabs>
          <w:tab w:val="left" w:pos="1410"/>
        </w:tabs>
        <w:spacing w:before="240" w:after="240"/>
        <w:jc w:val="both"/>
        <w:rPr>
          <w:lang w:val="pt-BR"/>
        </w:rPr>
      </w:pPr>
      <w:r w:rsidRPr="0002156A">
        <w:rPr>
          <w:rFonts w:ascii="Times New Roman" w:hAnsi="Times New Roman" w:cs="Times New Roman"/>
          <w:lang w:val="pt-BR"/>
        </w:rPr>
        <w:t>Nos exerc</w:t>
      </w:r>
      <w:r>
        <w:rPr>
          <w:rFonts w:ascii="Times New Roman" w:hAnsi="Times New Roman" w:cs="Times New Roman"/>
          <w:lang w:val="pt-BR"/>
        </w:rPr>
        <w:t>ícios de 2014 e 2015,</w:t>
      </w:r>
      <w:r w:rsidR="00BE207F" w:rsidRPr="0002156A">
        <w:rPr>
          <w:rFonts w:ascii="Times New Roman" w:hAnsi="Times New Roman" w:cs="Times New Roman"/>
          <w:lang w:val="pt-BR"/>
        </w:rPr>
        <w:t xml:space="preserve"> a crise hídrica atingiu todos os geradores hidrelétricos brasileiros. </w:t>
      </w:r>
      <w:r w:rsidR="00B66B33">
        <w:rPr>
          <w:rFonts w:ascii="Times New Roman" w:hAnsi="Times New Roman" w:cs="Times New Roman"/>
          <w:lang w:val="pt-BR"/>
        </w:rPr>
        <w:t xml:space="preserve">As empresas geradoras que </w:t>
      </w:r>
      <w:proofErr w:type="gramStart"/>
      <w:r w:rsidR="00B66B33">
        <w:rPr>
          <w:rFonts w:ascii="Times New Roman" w:hAnsi="Times New Roman" w:cs="Times New Roman"/>
          <w:lang w:val="pt-BR"/>
        </w:rPr>
        <w:t>não  participam</w:t>
      </w:r>
      <w:proofErr w:type="gramEnd"/>
      <w:r w:rsidR="00B66B33">
        <w:rPr>
          <w:rFonts w:ascii="Times New Roman" w:hAnsi="Times New Roman" w:cs="Times New Roman"/>
          <w:lang w:val="pt-BR"/>
        </w:rPr>
        <w:t xml:space="preserve"> do Programa de Incentivo às Fontes Alternativas de Energia </w:t>
      </w:r>
      <w:r w:rsidR="00B66B33">
        <w:rPr>
          <w:rFonts w:ascii="Times New Roman" w:hAnsi="Times New Roman" w:cs="Times New Roman"/>
          <w:lang w:val="pt-BR"/>
        </w:rPr>
        <w:lastRenderedPageBreak/>
        <w:t>Elétrica – PROINFA, apuraram as repercussões econômico-financeiras negativas nos próprios exercícios em que houve a escassez hídrica</w:t>
      </w:r>
      <w:r w:rsidRPr="0002156A">
        <w:rPr>
          <w:lang w:val="pt-BR"/>
        </w:rPr>
        <w:t>;</w:t>
      </w:r>
      <w:r w:rsidR="00BE207F" w:rsidRPr="00B66B33">
        <w:rPr>
          <w:lang w:val="pt-BR"/>
        </w:rPr>
        <w:t> </w:t>
      </w:r>
      <w:r w:rsidR="0046731F">
        <w:rPr>
          <w:lang w:val="pt-BR"/>
        </w:rPr>
        <w:t>e</w:t>
      </w:r>
    </w:p>
    <w:p w:rsidR="00BE207F" w:rsidRDefault="00BE207F" w:rsidP="00FA2F3A">
      <w:pPr>
        <w:pStyle w:val="PargrafodaLista"/>
        <w:numPr>
          <w:ilvl w:val="0"/>
          <w:numId w:val="15"/>
        </w:numPr>
        <w:tabs>
          <w:tab w:val="left" w:pos="1410"/>
        </w:tabs>
        <w:spacing w:before="240" w:after="240"/>
        <w:jc w:val="both"/>
        <w:rPr>
          <w:rFonts w:ascii="Times New Roman" w:hAnsi="Times New Roman" w:cs="Times New Roman"/>
          <w:lang w:val="pt-BR"/>
        </w:rPr>
      </w:pPr>
      <w:r w:rsidRPr="0002156A">
        <w:rPr>
          <w:rFonts w:ascii="Times New Roman" w:hAnsi="Times New Roman" w:cs="Times New Roman"/>
          <w:lang w:val="pt-BR"/>
        </w:rPr>
        <w:t>Como os empreendimentos do PROINFA estão 100% contratados</w:t>
      </w:r>
      <w:r w:rsidR="0002156A" w:rsidRPr="0002156A">
        <w:rPr>
          <w:rFonts w:ascii="Times New Roman" w:hAnsi="Times New Roman" w:cs="Times New Roman"/>
          <w:lang w:val="pt-BR"/>
        </w:rPr>
        <w:t>,</w:t>
      </w:r>
      <w:r w:rsidRPr="0002156A">
        <w:rPr>
          <w:rFonts w:ascii="Times New Roman" w:hAnsi="Times New Roman" w:cs="Times New Roman"/>
          <w:lang w:val="pt-BR"/>
        </w:rPr>
        <w:t xml:space="preserve"> a </w:t>
      </w:r>
      <w:r w:rsidR="00B66B33">
        <w:rPr>
          <w:rFonts w:ascii="Times New Roman" w:hAnsi="Times New Roman" w:cs="Times New Roman"/>
          <w:lang w:val="pt-BR"/>
        </w:rPr>
        <w:t>mencionada crise hídrica</w:t>
      </w:r>
      <w:r w:rsidRPr="0002156A">
        <w:rPr>
          <w:rFonts w:ascii="Times New Roman" w:hAnsi="Times New Roman" w:cs="Times New Roman"/>
          <w:lang w:val="pt-BR"/>
        </w:rPr>
        <w:t xml:space="preserve"> causou exposição das </w:t>
      </w:r>
      <w:r w:rsidR="0002156A">
        <w:rPr>
          <w:rFonts w:ascii="Times New Roman" w:hAnsi="Times New Roman" w:cs="Times New Roman"/>
          <w:lang w:val="pt-BR"/>
        </w:rPr>
        <w:t>geradoras</w:t>
      </w:r>
      <w:r w:rsidRPr="0002156A">
        <w:rPr>
          <w:rFonts w:ascii="Times New Roman" w:hAnsi="Times New Roman" w:cs="Times New Roman"/>
          <w:lang w:val="pt-BR"/>
        </w:rPr>
        <w:t xml:space="preserve"> ao preço de curto prazo (</w:t>
      </w:r>
      <w:r w:rsidRPr="0002156A">
        <w:rPr>
          <w:rFonts w:ascii="Times New Roman" w:hAnsi="Times New Roman" w:cs="Times New Roman"/>
          <w:i/>
          <w:lang w:val="pt-BR"/>
        </w:rPr>
        <w:t>spot</w:t>
      </w:r>
      <w:r w:rsidRPr="0002156A">
        <w:rPr>
          <w:rFonts w:ascii="Times New Roman" w:hAnsi="Times New Roman" w:cs="Times New Roman"/>
          <w:lang w:val="pt-BR"/>
        </w:rPr>
        <w:t>)</w:t>
      </w:r>
      <w:r w:rsidR="00B66B33">
        <w:rPr>
          <w:rFonts w:ascii="Times New Roman" w:hAnsi="Times New Roman" w:cs="Times New Roman"/>
          <w:lang w:val="pt-BR"/>
        </w:rPr>
        <w:t xml:space="preserve"> elevados</w:t>
      </w:r>
      <w:r w:rsidRPr="0002156A">
        <w:rPr>
          <w:rFonts w:ascii="Times New Roman" w:hAnsi="Times New Roman" w:cs="Times New Roman"/>
          <w:lang w:val="pt-BR"/>
        </w:rPr>
        <w:t xml:space="preserve">. Os efeitos desta exposição </w:t>
      </w:r>
      <w:r w:rsidR="0002156A" w:rsidRPr="0002156A">
        <w:rPr>
          <w:rFonts w:ascii="Times New Roman" w:hAnsi="Times New Roman" w:cs="Times New Roman"/>
          <w:lang w:val="pt-BR"/>
        </w:rPr>
        <w:t>ocorreram</w:t>
      </w:r>
      <w:r w:rsidRPr="0002156A">
        <w:rPr>
          <w:rFonts w:ascii="Times New Roman" w:hAnsi="Times New Roman" w:cs="Times New Roman"/>
          <w:lang w:val="pt-BR"/>
        </w:rPr>
        <w:t xml:space="preserve"> nos </w:t>
      </w:r>
      <w:r w:rsidR="0002156A" w:rsidRPr="0002156A">
        <w:rPr>
          <w:rFonts w:ascii="Times New Roman" w:hAnsi="Times New Roman" w:cs="Times New Roman"/>
          <w:lang w:val="pt-BR"/>
        </w:rPr>
        <w:t>citados exerc</w:t>
      </w:r>
      <w:r w:rsidR="0002156A">
        <w:rPr>
          <w:rFonts w:ascii="Times New Roman" w:hAnsi="Times New Roman" w:cs="Times New Roman"/>
          <w:lang w:val="pt-BR"/>
        </w:rPr>
        <w:t>ícios</w:t>
      </w:r>
      <w:r w:rsidRPr="0002156A">
        <w:rPr>
          <w:rFonts w:ascii="Times New Roman" w:hAnsi="Times New Roman" w:cs="Times New Roman"/>
          <w:lang w:val="pt-BR"/>
        </w:rPr>
        <w:t>, contudo, conforme definido no PROINFA</w:t>
      </w:r>
      <w:r w:rsidR="0002156A">
        <w:rPr>
          <w:rFonts w:ascii="Times New Roman" w:hAnsi="Times New Roman" w:cs="Times New Roman"/>
          <w:lang w:val="pt-BR"/>
        </w:rPr>
        <w:t>,</w:t>
      </w:r>
      <w:r w:rsidRPr="0002156A">
        <w:rPr>
          <w:rFonts w:ascii="Times New Roman" w:hAnsi="Times New Roman" w:cs="Times New Roman"/>
          <w:lang w:val="pt-BR"/>
        </w:rPr>
        <w:t xml:space="preserve"> </w:t>
      </w:r>
      <w:r w:rsidR="0002156A">
        <w:rPr>
          <w:rFonts w:ascii="Times New Roman" w:hAnsi="Times New Roman" w:cs="Times New Roman"/>
          <w:lang w:val="pt-BR"/>
        </w:rPr>
        <w:t>somente serão</w:t>
      </w:r>
      <w:r w:rsidRPr="0002156A">
        <w:rPr>
          <w:rFonts w:ascii="Times New Roman" w:hAnsi="Times New Roman" w:cs="Times New Roman"/>
          <w:lang w:val="pt-BR"/>
        </w:rPr>
        <w:t xml:space="preserve"> cobrados no</w:t>
      </w:r>
      <w:r w:rsidR="0002156A">
        <w:rPr>
          <w:rFonts w:ascii="Times New Roman" w:hAnsi="Times New Roman" w:cs="Times New Roman"/>
          <w:lang w:val="pt-BR"/>
        </w:rPr>
        <w:t>s</w:t>
      </w:r>
      <w:r w:rsidRPr="0002156A">
        <w:rPr>
          <w:rFonts w:ascii="Times New Roman" w:hAnsi="Times New Roman" w:cs="Times New Roman"/>
          <w:lang w:val="pt-BR"/>
        </w:rPr>
        <w:t xml:space="preserve"> ano</w:t>
      </w:r>
      <w:r w:rsidR="0002156A">
        <w:rPr>
          <w:rFonts w:ascii="Times New Roman" w:hAnsi="Times New Roman" w:cs="Times New Roman"/>
          <w:lang w:val="pt-BR"/>
        </w:rPr>
        <w:t>s</w:t>
      </w:r>
      <w:r w:rsidRPr="0002156A">
        <w:rPr>
          <w:rFonts w:ascii="Times New Roman" w:hAnsi="Times New Roman" w:cs="Times New Roman"/>
          <w:lang w:val="pt-BR"/>
        </w:rPr>
        <w:t xml:space="preserve"> subsequente</w:t>
      </w:r>
      <w:r w:rsidR="0002156A">
        <w:rPr>
          <w:rFonts w:ascii="Times New Roman" w:hAnsi="Times New Roman" w:cs="Times New Roman"/>
          <w:lang w:val="pt-BR"/>
        </w:rPr>
        <w:t>s</w:t>
      </w:r>
      <w:r w:rsidRPr="0002156A">
        <w:rPr>
          <w:rFonts w:ascii="Times New Roman" w:hAnsi="Times New Roman" w:cs="Times New Roman"/>
          <w:lang w:val="pt-BR"/>
        </w:rPr>
        <w:t xml:space="preserve"> em 12 parcelas. Portanto</w:t>
      </w:r>
      <w:r w:rsidR="0002156A" w:rsidRPr="0002156A">
        <w:rPr>
          <w:rFonts w:ascii="Times New Roman" w:hAnsi="Times New Roman" w:cs="Times New Roman"/>
          <w:lang w:val="pt-BR"/>
        </w:rPr>
        <w:t>,</w:t>
      </w:r>
      <w:r w:rsidRPr="0002156A">
        <w:rPr>
          <w:rFonts w:ascii="Times New Roman" w:hAnsi="Times New Roman" w:cs="Times New Roman"/>
          <w:lang w:val="pt-BR"/>
        </w:rPr>
        <w:t xml:space="preserve"> o efeito que se observou n</w:t>
      </w:r>
      <w:r w:rsidR="00273A8C">
        <w:rPr>
          <w:rFonts w:ascii="Times New Roman" w:hAnsi="Times New Roman" w:cs="Times New Roman"/>
          <w:lang w:val="pt-BR"/>
        </w:rPr>
        <w:t>o recebimento de dividendos na BSB Energética S.A. em 2016</w:t>
      </w:r>
      <w:r w:rsidRPr="0002156A">
        <w:rPr>
          <w:rFonts w:ascii="Times New Roman" w:hAnsi="Times New Roman" w:cs="Times New Roman"/>
          <w:lang w:val="pt-BR"/>
        </w:rPr>
        <w:t xml:space="preserve"> foi fruto </w:t>
      </w:r>
      <w:r w:rsidR="00AA023C">
        <w:rPr>
          <w:rFonts w:ascii="Times New Roman" w:hAnsi="Times New Roman" w:cs="Times New Roman"/>
          <w:lang w:val="pt-BR"/>
        </w:rPr>
        <w:t>do</w:t>
      </w:r>
      <w:r w:rsidRPr="0002156A">
        <w:rPr>
          <w:rFonts w:ascii="Times New Roman" w:hAnsi="Times New Roman" w:cs="Times New Roman"/>
          <w:lang w:val="pt-BR"/>
        </w:rPr>
        <w:t xml:space="preserve"> problema de 2014, </w:t>
      </w:r>
      <w:r w:rsidR="00E9251E">
        <w:rPr>
          <w:rFonts w:ascii="Times New Roman" w:hAnsi="Times New Roman" w:cs="Times New Roman"/>
          <w:lang w:val="pt-BR"/>
        </w:rPr>
        <w:t>que exigiu desembolso</w:t>
      </w:r>
      <w:r w:rsidRPr="0002156A">
        <w:rPr>
          <w:rFonts w:ascii="Times New Roman" w:hAnsi="Times New Roman" w:cs="Times New Roman"/>
          <w:lang w:val="pt-BR"/>
        </w:rPr>
        <w:t xml:space="preserve"> em 2015</w:t>
      </w:r>
      <w:r w:rsidR="00273A8C">
        <w:rPr>
          <w:rFonts w:ascii="Times New Roman" w:hAnsi="Times New Roman" w:cs="Times New Roman"/>
          <w:lang w:val="pt-BR"/>
        </w:rPr>
        <w:t xml:space="preserve"> no âmbito da Brasil PCH</w:t>
      </w:r>
      <w:r w:rsidRPr="0002156A">
        <w:rPr>
          <w:rFonts w:ascii="Times New Roman" w:hAnsi="Times New Roman" w:cs="Times New Roman"/>
          <w:lang w:val="pt-BR"/>
        </w:rPr>
        <w:t>.</w:t>
      </w:r>
    </w:p>
    <w:p w:rsidR="00EA7B2C" w:rsidRPr="004C1CCC" w:rsidRDefault="00AB5C23" w:rsidP="00FA2F3A">
      <w:pPr>
        <w:pStyle w:val="Ttulo3"/>
        <w:numPr>
          <w:ilvl w:val="0"/>
          <w:numId w:val="10"/>
        </w:numPr>
      </w:pPr>
      <w:bookmarkStart w:id="8" w:name="_Toc478141841"/>
      <w:r w:rsidRPr="004C1CCC">
        <w:t xml:space="preserve">DESEMPENHO ECONÔMICO-FINANCEIRO </w:t>
      </w:r>
      <w:r w:rsidR="00CF71C6">
        <w:t>CONSOLIDADO</w:t>
      </w:r>
      <w:bookmarkEnd w:id="8"/>
    </w:p>
    <w:p w:rsidR="00365D03" w:rsidRDefault="00365D03" w:rsidP="00365D03">
      <w:pPr>
        <w:spacing w:before="240" w:after="240"/>
        <w:rPr>
          <w:b/>
          <w:bCs/>
          <w:sz w:val="22"/>
          <w:szCs w:val="22"/>
        </w:rPr>
      </w:pPr>
      <w:r w:rsidRPr="004C1CCC">
        <w:rPr>
          <w:b/>
          <w:bCs/>
          <w:sz w:val="22"/>
          <w:szCs w:val="22"/>
        </w:rPr>
        <w:t>Receita Operacional</w:t>
      </w:r>
    </w:p>
    <w:p w:rsidR="00365D03" w:rsidRDefault="00365D03" w:rsidP="00365D03">
      <w:pPr>
        <w:spacing w:before="240" w:after="240"/>
        <w:jc w:val="both"/>
        <w:rPr>
          <w:sz w:val="22"/>
          <w:szCs w:val="22"/>
        </w:rPr>
      </w:pPr>
      <w:r w:rsidRPr="007355AC">
        <w:rPr>
          <w:sz w:val="22"/>
          <w:szCs w:val="22"/>
        </w:rPr>
        <w:t xml:space="preserve">A </w:t>
      </w:r>
      <w:r>
        <w:rPr>
          <w:sz w:val="22"/>
          <w:szCs w:val="22"/>
        </w:rPr>
        <w:t>R</w:t>
      </w:r>
      <w:r w:rsidRPr="007355AC">
        <w:rPr>
          <w:sz w:val="22"/>
          <w:szCs w:val="22"/>
        </w:rPr>
        <w:t xml:space="preserve">eceita </w:t>
      </w:r>
      <w:r>
        <w:rPr>
          <w:sz w:val="22"/>
          <w:szCs w:val="22"/>
        </w:rPr>
        <w:t>O</w:t>
      </w:r>
      <w:r w:rsidRPr="007355AC">
        <w:rPr>
          <w:sz w:val="22"/>
          <w:szCs w:val="22"/>
        </w:rPr>
        <w:t xml:space="preserve">peracional </w:t>
      </w:r>
      <w:r>
        <w:rPr>
          <w:sz w:val="22"/>
          <w:szCs w:val="22"/>
        </w:rPr>
        <w:t>B</w:t>
      </w:r>
      <w:r w:rsidRPr="007355AC">
        <w:rPr>
          <w:sz w:val="22"/>
          <w:szCs w:val="22"/>
        </w:rPr>
        <w:t>ruta consolidada apurada no ano de 201</w:t>
      </w:r>
      <w:r>
        <w:rPr>
          <w:sz w:val="22"/>
          <w:szCs w:val="22"/>
        </w:rPr>
        <w:t>6</w:t>
      </w:r>
      <w:r w:rsidRPr="007355AC">
        <w:rPr>
          <w:sz w:val="22"/>
          <w:szCs w:val="22"/>
        </w:rPr>
        <w:t xml:space="preserve"> totalizou R$ </w:t>
      </w:r>
      <w:r>
        <w:rPr>
          <w:sz w:val="22"/>
          <w:szCs w:val="22"/>
        </w:rPr>
        <w:t>3</w:t>
      </w:r>
      <w:r w:rsidRPr="007355AC">
        <w:rPr>
          <w:sz w:val="22"/>
          <w:szCs w:val="22"/>
        </w:rPr>
        <w:t>.</w:t>
      </w:r>
      <w:r>
        <w:rPr>
          <w:sz w:val="22"/>
          <w:szCs w:val="22"/>
        </w:rPr>
        <w:t>521</w:t>
      </w:r>
      <w:r w:rsidRPr="007355AC">
        <w:rPr>
          <w:sz w:val="22"/>
          <w:szCs w:val="22"/>
        </w:rPr>
        <w:t>.</w:t>
      </w:r>
      <w:r>
        <w:rPr>
          <w:sz w:val="22"/>
          <w:szCs w:val="22"/>
        </w:rPr>
        <w:t>431</w:t>
      </w:r>
      <w:r w:rsidRPr="007355AC">
        <w:rPr>
          <w:sz w:val="22"/>
          <w:szCs w:val="22"/>
        </w:rPr>
        <w:t xml:space="preserve"> mil, R$ </w:t>
      </w:r>
      <w:r>
        <w:rPr>
          <w:sz w:val="22"/>
          <w:szCs w:val="22"/>
        </w:rPr>
        <w:t>480.227</w:t>
      </w:r>
      <w:r w:rsidRPr="007355AC">
        <w:rPr>
          <w:sz w:val="22"/>
          <w:szCs w:val="22"/>
        </w:rPr>
        <w:t xml:space="preserve"> mil </w:t>
      </w:r>
      <w:r>
        <w:rPr>
          <w:sz w:val="22"/>
          <w:szCs w:val="22"/>
        </w:rPr>
        <w:t>inferior</w:t>
      </w:r>
      <w:r w:rsidRPr="007355AC">
        <w:rPr>
          <w:sz w:val="22"/>
          <w:szCs w:val="22"/>
        </w:rPr>
        <w:t xml:space="preserve"> à receita obtida no ano de 201</w:t>
      </w:r>
      <w:r>
        <w:rPr>
          <w:sz w:val="22"/>
          <w:szCs w:val="22"/>
        </w:rPr>
        <w:t>5</w:t>
      </w:r>
      <w:r w:rsidRPr="007355AC">
        <w:rPr>
          <w:sz w:val="22"/>
          <w:szCs w:val="22"/>
        </w:rPr>
        <w:t xml:space="preserve">, correspondente a R$ </w:t>
      </w:r>
      <w:r>
        <w:rPr>
          <w:sz w:val="22"/>
          <w:szCs w:val="22"/>
        </w:rPr>
        <w:t>4.001.658</w:t>
      </w:r>
      <w:r w:rsidR="0046731F">
        <w:rPr>
          <w:sz w:val="22"/>
          <w:szCs w:val="22"/>
        </w:rPr>
        <w:t xml:space="preserve"> mil.</w:t>
      </w:r>
    </w:p>
    <w:p w:rsidR="00365D03" w:rsidRDefault="00365D03" w:rsidP="00365D03">
      <w:pPr>
        <w:spacing w:before="240" w:after="240"/>
        <w:jc w:val="both"/>
        <w:rPr>
          <w:sz w:val="22"/>
          <w:szCs w:val="22"/>
        </w:rPr>
      </w:pPr>
      <w:r w:rsidRPr="007355AC">
        <w:rPr>
          <w:sz w:val="22"/>
          <w:szCs w:val="22"/>
        </w:rPr>
        <w:t xml:space="preserve">As principais variações da </w:t>
      </w:r>
      <w:r w:rsidR="009552DB">
        <w:rPr>
          <w:sz w:val="22"/>
          <w:szCs w:val="22"/>
        </w:rPr>
        <w:t>Receita O</w:t>
      </w:r>
      <w:r w:rsidR="00987505">
        <w:rPr>
          <w:sz w:val="22"/>
          <w:szCs w:val="22"/>
        </w:rPr>
        <w:t>peracional foram as seguinte:</w:t>
      </w:r>
    </w:p>
    <w:tbl>
      <w:tblPr>
        <w:tblStyle w:val="ListaClara-nfase11"/>
        <w:tblW w:w="5000" w:type="pct"/>
        <w:tblLook w:val="04A0" w:firstRow="1" w:lastRow="0" w:firstColumn="1" w:lastColumn="0" w:noHBand="0" w:noVBand="1"/>
      </w:tblPr>
      <w:tblGrid>
        <w:gridCol w:w="4946"/>
        <w:gridCol w:w="1531"/>
        <w:gridCol w:w="1223"/>
        <w:gridCol w:w="1223"/>
        <w:gridCol w:w="1215"/>
      </w:tblGrid>
      <w:tr w:rsidR="00365D03" w:rsidRPr="000F02AB" w:rsidTr="008E2F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9" w:type="pct"/>
            <w:shd w:val="clear" w:color="auto" w:fill="0070C0"/>
            <w:vAlign w:val="center"/>
            <w:hideMark/>
          </w:tcPr>
          <w:p w:rsidR="00365D03" w:rsidRPr="000F02AB" w:rsidRDefault="00E03272" w:rsidP="008E2F34">
            <w:pPr>
              <w:jc w:val="center"/>
              <w:rPr>
                <w:bCs w:val="0"/>
              </w:rPr>
            </w:pPr>
            <w:r w:rsidRPr="000F02AB">
              <w:rPr>
                <w:bCs w:val="0"/>
              </w:rPr>
              <w:t xml:space="preserve"> </w:t>
            </w:r>
            <w:r w:rsidR="00365D03" w:rsidRPr="000F02AB">
              <w:rPr>
                <w:bCs w:val="0"/>
              </w:rPr>
              <w:t>(R$ Mil)</w:t>
            </w:r>
          </w:p>
        </w:tc>
        <w:tc>
          <w:tcPr>
            <w:tcW w:w="755" w:type="pct"/>
            <w:shd w:val="clear" w:color="auto" w:fill="0070C0"/>
            <w:vAlign w:val="center"/>
          </w:tcPr>
          <w:p w:rsidR="00365D03" w:rsidRPr="000F02AB" w:rsidRDefault="00365D03" w:rsidP="008E2F34">
            <w:pPr>
              <w:jc w:val="center"/>
              <w:cnfStyle w:val="100000000000" w:firstRow="1" w:lastRow="0" w:firstColumn="0" w:lastColumn="0" w:oddVBand="0" w:evenVBand="0" w:oddHBand="0" w:evenHBand="0" w:firstRowFirstColumn="0" w:firstRowLastColumn="0" w:lastRowFirstColumn="0" w:lastRowLastColumn="0"/>
              <w:rPr>
                <w:bCs w:val="0"/>
                <w:snapToGrid w:val="0"/>
              </w:rPr>
            </w:pPr>
            <w:r w:rsidRPr="000F02AB">
              <w:rPr>
                <w:bCs w:val="0"/>
                <w:snapToGrid w:val="0"/>
              </w:rPr>
              <w:t>2015</w:t>
            </w:r>
          </w:p>
          <w:p w:rsidR="00365D03" w:rsidRPr="00365D03" w:rsidRDefault="00365D03" w:rsidP="008E2F34">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365D03">
              <w:rPr>
                <w:bCs w:val="0"/>
                <w:snapToGrid w:val="0"/>
                <w:sz w:val="16"/>
                <w:szCs w:val="16"/>
              </w:rPr>
              <w:t>Reapresentado</w:t>
            </w:r>
          </w:p>
        </w:tc>
        <w:tc>
          <w:tcPr>
            <w:tcW w:w="603" w:type="pct"/>
            <w:shd w:val="clear" w:color="auto" w:fill="0070C0"/>
            <w:vAlign w:val="center"/>
            <w:hideMark/>
          </w:tcPr>
          <w:p w:rsidR="00365D03" w:rsidRPr="000F02AB" w:rsidRDefault="00365D03" w:rsidP="009552DB">
            <w:pPr>
              <w:jc w:val="center"/>
              <w:cnfStyle w:val="100000000000" w:firstRow="1" w:lastRow="0" w:firstColumn="0" w:lastColumn="0" w:oddVBand="0" w:evenVBand="0" w:oddHBand="0" w:evenHBand="0" w:firstRowFirstColumn="0" w:firstRowLastColumn="0" w:lastRowFirstColumn="0" w:lastRowLastColumn="0"/>
              <w:rPr>
                <w:bCs w:val="0"/>
              </w:rPr>
            </w:pPr>
            <w:r w:rsidRPr="000F02AB">
              <w:rPr>
                <w:bCs w:val="0"/>
              </w:rPr>
              <w:t>2016</w:t>
            </w:r>
          </w:p>
        </w:tc>
        <w:tc>
          <w:tcPr>
            <w:tcW w:w="1202" w:type="pct"/>
            <w:gridSpan w:val="2"/>
            <w:shd w:val="clear" w:color="auto" w:fill="0070C0"/>
            <w:vAlign w:val="center"/>
            <w:hideMark/>
          </w:tcPr>
          <w:p w:rsidR="00365D03" w:rsidRPr="000F02AB" w:rsidRDefault="00365D03" w:rsidP="008E2F34">
            <w:pPr>
              <w:jc w:val="center"/>
              <w:cnfStyle w:val="100000000000" w:firstRow="1" w:lastRow="0" w:firstColumn="0" w:lastColumn="0" w:oddVBand="0" w:evenVBand="0" w:oddHBand="0" w:evenHBand="0" w:firstRowFirstColumn="0" w:firstRowLastColumn="0" w:lastRowFirstColumn="0" w:lastRowLastColumn="0"/>
              <w:rPr>
                <w:bCs w:val="0"/>
              </w:rPr>
            </w:pPr>
            <w:r w:rsidRPr="000F02AB">
              <w:rPr>
                <w:bCs w:val="0"/>
              </w:rPr>
              <w:t>Δ Ano</w:t>
            </w:r>
          </w:p>
        </w:tc>
      </w:tr>
      <w:tr w:rsidR="00365D03" w:rsidRPr="007355A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9" w:type="pct"/>
            <w:hideMark/>
          </w:tcPr>
          <w:p w:rsidR="00365D03" w:rsidRPr="007355AC" w:rsidRDefault="00365D03" w:rsidP="00345D9B">
            <w:pPr>
              <w:rPr>
                <w:b w:val="0"/>
                <w:bCs w:val="0"/>
              </w:rPr>
            </w:pPr>
          </w:p>
        </w:tc>
        <w:tc>
          <w:tcPr>
            <w:tcW w:w="755" w:type="pct"/>
          </w:tcPr>
          <w:p w:rsidR="00365D03" w:rsidRPr="007355AC" w:rsidRDefault="00365D03" w:rsidP="00345D9B">
            <w:pPr>
              <w:cnfStyle w:val="000000100000" w:firstRow="0" w:lastRow="0" w:firstColumn="0" w:lastColumn="0" w:oddVBand="0" w:evenVBand="0" w:oddHBand="1" w:evenHBand="0" w:firstRowFirstColumn="0" w:firstRowLastColumn="0" w:lastRowFirstColumn="0" w:lastRowLastColumn="0"/>
            </w:pPr>
          </w:p>
        </w:tc>
        <w:tc>
          <w:tcPr>
            <w:tcW w:w="603" w:type="pct"/>
            <w:hideMark/>
          </w:tcPr>
          <w:p w:rsidR="00365D03" w:rsidRPr="007355AC" w:rsidRDefault="00365D03" w:rsidP="00345D9B">
            <w:pPr>
              <w:cnfStyle w:val="000000100000" w:firstRow="0" w:lastRow="0" w:firstColumn="0" w:lastColumn="0" w:oddVBand="0" w:evenVBand="0" w:oddHBand="1" w:evenHBand="0" w:firstRowFirstColumn="0" w:firstRowLastColumn="0" w:lastRowFirstColumn="0" w:lastRowLastColumn="0"/>
            </w:pPr>
          </w:p>
        </w:tc>
        <w:tc>
          <w:tcPr>
            <w:tcW w:w="603" w:type="pct"/>
            <w:hideMark/>
          </w:tcPr>
          <w:p w:rsidR="00365D03" w:rsidRPr="007355AC" w:rsidRDefault="00365D03" w:rsidP="009552DB">
            <w:pPr>
              <w:jc w:val="right"/>
              <w:cnfStyle w:val="000000100000" w:firstRow="0" w:lastRow="0" w:firstColumn="0" w:lastColumn="0" w:oddVBand="0" w:evenVBand="0" w:oddHBand="1" w:evenHBand="0" w:firstRowFirstColumn="0" w:firstRowLastColumn="0" w:lastRowFirstColumn="0" w:lastRowLastColumn="0"/>
              <w:rPr>
                <w:b/>
                <w:bCs/>
              </w:rPr>
            </w:pPr>
            <w:r w:rsidRPr="007355AC">
              <w:rPr>
                <w:b/>
                <w:bCs/>
              </w:rPr>
              <w:t>(R$ Mil)</w:t>
            </w:r>
          </w:p>
        </w:tc>
        <w:tc>
          <w:tcPr>
            <w:tcW w:w="599" w:type="pct"/>
            <w:hideMark/>
          </w:tcPr>
          <w:p w:rsidR="00365D03" w:rsidRPr="007355AC" w:rsidRDefault="00365D03" w:rsidP="009552DB">
            <w:pPr>
              <w:ind w:left="-206" w:firstLine="206"/>
              <w:jc w:val="right"/>
              <w:cnfStyle w:val="000000100000" w:firstRow="0" w:lastRow="0" w:firstColumn="0" w:lastColumn="0" w:oddVBand="0" w:evenVBand="0" w:oddHBand="1" w:evenHBand="0" w:firstRowFirstColumn="0" w:firstRowLastColumn="0" w:lastRowFirstColumn="0" w:lastRowLastColumn="0"/>
              <w:rPr>
                <w:b/>
                <w:bCs/>
              </w:rPr>
            </w:pPr>
            <w:r w:rsidRPr="007355AC">
              <w:rPr>
                <w:b/>
                <w:bCs/>
              </w:rPr>
              <w:t>(%)</w:t>
            </w:r>
          </w:p>
        </w:tc>
      </w:tr>
      <w:tr w:rsidR="00365D03" w:rsidRPr="007355AC" w:rsidTr="00345D9B">
        <w:trPr>
          <w:trHeight w:val="283"/>
        </w:trPr>
        <w:tc>
          <w:tcPr>
            <w:cnfStyle w:val="001000000000" w:firstRow="0" w:lastRow="0" w:firstColumn="1" w:lastColumn="0" w:oddVBand="0" w:evenVBand="0" w:oddHBand="0" w:evenHBand="0" w:firstRowFirstColumn="0" w:firstRowLastColumn="0" w:lastRowFirstColumn="0" w:lastRowLastColumn="0"/>
            <w:tcW w:w="2439" w:type="pct"/>
            <w:hideMark/>
          </w:tcPr>
          <w:p w:rsidR="00365D03" w:rsidRPr="00365D03" w:rsidRDefault="00365D03" w:rsidP="00345D9B">
            <w:pPr>
              <w:rPr>
                <w:bCs w:val="0"/>
              </w:rPr>
            </w:pPr>
            <w:r w:rsidRPr="00365D03">
              <w:rPr>
                <w:bCs w:val="0"/>
              </w:rPr>
              <w:t>Energia Elétrica de Curto Prazo</w:t>
            </w:r>
          </w:p>
        </w:tc>
        <w:tc>
          <w:tcPr>
            <w:tcW w:w="755" w:type="pct"/>
            <w:vAlign w:val="center"/>
          </w:tcPr>
          <w:p w:rsidR="00365D03" w:rsidRPr="008E2F34" w:rsidRDefault="00365D03" w:rsidP="00345D9B">
            <w:pPr>
              <w:jc w:val="right"/>
              <w:cnfStyle w:val="000000000000" w:firstRow="0" w:lastRow="0" w:firstColumn="0" w:lastColumn="0" w:oddVBand="0" w:evenVBand="0" w:oddHBand="0" w:evenHBand="0" w:firstRowFirstColumn="0" w:firstRowLastColumn="0" w:lastRowFirstColumn="0" w:lastRowLastColumn="0"/>
              <w:rPr>
                <w:b/>
                <w:bCs/>
              </w:rPr>
            </w:pPr>
            <w:r w:rsidRPr="008E2F34">
              <w:rPr>
                <w:b/>
                <w:bCs/>
              </w:rPr>
              <w:t xml:space="preserve">355.860 </w:t>
            </w:r>
          </w:p>
        </w:tc>
        <w:tc>
          <w:tcPr>
            <w:tcW w:w="603" w:type="pct"/>
            <w:vAlign w:val="center"/>
            <w:hideMark/>
          </w:tcPr>
          <w:p w:rsidR="00365D03" w:rsidRPr="008E2F34" w:rsidRDefault="00365D03" w:rsidP="00345D9B">
            <w:pPr>
              <w:jc w:val="right"/>
              <w:cnfStyle w:val="000000000000" w:firstRow="0" w:lastRow="0" w:firstColumn="0" w:lastColumn="0" w:oddVBand="0" w:evenVBand="0" w:oddHBand="0" w:evenHBand="0" w:firstRowFirstColumn="0" w:firstRowLastColumn="0" w:lastRowFirstColumn="0" w:lastRowLastColumn="0"/>
              <w:rPr>
                <w:b/>
                <w:bCs/>
              </w:rPr>
            </w:pPr>
            <w:r w:rsidRPr="008E2F34">
              <w:rPr>
                <w:b/>
                <w:bCs/>
              </w:rPr>
              <w:t xml:space="preserve">275.812 </w:t>
            </w:r>
          </w:p>
        </w:tc>
        <w:tc>
          <w:tcPr>
            <w:tcW w:w="603" w:type="pct"/>
            <w:vAlign w:val="center"/>
            <w:hideMark/>
          </w:tcPr>
          <w:p w:rsidR="00365D03" w:rsidRPr="008E2F34" w:rsidRDefault="00365D03" w:rsidP="00345D9B">
            <w:pPr>
              <w:jc w:val="right"/>
              <w:cnfStyle w:val="000000000000" w:firstRow="0" w:lastRow="0" w:firstColumn="0" w:lastColumn="0" w:oddVBand="0" w:evenVBand="0" w:oddHBand="0" w:evenHBand="0" w:firstRowFirstColumn="0" w:firstRowLastColumn="0" w:lastRowFirstColumn="0" w:lastRowLastColumn="0"/>
              <w:rPr>
                <w:b/>
                <w:bCs/>
              </w:rPr>
            </w:pPr>
            <w:r w:rsidRPr="008E2F34">
              <w:rPr>
                <w:b/>
                <w:bCs/>
              </w:rPr>
              <w:t>(80.048)</w:t>
            </w:r>
          </w:p>
        </w:tc>
        <w:tc>
          <w:tcPr>
            <w:tcW w:w="599" w:type="pct"/>
            <w:vAlign w:val="center"/>
            <w:hideMark/>
          </w:tcPr>
          <w:p w:rsidR="00365D03" w:rsidRPr="008E2F34" w:rsidRDefault="00365D03" w:rsidP="00E33FCA">
            <w:pPr>
              <w:ind w:left="-206"/>
              <w:jc w:val="right"/>
              <w:cnfStyle w:val="000000000000" w:firstRow="0" w:lastRow="0" w:firstColumn="0" w:lastColumn="0" w:oddVBand="0" w:evenVBand="0" w:oddHBand="0" w:evenHBand="0" w:firstRowFirstColumn="0" w:firstRowLastColumn="0" w:lastRowFirstColumn="0" w:lastRowLastColumn="0"/>
              <w:rPr>
                <w:b/>
                <w:bCs/>
              </w:rPr>
            </w:pPr>
            <w:r w:rsidRPr="008E2F34">
              <w:rPr>
                <w:b/>
                <w:bCs/>
              </w:rPr>
              <w:t>(22,5)</w:t>
            </w:r>
          </w:p>
        </w:tc>
      </w:tr>
      <w:tr w:rsidR="00365D03" w:rsidRPr="007355A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9" w:type="pct"/>
            <w:hideMark/>
          </w:tcPr>
          <w:p w:rsidR="00365D03" w:rsidRPr="00365D03" w:rsidRDefault="00365D03" w:rsidP="00345D9B">
            <w:pPr>
              <w:rPr>
                <w:bCs w:val="0"/>
              </w:rPr>
            </w:pPr>
            <w:r w:rsidRPr="00365D03">
              <w:rPr>
                <w:bCs w:val="0"/>
              </w:rPr>
              <w:t>Recursos de Parcela A e Outros Itens Financeiros</w:t>
            </w:r>
          </w:p>
        </w:tc>
        <w:tc>
          <w:tcPr>
            <w:tcW w:w="755" w:type="pct"/>
            <w:vAlign w:val="center"/>
          </w:tcPr>
          <w:p w:rsidR="00365D03" w:rsidRPr="008E2F34" w:rsidRDefault="00365D03" w:rsidP="00345D9B">
            <w:pPr>
              <w:jc w:val="right"/>
              <w:cnfStyle w:val="000000100000" w:firstRow="0" w:lastRow="0" w:firstColumn="0" w:lastColumn="0" w:oddVBand="0" w:evenVBand="0" w:oddHBand="1" w:evenHBand="0" w:firstRowFirstColumn="0" w:firstRowLastColumn="0" w:lastRowFirstColumn="0" w:lastRowLastColumn="0"/>
              <w:rPr>
                <w:b/>
                <w:bCs/>
              </w:rPr>
            </w:pPr>
            <w:r w:rsidRPr="008E2F34">
              <w:rPr>
                <w:b/>
                <w:bCs/>
              </w:rPr>
              <w:t xml:space="preserve">164.955 </w:t>
            </w:r>
          </w:p>
        </w:tc>
        <w:tc>
          <w:tcPr>
            <w:tcW w:w="603" w:type="pct"/>
            <w:vAlign w:val="center"/>
            <w:hideMark/>
          </w:tcPr>
          <w:p w:rsidR="00365D03" w:rsidRPr="008E2F34" w:rsidRDefault="00365D03" w:rsidP="00345D9B">
            <w:pPr>
              <w:jc w:val="right"/>
              <w:cnfStyle w:val="000000100000" w:firstRow="0" w:lastRow="0" w:firstColumn="0" w:lastColumn="0" w:oddVBand="0" w:evenVBand="0" w:oddHBand="1" w:evenHBand="0" w:firstRowFirstColumn="0" w:firstRowLastColumn="0" w:lastRowFirstColumn="0" w:lastRowLastColumn="0"/>
              <w:rPr>
                <w:b/>
                <w:bCs/>
              </w:rPr>
            </w:pPr>
            <w:r w:rsidRPr="008E2F34">
              <w:rPr>
                <w:b/>
                <w:bCs/>
              </w:rPr>
              <w:t>(304.926)</w:t>
            </w:r>
          </w:p>
        </w:tc>
        <w:tc>
          <w:tcPr>
            <w:tcW w:w="603" w:type="pct"/>
            <w:vAlign w:val="center"/>
            <w:hideMark/>
          </w:tcPr>
          <w:p w:rsidR="00365D03" w:rsidRPr="008E2F34" w:rsidRDefault="00365D03" w:rsidP="00345D9B">
            <w:pPr>
              <w:jc w:val="right"/>
              <w:cnfStyle w:val="000000100000" w:firstRow="0" w:lastRow="0" w:firstColumn="0" w:lastColumn="0" w:oddVBand="0" w:evenVBand="0" w:oddHBand="1" w:evenHBand="0" w:firstRowFirstColumn="0" w:firstRowLastColumn="0" w:lastRowFirstColumn="0" w:lastRowLastColumn="0"/>
              <w:rPr>
                <w:b/>
                <w:bCs/>
              </w:rPr>
            </w:pPr>
            <w:r w:rsidRPr="008E2F34">
              <w:rPr>
                <w:b/>
                <w:bCs/>
              </w:rPr>
              <w:t>(469.881)</w:t>
            </w:r>
          </w:p>
        </w:tc>
        <w:tc>
          <w:tcPr>
            <w:tcW w:w="599" w:type="pct"/>
            <w:vAlign w:val="center"/>
            <w:hideMark/>
          </w:tcPr>
          <w:p w:rsidR="00365D03" w:rsidRPr="008E2F34" w:rsidRDefault="00365D03" w:rsidP="00E33FCA">
            <w:pPr>
              <w:ind w:left="-206"/>
              <w:jc w:val="right"/>
              <w:cnfStyle w:val="000000100000" w:firstRow="0" w:lastRow="0" w:firstColumn="0" w:lastColumn="0" w:oddVBand="0" w:evenVBand="0" w:oddHBand="1" w:evenHBand="0" w:firstRowFirstColumn="0" w:firstRowLastColumn="0" w:lastRowFirstColumn="0" w:lastRowLastColumn="0"/>
              <w:rPr>
                <w:b/>
                <w:bCs/>
              </w:rPr>
            </w:pPr>
            <w:r w:rsidRPr="008E2F34">
              <w:rPr>
                <w:b/>
                <w:bCs/>
              </w:rPr>
              <w:t>(284,9)</w:t>
            </w:r>
          </w:p>
        </w:tc>
      </w:tr>
      <w:tr w:rsidR="00B61F39" w:rsidRPr="007355AC" w:rsidTr="00345D9B">
        <w:trPr>
          <w:trHeight w:val="283"/>
        </w:trPr>
        <w:tc>
          <w:tcPr>
            <w:cnfStyle w:val="001000000000" w:firstRow="0" w:lastRow="0" w:firstColumn="1" w:lastColumn="0" w:oddVBand="0" w:evenVBand="0" w:oddHBand="0" w:evenHBand="0" w:firstRowFirstColumn="0" w:firstRowLastColumn="0" w:lastRowFirstColumn="0" w:lastRowLastColumn="0"/>
            <w:tcW w:w="2439" w:type="pct"/>
            <w:hideMark/>
          </w:tcPr>
          <w:p w:rsidR="00B61F39" w:rsidRPr="00365D03" w:rsidRDefault="0012681E" w:rsidP="00345D9B">
            <w:pPr>
              <w:rPr>
                <w:bCs w:val="0"/>
              </w:rPr>
            </w:pPr>
            <w:r>
              <w:rPr>
                <w:bCs w:val="0"/>
              </w:rPr>
              <w:t>Faturamento ao Consumidor</w:t>
            </w:r>
          </w:p>
        </w:tc>
        <w:tc>
          <w:tcPr>
            <w:tcW w:w="755" w:type="pct"/>
            <w:vAlign w:val="center"/>
          </w:tcPr>
          <w:p w:rsidR="00B61F39" w:rsidRPr="008E2F34" w:rsidRDefault="0012681E" w:rsidP="00345D9B">
            <w:pPr>
              <w:jc w:val="right"/>
              <w:cnfStyle w:val="000000000000" w:firstRow="0" w:lastRow="0" w:firstColumn="0" w:lastColumn="0" w:oddVBand="0" w:evenVBand="0" w:oddHBand="0" w:evenHBand="0" w:firstRowFirstColumn="0" w:firstRowLastColumn="0" w:lastRowFirstColumn="0" w:lastRowLastColumn="0"/>
              <w:rPr>
                <w:b/>
                <w:bCs/>
              </w:rPr>
            </w:pPr>
            <w:r>
              <w:rPr>
                <w:b/>
                <w:bCs/>
              </w:rPr>
              <w:t>3.224.448</w:t>
            </w:r>
          </w:p>
        </w:tc>
        <w:tc>
          <w:tcPr>
            <w:tcW w:w="603" w:type="pct"/>
            <w:vAlign w:val="center"/>
            <w:hideMark/>
          </w:tcPr>
          <w:p w:rsidR="00B61F39" w:rsidRPr="008E2F34" w:rsidRDefault="0012681E" w:rsidP="00345D9B">
            <w:pPr>
              <w:jc w:val="right"/>
              <w:cnfStyle w:val="000000000000" w:firstRow="0" w:lastRow="0" w:firstColumn="0" w:lastColumn="0" w:oddVBand="0" w:evenVBand="0" w:oddHBand="0" w:evenHBand="0" w:firstRowFirstColumn="0" w:firstRowLastColumn="0" w:lastRowFirstColumn="0" w:lastRowLastColumn="0"/>
              <w:rPr>
                <w:b/>
                <w:bCs/>
              </w:rPr>
            </w:pPr>
            <w:r>
              <w:rPr>
                <w:b/>
                <w:bCs/>
              </w:rPr>
              <w:t>3.324.987</w:t>
            </w:r>
          </w:p>
        </w:tc>
        <w:tc>
          <w:tcPr>
            <w:tcW w:w="603" w:type="pct"/>
            <w:vAlign w:val="center"/>
            <w:hideMark/>
          </w:tcPr>
          <w:p w:rsidR="00B61F39" w:rsidRPr="008E2F34" w:rsidRDefault="0012681E" w:rsidP="00345D9B">
            <w:pPr>
              <w:jc w:val="right"/>
              <w:cnfStyle w:val="000000000000" w:firstRow="0" w:lastRow="0" w:firstColumn="0" w:lastColumn="0" w:oddVBand="0" w:evenVBand="0" w:oddHBand="0" w:evenHBand="0" w:firstRowFirstColumn="0" w:firstRowLastColumn="0" w:lastRowFirstColumn="0" w:lastRowLastColumn="0"/>
              <w:rPr>
                <w:b/>
                <w:bCs/>
              </w:rPr>
            </w:pPr>
            <w:r>
              <w:rPr>
                <w:b/>
                <w:bCs/>
              </w:rPr>
              <w:t>100.539</w:t>
            </w:r>
          </w:p>
        </w:tc>
        <w:tc>
          <w:tcPr>
            <w:tcW w:w="599" w:type="pct"/>
            <w:vAlign w:val="center"/>
            <w:hideMark/>
          </w:tcPr>
          <w:p w:rsidR="00B61F39" w:rsidRPr="008E2F34" w:rsidRDefault="0012681E" w:rsidP="0012681E">
            <w:pPr>
              <w:ind w:left="-206"/>
              <w:jc w:val="right"/>
              <w:cnfStyle w:val="000000000000" w:firstRow="0" w:lastRow="0" w:firstColumn="0" w:lastColumn="0" w:oddVBand="0" w:evenVBand="0" w:oddHBand="0" w:evenHBand="0" w:firstRowFirstColumn="0" w:firstRowLastColumn="0" w:lastRowFirstColumn="0" w:lastRowLastColumn="0"/>
              <w:rPr>
                <w:b/>
                <w:bCs/>
              </w:rPr>
            </w:pPr>
            <w:r>
              <w:rPr>
                <w:b/>
                <w:bCs/>
              </w:rPr>
              <w:t>3,1</w:t>
            </w:r>
          </w:p>
        </w:tc>
      </w:tr>
    </w:tbl>
    <w:p w:rsidR="00566D73" w:rsidRPr="000336EC" w:rsidRDefault="00566D73" w:rsidP="00566D73">
      <w:pPr>
        <w:pStyle w:val="PargrafodaLista"/>
        <w:numPr>
          <w:ilvl w:val="0"/>
          <w:numId w:val="9"/>
        </w:numPr>
        <w:spacing w:before="240" w:after="240"/>
        <w:jc w:val="both"/>
        <w:rPr>
          <w:rFonts w:ascii="Times New Roman" w:hAnsi="Times New Roman" w:cs="Times New Roman"/>
          <w:lang w:val="pt-BR"/>
        </w:rPr>
      </w:pPr>
      <w:r w:rsidRPr="000336EC">
        <w:rPr>
          <w:rFonts w:ascii="Times New Roman" w:hAnsi="Times New Roman" w:cs="Times New Roman"/>
          <w:lang w:val="pt-BR"/>
        </w:rPr>
        <w:t>A receita de Energia de Curto Prazo atingiu, em 2016, R$ 275.812 mil, 22,5% inferior à receita reconhecida em 2015, que foi influenciada pela sobra de energia contratada</w:t>
      </w:r>
      <w:r>
        <w:rPr>
          <w:rFonts w:ascii="Times New Roman" w:hAnsi="Times New Roman" w:cs="Times New Roman"/>
          <w:lang w:val="pt-BR"/>
        </w:rPr>
        <w:t xml:space="preserve"> (sobrecontratação)</w:t>
      </w:r>
      <w:r w:rsidRPr="000336EC">
        <w:rPr>
          <w:rFonts w:ascii="Times New Roman" w:hAnsi="Times New Roman" w:cs="Times New Roman"/>
          <w:lang w:val="pt-BR"/>
        </w:rPr>
        <w:t xml:space="preserve"> somada à redução substancial dos valores de PLD (Preço de Liquidação</w:t>
      </w:r>
      <w:r>
        <w:rPr>
          <w:rFonts w:ascii="Times New Roman" w:hAnsi="Times New Roman" w:cs="Times New Roman"/>
          <w:lang w:val="pt-BR"/>
        </w:rPr>
        <w:t xml:space="preserve"> das Diferenças), especialmente no </w:t>
      </w:r>
      <w:r w:rsidR="0046731F">
        <w:rPr>
          <w:rFonts w:ascii="Times New Roman" w:hAnsi="Times New Roman" w:cs="Times New Roman"/>
          <w:lang w:val="pt-BR"/>
        </w:rPr>
        <w:t xml:space="preserve">    </w:t>
      </w:r>
      <w:r>
        <w:rPr>
          <w:rFonts w:ascii="Times New Roman" w:hAnsi="Times New Roman" w:cs="Times New Roman"/>
          <w:lang w:val="pt-BR"/>
        </w:rPr>
        <w:t>1º semestre de 2016.</w:t>
      </w:r>
    </w:p>
    <w:p w:rsidR="00566D73" w:rsidRDefault="00566D73" w:rsidP="00566D73">
      <w:pPr>
        <w:pStyle w:val="PargrafodaLista"/>
        <w:numPr>
          <w:ilvl w:val="0"/>
          <w:numId w:val="9"/>
        </w:numPr>
        <w:spacing w:before="240" w:after="240"/>
        <w:jc w:val="both"/>
        <w:rPr>
          <w:rFonts w:ascii="Times New Roman" w:hAnsi="Times New Roman" w:cs="Times New Roman"/>
          <w:lang w:val="pt-BR"/>
        </w:rPr>
      </w:pPr>
      <w:r w:rsidRPr="000336EC">
        <w:rPr>
          <w:rFonts w:ascii="Times New Roman" w:hAnsi="Times New Roman" w:cs="Times New Roman"/>
          <w:lang w:val="pt-BR"/>
        </w:rPr>
        <w:t xml:space="preserve">A receita de recursos da Parcela A e </w:t>
      </w:r>
      <w:r>
        <w:rPr>
          <w:rFonts w:ascii="Times New Roman" w:hAnsi="Times New Roman" w:cs="Times New Roman"/>
          <w:lang w:val="pt-BR"/>
        </w:rPr>
        <w:t>O</w:t>
      </w:r>
      <w:r w:rsidRPr="000336EC">
        <w:rPr>
          <w:rFonts w:ascii="Times New Roman" w:hAnsi="Times New Roman" w:cs="Times New Roman"/>
          <w:lang w:val="pt-BR"/>
        </w:rPr>
        <w:t xml:space="preserve">utros </w:t>
      </w:r>
      <w:r>
        <w:rPr>
          <w:rFonts w:ascii="Times New Roman" w:hAnsi="Times New Roman" w:cs="Times New Roman"/>
          <w:lang w:val="pt-BR"/>
        </w:rPr>
        <w:t>I</w:t>
      </w:r>
      <w:r w:rsidRPr="000336EC">
        <w:rPr>
          <w:rFonts w:ascii="Times New Roman" w:hAnsi="Times New Roman" w:cs="Times New Roman"/>
          <w:lang w:val="pt-BR"/>
        </w:rPr>
        <w:t xml:space="preserve">tens </w:t>
      </w:r>
      <w:r>
        <w:rPr>
          <w:rFonts w:ascii="Times New Roman" w:hAnsi="Times New Roman" w:cs="Times New Roman"/>
          <w:lang w:val="pt-BR"/>
        </w:rPr>
        <w:t>F</w:t>
      </w:r>
      <w:r w:rsidRPr="000336EC">
        <w:rPr>
          <w:rFonts w:ascii="Times New Roman" w:hAnsi="Times New Roman" w:cs="Times New Roman"/>
          <w:lang w:val="pt-BR"/>
        </w:rPr>
        <w:t xml:space="preserve">inanceiros apresentou redução no ano de 2016 de </w:t>
      </w:r>
      <w:r w:rsidR="00534CF4" w:rsidRPr="000336EC">
        <w:rPr>
          <w:rFonts w:ascii="Times New Roman" w:hAnsi="Times New Roman" w:cs="Times New Roman"/>
          <w:lang w:val="pt-BR"/>
        </w:rPr>
        <w:t xml:space="preserve">R$ 469.881 mil </w:t>
      </w:r>
      <w:r w:rsidRPr="000336EC">
        <w:rPr>
          <w:rFonts w:ascii="Times New Roman" w:hAnsi="Times New Roman" w:cs="Times New Roman"/>
          <w:lang w:val="pt-BR"/>
        </w:rPr>
        <w:t>(-</w:t>
      </w:r>
      <w:r w:rsidR="00534CF4" w:rsidRPr="000336EC">
        <w:rPr>
          <w:rFonts w:ascii="Times New Roman" w:hAnsi="Times New Roman" w:cs="Times New Roman"/>
          <w:lang w:val="pt-BR"/>
        </w:rPr>
        <w:t>284,9%</w:t>
      </w:r>
      <w:r w:rsidRPr="000336EC">
        <w:rPr>
          <w:rFonts w:ascii="Times New Roman" w:hAnsi="Times New Roman" w:cs="Times New Roman"/>
          <w:lang w:val="pt-BR"/>
        </w:rPr>
        <w:t>)</w:t>
      </w:r>
      <w:r>
        <w:rPr>
          <w:rFonts w:ascii="Times New Roman" w:hAnsi="Times New Roman" w:cs="Times New Roman"/>
          <w:lang w:val="pt-BR"/>
        </w:rPr>
        <w:t xml:space="preserve">. </w:t>
      </w:r>
      <w:r w:rsidRPr="000311E1">
        <w:rPr>
          <w:rFonts w:ascii="Times New Roman" w:hAnsi="Times New Roman" w:cs="Times New Roman"/>
          <w:lang w:val="pt-BR"/>
        </w:rPr>
        <w:t>A va</w:t>
      </w:r>
      <w:r>
        <w:rPr>
          <w:rFonts w:ascii="Times New Roman" w:hAnsi="Times New Roman" w:cs="Times New Roman"/>
          <w:lang w:val="pt-BR"/>
        </w:rPr>
        <w:t xml:space="preserve">riação negativa </w:t>
      </w:r>
      <w:r w:rsidRPr="000311E1">
        <w:rPr>
          <w:rFonts w:ascii="Times New Roman" w:hAnsi="Times New Roman" w:cs="Times New Roman"/>
          <w:lang w:val="pt-BR"/>
        </w:rPr>
        <w:t>entre 2016 e 2015, é resultante do aumento da constituição normal dos passivos decorrente dos custos realizados abaixo da cobertura tarifária</w:t>
      </w:r>
      <w:r>
        <w:rPr>
          <w:rFonts w:ascii="Times New Roman" w:hAnsi="Times New Roman" w:cs="Times New Roman"/>
          <w:lang w:val="pt-BR"/>
        </w:rPr>
        <w:t>;</w:t>
      </w:r>
      <w:r w:rsidRPr="000311E1">
        <w:rPr>
          <w:rFonts w:ascii="Times New Roman" w:hAnsi="Times New Roman" w:cs="Times New Roman"/>
          <w:lang w:val="pt-BR"/>
        </w:rPr>
        <w:t xml:space="preserve"> e da amortização normal ativa dos valores homologados no Reajuste Tarifário de 26 de agosto de 2015 e Revisão Tarifária ocorrida em 22 de outubro de 2016</w:t>
      </w:r>
      <w:r>
        <w:rPr>
          <w:rFonts w:ascii="Times New Roman" w:hAnsi="Times New Roman" w:cs="Times New Roman"/>
          <w:lang w:val="pt-BR"/>
        </w:rPr>
        <w:t>.</w:t>
      </w:r>
    </w:p>
    <w:p w:rsidR="0063632C" w:rsidRPr="0063632C" w:rsidRDefault="00790E56" w:rsidP="0063632C">
      <w:pPr>
        <w:pStyle w:val="PargrafodaLista"/>
        <w:numPr>
          <w:ilvl w:val="0"/>
          <w:numId w:val="9"/>
        </w:numPr>
        <w:spacing w:after="240"/>
        <w:jc w:val="both"/>
        <w:rPr>
          <w:rFonts w:ascii="Times New Roman" w:hAnsi="Times New Roman" w:cs="Times New Roman"/>
          <w:lang w:val="pt-BR"/>
        </w:rPr>
      </w:pPr>
      <w:r>
        <w:rPr>
          <w:rFonts w:ascii="Times New Roman" w:hAnsi="Times New Roman" w:cs="Times New Roman"/>
          <w:lang w:val="pt-BR"/>
        </w:rPr>
        <w:t>Quanto</w:t>
      </w:r>
      <w:r w:rsidR="0063632C" w:rsidRPr="0063632C">
        <w:rPr>
          <w:rFonts w:ascii="Times New Roman" w:hAnsi="Times New Roman" w:cs="Times New Roman"/>
          <w:lang w:val="pt-BR"/>
        </w:rPr>
        <w:t xml:space="preserve"> à receita de Faturamento ao Consumidor, que </w:t>
      </w:r>
      <w:r w:rsidR="0003273B">
        <w:rPr>
          <w:rFonts w:ascii="Times New Roman" w:hAnsi="Times New Roman" w:cs="Times New Roman"/>
          <w:lang w:val="pt-BR"/>
        </w:rPr>
        <w:t>repercute</w:t>
      </w:r>
      <w:r w:rsidR="0063632C" w:rsidRPr="0063632C">
        <w:rPr>
          <w:rFonts w:ascii="Times New Roman" w:hAnsi="Times New Roman" w:cs="Times New Roman"/>
          <w:lang w:val="pt-BR"/>
        </w:rPr>
        <w:t xml:space="preserve"> a energia elétrica fornecida, houve crescimento de 3,1%, evoluindo de R$ 3.224.448 mil, em 2015, para R$ 3.324.987 mil em 2016.</w:t>
      </w:r>
    </w:p>
    <w:p w:rsidR="001749FF" w:rsidRPr="000336EC" w:rsidRDefault="001749FF" w:rsidP="001749FF">
      <w:pPr>
        <w:spacing w:before="240" w:after="240"/>
        <w:rPr>
          <w:b/>
          <w:bCs/>
          <w:sz w:val="22"/>
          <w:szCs w:val="22"/>
        </w:rPr>
      </w:pPr>
      <w:r w:rsidRPr="000336EC">
        <w:rPr>
          <w:b/>
          <w:bCs/>
          <w:sz w:val="22"/>
          <w:szCs w:val="22"/>
        </w:rPr>
        <w:t>Custos e Despesas Operacionais (Exceto Depreciação e Amortização)</w:t>
      </w:r>
    </w:p>
    <w:p w:rsidR="001749FF" w:rsidRPr="000336EC" w:rsidRDefault="001749FF" w:rsidP="001749FF">
      <w:pPr>
        <w:spacing w:before="240" w:after="240"/>
        <w:jc w:val="both"/>
        <w:rPr>
          <w:sz w:val="22"/>
          <w:szCs w:val="22"/>
        </w:rPr>
      </w:pPr>
      <w:r w:rsidRPr="000336EC">
        <w:rPr>
          <w:sz w:val="22"/>
          <w:szCs w:val="22"/>
        </w:rPr>
        <w:t>Os custos e despesas operacionais consolidados em 2016, exceto a depreciação e a amortização do período, totalizaram R$ 1.920.051 mil, com uma redução de R$ 1</w:t>
      </w:r>
      <w:r w:rsidR="001B6F22">
        <w:rPr>
          <w:sz w:val="22"/>
          <w:szCs w:val="22"/>
        </w:rPr>
        <w:t>90.850</w:t>
      </w:r>
      <w:r w:rsidRPr="000336EC">
        <w:rPr>
          <w:sz w:val="22"/>
          <w:szCs w:val="22"/>
        </w:rPr>
        <w:t xml:space="preserve"> mil (-8,8%), em relação ao montante registrado em 2015.</w:t>
      </w:r>
    </w:p>
    <w:p w:rsidR="00690BCF" w:rsidRDefault="00690BCF">
      <w:pPr>
        <w:rPr>
          <w:sz w:val="22"/>
          <w:szCs w:val="22"/>
        </w:rPr>
      </w:pPr>
      <w:r>
        <w:rPr>
          <w:sz w:val="22"/>
          <w:szCs w:val="22"/>
        </w:rPr>
        <w:br w:type="page"/>
      </w:r>
    </w:p>
    <w:p w:rsidR="001749FF" w:rsidRPr="000336EC" w:rsidRDefault="001749FF" w:rsidP="001749FF">
      <w:pPr>
        <w:spacing w:before="240" w:after="240"/>
        <w:jc w:val="both"/>
        <w:rPr>
          <w:sz w:val="22"/>
          <w:szCs w:val="22"/>
        </w:rPr>
      </w:pPr>
      <w:r w:rsidRPr="000336EC">
        <w:rPr>
          <w:sz w:val="22"/>
          <w:szCs w:val="22"/>
        </w:rPr>
        <w:lastRenderedPageBreak/>
        <w:t>As principais variações dos custos e despesas operacionais constam no quadro seguinte:</w:t>
      </w:r>
    </w:p>
    <w:tbl>
      <w:tblPr>
        <w:tblStyle w:val="ListaClara-nfase12"/>
        <w:tblW w:w="5000" w:type="pct"/>
        <w:tblLook w:val="04A0" w:firstRow="1" w:lastRow="0" w:firstColumn="1" w:lastColumn="0" w:noHBand="0" w:noVBand="1"/>
      </w:tblPr>
      <w:tblGrid>
        <w:gridCol w:w="4868"/>
        <w:gridCol w:w="1470"/>
        <w:gridCol w:w="1342"/>
        <w:gridCol w:w="1229"/>
        <w:gridCol w:w="1229"/>
      </w:tblGrid>
      <w:tr w:rsidR="001749FF" w:rsidRPr="000336EC" w:rsidTr="001749FF">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01" w:type="pct"/>
            <w:shd w:val="clear" w:color="auto" w:fill="0070C0"/>
            <w:vAlign w:val="center"/>
            <w:hideMark/>
          </w:tcPr>
          <w:p w:rsidR="001749FF" w:rsidRPr="000336EC" w:rsidRDefault="001749FF" w:rsidP="00703F75">
            <w:pPr>
              <w:jc w:val="center"/>
              <w:rPr>
                <w:bCs w:val="0"/>
              </w:rPr>
            </w:pPr>
            <w:r w:rsidRPr="000336EC">
              <w:rPr>
                <w:bCs w:val="0"/>
              </w:rPr>
              <w:t xml:space="preserve"> (R$ Mil)</w:t>
            </w:r>
          </w:p>
        </w:tc>
        <w:tc>
          <w:tcPr>
            <w:tcW w:w="725" w:type="pct"/>
            <w:shd w:val="clear" w:color="auto" w:fill="0070C0"/>
            <w:vAlign w:val="center"/>
          </w:tcPr>
          <w:p w:rsidR="001749FF" w:rsidRPr="000336EC" w:rsidRDefault="001749FF" w:rsidP="00703F75">
            <w:pPr>
              <w:jc w:val="center"/>
              <w:cnfStyle w:val="100000000000" w:firstRow="1" w:lastRow="0" w:firstColumn="0" w:lastColumn="0" w:oddVBand="0" w:evenVBand="0" w:oddHBand="0" w:evenHBand="0" w:firstRowFirstColumn="0" w:firstRowLastColumn="0" w:lastRowFirstColumn="0" w:lastRowLastColumn="0"/>
              <w:rPr>
                <w:bCs w:val="0"/>
                <w:snapToGrid w:val="0"/>
              </w:rPr>
            </w:pPr>
            <w:r w:rsidRPr="000336EC">
              <w:rPr>
                <w:bCs w:val="0"/>
                <w:snapToGrid w:val="0"/>
              </w:rPr>
              <w:t>2015</w:t>
            </w:r>
          </w:p>
          <w:p w:rsidR="001749FF" w:rsidRPr="000336EC" w:rsidRDefault="001749FF" w:rsidP="00703F75">
            <w:pPr>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0336EC">
              <w:rPr>
                <w:bCs w:val="0"/>
                <w:snapToGrid w:val="0"/>
                <w:sz w:val="16"/>
                <w:szCs w:val="16"/>
              </w:rPr>
              <w:t>Reapresentado</w:t>
            </w:r>
          </w:p>
        </w:tc>
        <w:tc>
          <w:tcPr>
            <w:tcW w:w="662" w:type="pct"/>
            <w:shd w:val="clear" w:color="auto" w:fill="0070C0"/>
            <w:vAlign w:val="center"/>
            <w:hideMark/>
          </w:tcPr>
          <w:p w:rsidR="001749FF" w:rsidRPr="000336EC" w:rsidRDefault="001749FF" w:rsidP="00703F75">
            <w:pPr>
              <w:jc w:val="center"/>
              <w:cnfStyle w:val="100000000000" w:firstRow="1" w:lastRow="0" w:firstColumn="0" w:lastColumn="0" w:oddVBand="0" w:evenVBand="0" w:oddHBand="0" w:evenHBand="0" w:firstRowFirstColumn="0" w:firstRowLastColumn="0" w:lastRowFirstColumn="0" w:lastRowLastColumn="0"/>
              <w:rPr>
                <w:bCs w:val="0"/>
              </w:rPr>
            </w:pPr>
            <w:r w:rsidRPr="000336EC">
              <w:rPr>
                <w:bCs w:val="0"/>
              </w:rPr>
              <w:t>2016</w:t>
            </w:r>
          </w:p>
        </w:tc>
        <w:tc>
          <w:tcPr>
            <w:tcW w:w="1212" w:type="pct"/>
            <w:gridSpan w:val="2"/>
            <w:shd w:val="clear" w:color="auto" w:fill="0070C0"/>
            <w:vAlign w:val="center"/>
            <w:hideMark/>
          </w:tcPr>
          <w:p w:rsidR="001749FF" w:rsidRPr="000336EC" w:rsidRDefault="001749FF" w:rsidP="00703F75">
            <w:pPr>
              <w:jc w:val="center"/>
              <w:cnfStyle w:val="100000000000" w:firstRow="1" w:lastRow="0" w:firstColumn="0" w:lastColumn="0" w:oddVBand="0" w:evenVBand="0" w:oddHBand="0" w:evenHBand="0" w:firstRowFirstColumn="0" w:firstRowLastColumn="0" w:lastRowFirstColumn="0" w:lastRowLastColumn="0"/>
              <w:rPr>
                <w:bCs w:val="0"/>
              </w:rPr>
            </w:pPr>
            <w:r w:rsidRPr="000336EC">
              <w:rPr>
                <w:bCs w:val="0"/>
              </w:rPr>
              <w:t>Δ Ano</w:t>
            </w:r>
          </w:p>
        </w:tc>
      </w:tr>
      <w:tr w:rsidR="001749FF" w:rsidRPr="000336EC" w:rsidTr="00703F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1" w:type="pct"/>
            <w:vAlign w:val="center"/>
            <w:hideMark/>
          </w:tcPr>
          <w:p w:rsidR="001749FF" w:rsidRPr="000336EC" w:rsidRDefault="001749FF" w:rsidP="00703F75">
            <w:pPr>
              <w:rPr>
                <w:bCs w:val="0"/>
              </w:rPr>
            </w:pPr>
          </w:p>
        </w:tc>
        <w:tc>
          <w:tcPr>
            <w:tcW w:w="725" w:type="pct"/>
            <w:vAlign w:val="center"/>
          </w:tcPr>
          <w:p w:rsidR="001749FF" w:rsidRPr="000336EC" w:rsidRDefault="001749FF" w:rsidP="00703F75">
            <w:pPr>
              <w:jc w:val="right"/>
              <w:cnfStyle w:val="000000100000" w:firstRow="0" w:lastRow="0" w:firstColumn="0" w:lastColumn="0" w:oddVBand="0" w:evenVBand="0" w:oddHBand="1" w:evenHBand="0" w:firstRowFirstColumn="0" w:firstRowLastColumn="0" w:lastRowFirstColumn="0" w:lastRowLastColumn="0"/>
              <w:rPr>
                <w:b/>
              </w:rPr>
            </w:pPr>
          </w:p>
        </w:tc>
        <w:tc>
          <w:tcPr>
            <w:tcW w:w="662" w:type="pct"/>
            <w:vAlign w:val="center"/>
            <w:hideMark/>
          </w:tcPr>
          <w:p w:rsidR="001749FF" w:rsidRPr="000336EC" w:rsidRDefault="001749FF" w:rsidP="00703F75">
            <w:pPr>
              <w:jc w:val="right"/>
              <w:cnfStyle w:val="000000100000" w:firstRow="0" w:lastRow="0" w:firstColumn="0" w:lastColumn="0" w:oddVBand="0" w:evenVBand="0" w:oddHBand="1" w:evenHBand="0" w:firstRowFirstColumn="0" w:firstRowLastColumn="0" w:lastRowFirstColumn="0" w:lastRowLastColumn="0"/>
              <w:rPr>
                <w:b/>
              </w:rPr>
            </w:pPr>
          </w:p>
        </w:tc>
        <w:tc>
          <w:tcPr>
            <w:tcW w:w="606" w:type="pct"/>
            <w:vAlign w:val="center"/>
            <w:hideMark/>
          </w:tcPr>
          <w:p w:rsidR="001749FF" w:rsidRPr="000336EC" w:rsidRDefault="001749FF" w:rsidP="00703F75">
            <w:pPr>
              <w:jc w:val="right"/>
              <w:cnfStyle w:val="000000100000" w:firstRow="0" w:lastRow="0" w:firstColumn="0" w:lastColumn="0" w:oddVBand="0" w:evenVBand="0" w:oddHBand="1" w:evenHBand="0" w:firstRowFirstColumn="0" w:firstRowLastColumn="0" w:lastRowFirstColumn="0" w:lastRowLastColumn="0"/>
              <w:rPr>
                <w:b/>
                <w:bCs/>
              </w:rPr>
            </w:pPr>
            <w:r w:rsidRPr="000336EC">
              <w:rPr>
                <w:b/>
                <w:bCs/>
              </w:rPr>
              <w:t>(R$ Mil)</w:t>
            </w:r>
          </w:p>
        </w:tc>
        <w:tc>
          <w:tcPr>
            <w:tcW w:w="606" w:type="pct"/>
            <w:vAlign w:val="center"/>
            <w:hideMark/>
          </w:tcPr>
          <w:p w:rsidR="001749FF" w:rsidRPr="000336EC" w:rsidRDefault="001749FF" w:rsidP="00703F75">
            <w:pPr>
              <w:jc w:val="right"/>
              <w:cnfStyle w:val="000000100000" w:firstRow="0" w:lastRow="0" w:firstColumn="0" w:lastColumn="0" w:oddVBand="0" w:evenVBand="0" w:oddHBand="1" w:evenHBand="0" w:firstRowFirstColumn="0" w:firstRowLastColumn="0" w:lastRowFirstColumn="0" w:lastRowLastColumn="0"/>
              <w:rPr>
                <w:b/>
                <w:bCs/>
              </w:rPr>
            </w:pPr>
            <w:r w:rsidRPr="000336EC">
              <w:rPr>
                <w:b/>
                <w:bCs/>
              </w:rPr>
              <w:t>(%)</w:t>
            </w:r>
          </w:p>
        </w:tc>
      </w:tr>
      <w:tr w:rsidR="001749FF" w:rsidRPr="00F52570" w:rsidTr="00703F75">
        <w:trPr>
          <w:trHeight w:val="283"/>
        </w:trPr>
        <w:tc>
          <w:tcPr>
            <w:cnfStyle w:val="001000000000" w:firstRow="0" w:lastRow="0" w:firstColumn="1" w:lastColumn="0" w:oddVBand="0" w:evenVBand="0" w:oddHBand="0" w:evenHBand="0" w:firstRowFirstColumn="0" w:firstRowLastColumn="0" w:lastRowFirstColumn="0" w:lastRowLastColumn="0"/>
            <w:tcW w:w="2401" w:type="pct"/>
            <w:vAlign w:val="center"/>
            <w:hideMark/>
          </w:tcPr>
          <w:p w:rsidR="001749FF" w:rsidRPr="00F52570" w:rsidRDefault="001749FF" w:rsidP="00703F75">
            <w:pPr>
              <w:rPr>
                <w:bCs w:val="0"/>
              </w:rPr>
            </w:pPr>
            <w:r w:rsidRPr="00F52570">
              <w:rPr>
                <w:bCs w:val="0"/>
              </w:rPr>
              <w:t>Custo da Compra de Energia Elétrica</w:t>
            </w:r>
          </w:p>
        </w:tc>
        <w:tc>
          <w:tcPr>
            <w:tcW w:w="725" w:type="pct"/>
            <w:vAlign w:val="center"/>
          </w:tcPr>
          <w:p w:rsidR="001749FF" w:rsidRPr="00F52570" w:rsidRDefault="00634CE6" w:rsidP="00634CE6">
            <w:pPr>
              <w:jc w:val="right"/>
              <w:cnfStyle w:val="000000000000" w:firstRow="0" w:lastRow="0" w:firstColumn="0" w:lastColumn="0" w:oddVBand="0" w:evenVBand="0" w:oddHBand="0" w:evenHBand="0" w:firstRowFirstColumn="0" w:firstRowLastColumn="0" w:lastRowFirstColumn="0" w:lastRowLastColumn="0"/>
              <w:rPr>
                <w:b/>
                <w:bCs/>
              </w:rPr>
            </w:pPr>
            <w:r>
              <w:rPr>
                <w:b/>
                <w:bCs/>
              </w:rPr>
              <w:t>(1.180.070</w:t>
            </w:r>
            <w:r w:rsidR="001749FF" w:rsidRPr="00F52570">
              <w:rPr>
                <w:b/>
                <w:bCs/>
              </w:rPr>
              <w:t>)</w:t>
            </w:r>
          </w:p>
        </w:tc>
        <w:tc>
          <w:tcPr>
            <w:tcW w:w="662" w:type="pct"/>
            <w:vAlign w:val="center"/>
            <w:hideMark/>
          </w:tcPr>
          <w:p w:rsidR="001749FF" w:rsidRPr="00F52570" w:rsidRDefault="001749FF" w:rsidP="00634CE6">
            <w:pPr>
              <w:jc w:val="right"/>
              <w:cnfStyle w:val="000000000000" w:firstRow="0" w:lastRow="0" w:firstColumn="0" w:lastColumn="0" w:oddVBand="0" w:evenVBand="0" w:oddHBand="0" w:evenHBand="0" w:firstRowFirstColumn="0" w:firstRowLastColumn="0" w:lastRowFirstColumn="0" w:lastRowLastColumn="0"/>
              <w:rPr>
                <w:b/>
                <w:bCs/>
              </w:rPr>
            </w:pPr>
            <w:r w:rsidRPr="00F52570">
              <w:rPr>
                <w:b/>
                <w:bCs/>
              </w:rPr>
              <w:t>(1.050.73</w:t>
            </w:r>
            <w:r w:rsidR="00634CE6">
              <w:rPr>
                <w:b/>
                <w:bCs/>
              </w:rPr>
              <w:t>2</w:t>
            </w:r>
            <w:r w:rsidRPr="00F52570">
              <w:rPr>
                <w:b/>
                <w:bCs/>
              </w:rPr>
              <w:t>)</w:t>
            </w:r>
          </w:p>
        </w:tc>
        <w:tc>
          <w:tcPr>
            <w:tcW w:w="606" w:type="pct"/>
            <w:vAlign w:val="center"/>
            <w:hideMark/>
          </w:tcPr>
          <w:p w:rsidR="001749FF" w:rsidRPr="00F52570" w:rsidRDefault="00634CE6" w:rsidP="00703F75">
            <w:pPr>
              <w:jc w:val="right"/>
              <w:cnfStyle w:val="000000000000" w:firstRow="0" w:lastRow="0" w:firstColumn="0" w:lastColumn="0" w:oddVBand="0" w:evenVBand="0" w:oddHBand="0" w:evenHBand="0" w:firstRowFirstColumn="0" w:firstRowLastColumn="0" w:lastRowFirstColumn="0" w:lastRowLastColumn="0"/>
              <w:rPr>
                <w:b/>
                <w:bCs/>
              </w:rPr>
            </w:pPr>
            <w:r>
              <w:rPr>
                <w:b/>
                <w:bCs/>
              </w:rPr>
              <w:t>129.338</w:t>
            </w:r>
          </w:p>
        </w:tc>
        <w:tc>
          <w:tcPr>
            <w:tcW w:w="606" w:type="pct"/>
            <w:vAlign w:val="center"/>
          </w:tcPr>
          <w:p w:rsidR="001749FF" w:rsidRPr="00F52570" w:rsidRDefault="001749FF" w:rsidP="00703F75">
            <w:pPr>
              <w:jc w:val="right"/>
              <w:cnfStyle w:val="000000000000" w:firstRow="0" w:lastRow="0" w:firstColumn="0" w:lastColumn="0" w:oddVBand="0" w:evenVBand="0" w:oddHBand="0" w:evenHBand="0" w:firstRowFirstColumn="0" w:firstRowLastColumn="0" w:lastRowFirstColumn="0" w:lastRowLastColumn="0"/>
              <w:rPr>
                <w:b/>
                <w:bCs/>
              </w:rPr>
            </w:pPr>
            <w:r w:rsidRPr="00F52570">
              <w:rPr>
                <w:b/>
                <w:bCs/>
              </w:rPr>
              <w:t>(11,0)</w:t>
            </w:r>
          </w:p>
        </w:tc>
      </w:tr>
      <w:tr w:rsidR="001749FF" w:rsidRPr="00F52570" w:rsidTr="00703F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1" w:type="pct"/>
            <w:vAlign w:val="center"/>
            <w:hideMark/>
          </w:tcPr>
          <w:p w:rsidR="001749FF" w:rsidRPr="00F52570" w:rsidRDefault="001749FF" w:rsidP="00703F75">
            <w:pPr>
              <w:rPr>
                <w:bCs w:val="0"/>
              </w:rPr>
            </w:pPr>
            <w:r w:rsidRPr="00F52570">
              <w:rPr>
                <w:bCs w:val="0"/>
              </w:rPr>
              <w:t>Energia Elétrica de Curto Prazo</w:t>
            </w:r>
          </w:p>
        </w:tc>
        <w:tc>
          <w:tcPr>
            <w:tcW w:w="725" w:type="pct"/>
            <w:vAlign w:val="center"/>
          </w:tcPr>
          <w:p w:rsidR="001749FF" w:rsidRPr="00F52570" w:rsidRDefault="001749FF" w:rsidP="00703F75">
            <w:pPr>
              <w:jc w:val="right"/>
              <w:cnfStyle w:val="000000100000" w:firstRow="0" w:lastRow="0" w:firstColumn="0" w:lastColumn="0" w:oddVBand="0" w:evenVBand="0" w:oddHBand="1" w:evenHBand="0" w:firstRowFirstColumn="0" w:firstRowLastColumn="0" w:lastRowFirstColumn="0" w:lastRowLastColumn="0"/>
              <w:rPr>
                <w:b/>
              </w:rPr>
            </w:pPr>
            <w:r w:rsidRPr="00F52570">
              <w:rPr>
                <w:b/>
              </w:rPr>
              <w:t>(327.244)</w:t>
            </w:r>
          </w:p>
        </w:tc>
        <w:tc>
          <w:tcPr>
            <w:tcW w:w="662" w:type="pct"/>
            <w:vAlign w:val="center"/>
            <w:hideMark/>
          </w:tcPr>
          <w:p w:rsidR="001749FF" w:rsidRPr="00F52570" w:rsidRDefault="001749FF" w:rsidP="00703F75">
            <w:pPr>
              <w:jc w:val="right"/>
              <w:cnfStyle w:val="000000100000" w:firstRow="0" w:lastRow="0" w:firstColumn="0" w:lastColumn="0" w:oddVBand="0" w:evenVBand="0" w:oddHBand="1" w:evenHBand="0" w:firstRowFirstColumn="0" w:firstRowLastColumn="0" w:lastRowFirstColumn="0" w:lastRowLastColumn="0"/>
              <w:rPr>
                <w:b/>
              </w:rPr>
            </w:pPr>
            <w:r w:rsidRPr="00F52570">
              <w:rPr>
                <w:b/>
              </w:rPr>
              <w:t>(286.410)</w:t>
            </w:r>
          </w:p>
        </w:tc>
        <w:tc>
          <w:tcPr>
            <w:tcW w:w="606" w:type="pct"/>
            <w:vAlign w:val="center"/>
            <w:hideMark/>
          </w:tcPr>
          <w:p w:rsidR="001749FF" w:rsidRPr="00F52570" w:rsidRDefault="001749FF" w:rsidP="00703F75">
            <w:pPr>
              <w:jc w:val="right"/>
              <w:cnfStyle w:val="000000100000" w:firstRow="0" w:lastRow="0" w:firstColumn="0" w:lastColumn="0" w:oddVBand="0" w:evenVBand="0" w:oddHBand="1" w:evenHBand="0" w:firstRowFirstColumn="0" w:firstRowLastColumn="0" w:lastRowFirstColumn="0" w:lastRowLastColumn="0"/>
              <w:rPr>
                <w:b/>
                <w:bCs/>
              </w:rPr>
            </w:pPr>
            <w:r w:rsidRPr="00F52570">
              <w:rPr>
                <w:b/>
                <w:bCs/>
              </w:rPr>
              <w:t>40.834</w:t>
            </w:r>
          </w:p>
        </w:tc>
        <w:tc>
          <w:tcPr>
            <w:tcW w:w="606" w:type="pct"/>
            <w:vAlign w:val="center"/>
          </w:tcPr>
          <w:p w:rsidR="001749FF" w:rsidRPr="00F52570" w:rsidRDefault="001749FF" w:rsidP="00703F75">
            <w:pPr>
              <w:jc w:val="right"/>
              <w:cnfStyle w:val="000000100000" w:firstRow="0" w:lastRow="0" w:firstColumn="0" w:lastColumn="0" w:oddVBand="0" w:evenVBand="0" w:oddHBand="1" w:evenHBand="0" w:firstRowFirstColumn="0" w:firstRowLastColumn="0" w:lastRowFirstColumn="0" w:lastRowLastColumn="0"/>
              <w:rPr>
                <w:b/>
              </w:rPr>
            </w:pPr>
            <w:r w:rsidRPr="00F52570">
              <w:rPr>
                <w:b/>
              </w:rPr>
              <w:t>(12,5)</w:t>
            </w:r>
          </w:p>
        </w:tc>
      </w:tr>
      <w:tr w:rsidR="001749FF" w:rsidRPr="00F52570" w:rsidTr="00703F75">
        <w:trPr>
          <w:trHeight w:val="283"/>
        </w:trPr>
        <w:tc>
          <w:tcPr>
            <w:cnfStyle w:val="001000000000" w:firstRow="0" w:lastRow="0" w:firstColumn="1" w:lastColumn="0" w:oddVBand="0" w:evenVBand="0" w:oddHBand="0" w:evenHBand="0" w:firstRowFirstColumn="0" w:firstRowLastColumn="0" w:lastRowFirstColumn="0" w:lastRowLastColumn="0"/>
            <w:tcW w:w="2401" w:type="pct"/>
            <w:vAlign w:val="center"/>
            <w:hideMark/>
          </w:tcPr>
          <w:p w:rsidR="001749FF" w:rsidRPr="00F52570" w:rsidRDefault="001749FF" w:rsidP="00703F75">
            <w:pPr>
              <w:rPr>
                <w:bCs w:val="0"/>
              </w:rPr>
            </w:pPr>
            <w:r w:rsidRPr="00F52570">
              <w:rPr>
                <w:bCs w:val="0"/>
              </w:rPr>
              <w:t>Perdas Estimadas com Créditos de Liquidação Duvidosa</w:t>
            </w:r>
          </w:p>
        </w:tc>
        <w:tc>
          <w:tcPr>
            <w:tcW w:w="725" w:type="pct"/>
            <w:vAlign w:val="center"/>
          </w:tcPr>
          <w:p w:rsidR="001749FF" w:rsidRPr="00F52570" w:rsidRDefault="001749FF" w:rsidP="00703F75">
            <w:pPr>
              <w:jc w:val="right"/>
              <w:cnfStyle w:val="000000000000" w:firstRow="0" w:lastRow="0" w:firstColumn="0" w:lastColumn="0" w:oddVBand="0" w:evenVBand="0" w:oddHBand="0" w:evenHBand="0" w:firstRowFirstColumn="0" w:firstRowLastColumn="0" w:lastRowFirstColumn="0" w:lastRowLastColumn="0"/>
              <w:rPr>
                <w:b/>
                <w:bCs/>
              </w:rPr>
            </w:pPr>
            <w:r w:rsidRPr="00F52570">
              <w:rPr>
                <w:b/>
                <w:bCs/>
              </w:rPr>
              <w:t>(85.219)</w:t>
            </w:r>
          </w:p>
        </w:tc>
        <w:tc>
          <w:tcPr>
            <w:tcW w:w="662" w:type="pct"/>
            <w:vAlign w:val="center"/>
            <w:hideMark/>
          </w:tcPr>
          <w:p w:rsidR="001749FF" w:rsidRPr="00F52570" w:rsidRDefault="001749FF" w:rsidP="00703F75">
            <w:pPr>
              <w:jc w:val="right"/>
              <w:cnfStyle w:val="000000000000" w:firstRow="0" w:lastRow="0" w:firstColumn="0" w:lastColumn="0" w:oddVBand="0" w:evenVBand="0" w:oddHBand="0" w:evenHBand="0" w:firstRowFirstColumn="0" w:firstRowLastColumn="0" w:lastRowFirstColumn="0" w:lastRowLastColumn="0"/>
              <w:rPr>
                <w:b/>
                <w:bCs/>
              </w:rPr>
            </w:pPr>
            <w:r w:rsidRPr="00F52570">
              <w:rPr>
                <w:b/>
                <w:bCs/>
              </w:rPr>
              <w:t>(50.272)</w:t>
            </w:r>
          </w:p>
        </w:tc>
        <w:tc>
          <w:tcPr>
            <w:tcW w:w="606" w:type="pct"/>
            <w:vAlign w:val="center"/>
            <w:hideMark/>
          </w:tcPr>
          <w:p w:rsidR="001749FF" w:rsidRPr="00F52570" w:rsidRDefault="001749FF" w:rsidP="00703F75">
            <w:pPr>
              <w:jc w:val="right"/>
              <w:cnfStyle w:val="000000000000" w:firstRow="0" w:lastRow="0" w:firstColumn="0" w:lastColumn="0" w:oddVBand="0" w:evenVBand="0" w:oddHBand="0" w:evenHBand="0" w:firstRowFirstColumn="0" w:firstRowLastColumn="0" w:lastRowFirstColumn="0" w:lastRowLastColumn="0"/>
              <w:rPr>
                <w:b/>
                <w:bCs/>
              </w:rPr>
            </w:pPr>
            <w:r w:rsidRPr="00F52570">
              <w:rPr>
                <w:b/>
                <w:bCs/>
              </w:rPr>
              <w:t>34.947</w:t>
            </w:r>
          </w:p>
        </w:tc>
        <w:tc>
          <w:tcPr>
            <w:tcW w:w="606" w:type="pct"/>
            <w:vAlign w:val="center"/>
          </w:tcPr>
          <w:p w:rsidR="001749FF" w:rsidRPr="00F52570" w:rsidRDefault="001749FF" w:rsidP="00703F75">
            <w:pPr>
              <w:jc w:val="right"/>
              <w:cnfStyle w:val="000000000000" w:firstRow="0" w:lastRow="0" w:firstColumn="0" w:lastColumn="0" w:oddVBand="0" w:evenVBand="0" w:oddHBand="0" w:evenHBand="0" w:firstRowFirstColumn="0" w:firstRowLastColumn="0" w:lastRowFirstColumn="0" w:lastRowLastColumn="0"/>
              <w:rPr>
                <w:b/>
                <w:bCs/>
              </w:rPr>
            </w:pPr>
            <w:r w:rsidRPr="00F52570">
              <w:rPr>
                <w:b/>
                <w:bCs/>
              </w:rPr>
              <w:t>(41,0)</w:t>
            </w:r>
          </w:p>
        </w:tc>
      </w:tr>
      <w:tr w:rsidR="001749FF" w:rsidRPr="00F52570" w:rsidTr="00703F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1" w:type="pct"/>
            <w:vAlign w:val="center"/>
            <w:hideMark/>
          </w:tcPr>
          <w:p w:rsidR="001749FF" w:rsidRPr="00F52570" w:rsidRDefault="001749FF" w:rsidP="00703F75">
            <w:pPr>
              <w:rPr>
                <w:bCs w:val="0"/>
              </w:rPr>
            </w:pPr>
            <w:r w:rsidRPr="00F52570">
              <w:rPr>
                <w:bCs w:val="0"/>
              </w:rPr>
              <w:t>Pessoal</w:t>
            </w:r>
          </w:p>
        </w:tc>
        <w:tc>
          <w:tcPr>
            <w:tcW w:w="725" w:type="pct"/>
            <w:vAlign w:val="center"/>
          </w:tcPr>
          <w:p w:rsidR="001749FF" w:rsidRPr="00F52570" w:rsidRDefault="001749FF" w:rsidP="00703F75">
            <w:pPr>
              <w:jc w:val="right"/>
              <w:cnfStyle w:val="000000100000" w:firstRow="0" w:lastRow="0" w:firstColumn="0" w:lastColumn="0" w:oddVBand="0" w:evenVBand="0" w:oddHBand="1" w:evenHBand="0" w:firstRowFirstColumn="0" w:firstRowLastColumn="0" w:lastRowFirstColumn="0" w:lastRowLastColumn="0"/>
              <w:rPr>
                <w:b/>
              </w:rPr>
            </w:pPr>
            <w:r w:rsidRPr="00F52570">
              <w:rPr>
                <w:b/>
              </w:rPr>
              <w:t>(196.446)</w:t>
            </w:r>
          </w:p>
        </w:tc>
        <w:tc>
          <w:tcPr>
            <w:tcW w:w="662" w:type="pct"/>
            <w:vAlign w:val="center"/>
            <w:hideMark/>
          </w:tcPr>
          <w:p w:rsidR="001749FF" w:rsidRPr="00F52570" w:rsidRDefault="001749FF" w:rsidP="00634CE6">
            <w:pPr>
              <w:jc w:val="right"/>
              <w:cnfStyle w:val="000000100000" w:firstRow="0" w:lastRow="0" w:firstColumn="0" w:lastColumn="0" w:oddVBand="0" w:evenVBand="0" w:oddHBand="1" w:evenHBand="0" w:firstRowFirstColumn="0" w:firstRowLastColumn="0" w:lastRowFirstColumn="0" w:lastRowLastColumn="0"/>
              <w:rPr>
                <w:b/>
              </w:rPr>
            </w:pPr>
            <w:r w:rsidRPr="00F52570">
              <w:rPr>
                <w:b/>
              </w:rPr>
              <w:t>(249.3</w:t>
            </w:r>
            <w:r w:rsidR="00634CE6">
              <w:rPr>
                <w:b/>
              </w:rPr>
              <w:t>09</w:t>
            </w:r>
            <w:r w:rsidRPr="00F52570">
              <w:rPr>
                <w:b/>
              </w:rPr>
              <w:t>)</w:t>
            </w:r>
          </w:p>
        </w:tc>
        <w:tc>
          <w:tcPr>
            <w:tcW w:w="606" w:type="pct"/>
            <w:vAlign w:val="center"/>
            <w:hideMark/>
          </w:tcPr>
          <w:p w:rsidR="001749FF" w:rsidRPr="00F52570" w:rsidRDefault="001749FF" w:rsidP="00634CE6">
            <w:pPr>
              <w:jc w:val="right"/>
              <w:cnfStyle w:val="000000100000" w:firstRow="0" w:lastRow="0" w:firstColumn="0" w:lastColumn="0" w:oddVBand="0" w:evenVBand="0" w:oddHBand="1" w:evenHBand="0" w:firstRowFirstColumn="0" w:firstRowLastColumn="0" w:lastRowFirstColumn="0" w:lastRowLastColumn="0"/>
              <w:rPr>
                <w:b/>
                <w:bCs/>
              </w:rPr>
            </w:pPr>
            <w:r w:rsidRPr="00F52570">
              <w:rPr>
                <w:b/>
                <w:bCs/>
              </w:rPr>
              <w:t>(52.86</w:t>
            </w:r>
            <w:r w:rsidR="00634CE6">
              <w:rPr>
                <w:b/>
                <w:bCs/>
              </w:rPr>
              <w:t>3</w:t>
            </w:r>
            <w:r w:rsidRPr="00F52570">
              <w:rPr>
                <w:b/>
                <w:bCs/>
              </w:rPr>
              <w:t>)</w:t>
            </w:r>
          </w:p>
        </w:tc>
        <w:tc>
          <w:tcPr>
            <w:tcW w:w="606" w:type="pct"/>
            <w:vAlign w:val="center"/>
          </w:tcPr>
          <w:p w:rsidR="001749FF" w:rsidRPr="00F52570" w:rsidRDefault="001749FF" w:rsidP="00703F75">
            <w:pPr>
              <w:jc w:val="right"/>
              <w:cnfStyle w:val="000000100000" w:firstRow="0" w:lastRow="0" w:firstColumn="0" w:lastColumn="0" w:oddVBand="0" w:evenVBand="0" w:oddHBand="1" w:evenHBand="0" w:firstRowFirstColumn="0" w:firstRowLastColumn="0" w:lastRowFirstColumn="0" w:lastRowLastColumn="0"/>
              <w:rPr>
                <w:b/>
              </w:rPr>
            </w:pPr>
            <w:r w:rsidRPr="00F52570">
              <w:rPr>
                <w:b/>
              </w:rPr>
              <w:t>26,9</w:t>
            </w:r>
          </w:p>
        </w:tc>
      </w:tr>
      <w:tr w:rsidR="001749FF" w:rsidRPr="00F52570" w:rsidTr="00703F75">
        <w:trPr>
          <w:trHeight w:val="283"/>
        </w:trPr>
        <w:tc>
          <w:tcPr>
            <w:cnfStyle w:val="001000000000" w:firstRow="0" w:lastRow="0" w:firstColumn="1" w:lastColumn="0" w:oddVBand="0" w:evenVBand="0" w:oddHBand="0" w:evenHBand="0" w:firstRowFirstColumn="0" w:firstRowLastColumn="0" w:lastRowFirstColumn="0" w:lastRowLastColumn="0"/>
            <w:tcW w:w="2401" w:type="pct"/>
            <w:vAlign w:val="center"/>
          </w:tcPr>
          <w:p w:rsidR="001749FF" w:rsidRPr="00F52570" w:rsidRDefault="001749FF" w:rsidP="00703F75">
            <w:pPr>
              <w:rPr>
                <w:bCs w:val="0"/>
              </w:rPr>
            </w:pPr>
            <w:r w:rsidRPr="00F52570">
              <w:rPr>
                <w:bCs w:val="0"/>
              </w:rPr>
              <w:t>Serviços de Terceiros</w:t>
            </w:r>
          </w:p>
        </w:tc>
        <w:tc>
          <w:tcPr>
            <w:tcW w:w="725" w:type="pct"/>
            <w:vAlign w:val="center"/>
          </w:tcPr>
          <w:p w:rsidR="001749FF" w:rsidRPr="00F52570" w:rsidRDefault="001749FF" w:rsidP="00324755">
            <w:pPr>
              <w:jc w:val="right"/>
              <w:cnfStyle w:val="000000000000" w:firstRow="0" w:lastRow="0" w:firstColumn="0" w:lastColumn="0" w:oddVBand="0" w:evenVBand="0" w:oddHBand="0" w:evenHBand="0" w:firstRowFirstColumn="0" w:firstRowLastColumn="0" w:lastRowFirstColumn="0" w:lastRowLastColumn="0"/>
              <w:rPr>
                <w:b/>
              </w:rPr>
            </w:pPr>
            <w:r w:rsidRPr="00F52570">
              <w:rPr>
                <w:b/>
              </w:rPr>
              <w:t>(152.</w:t>
            </w:r>
            <w:r w:rsidR="00324755">
              <w:rPr>
                <w:b/>
              </w:rPr>
              <w:t>141</w:t>
            </w:r>
            <w:r w:rsidRPr="00F52570">
              <w:rPr>
                <w:b/>
              </w:rPr>
              <w:t>)</w:t>
            </w:r>
          </w:p>
        </w:tc>
        <w:tc>
          <w:tcPr>
            <w:tcW w:w="662" w:type="pct"/>
            <w:vAlign w:val="center"/>
          </w:tcPr>
          <w:p w:rsidR="001749FF" w:rsidRPr="00F52570" w:rsidRDefault="001749FF" w:rsidP="00703F75">
            <w:pPr>
              <w:jc w:val="right"/>
              <w:cnfStyle w:val="000000000000" w:firstRow="0" w:lastRow="0" w:firstColumn="0" w:lastColumn="0" w:oddVBand="0" w:evenVBand="0" w:oddHBand="0" w:evenHBand="0" w:firstRowFirstColumn="0" w:firstRowLastColumn="0" w:lastRowFirstColumn="0" w:lastRowLastColumn="0"/>
              <w:rPr>
                <w:b/>
              </w:rPr>
            </w:pPr>
            <w:r w:rsidRPr="00F52570">
              <w:rPr>
                <w:b/>
              </w:rPr>
              <w:t>(173.433)</w:t>
            </w:r>
          </w:p>
        </w:tc>
        <w:tc>
          <w:tcPr>
            <w:tcW w:w="606" w:type="pct"/>
            <w:vAlign w:val="center"/>
          </w:tcPr>
          <w:p w:rsidR="001749FF" w:rsidRPr="00F52570" w:rsidRDefault="001749FF" w:rsidP="00324755">
            <w:pPr>
              <w:jc w:val="right"/>
              <w:cnfStyle w:val="000000000000" w:firstRow="0" w:lastRow="0" w:firstColumn="0" w:lastColumn="0" w:oddVBand="0" w:evenVBand="0" w:oddHBand="0" w:evenHBand="0" w:firstRowFirstColumn="0" w:firstRowLastColumn="0" w:lastRowFirstColumn="0" w:lastRowLastColumn="0"/>
              <w:rPr>
                <w:b/>
                <w:bCs/>
              </w:rPr>
            </w:pPr>
            <w:r w:rsidRPr="00F52570">
              <w:rPr>
                <w:b/>
                <w:bCs/>
              </w:rPr>
              <w:t>(2</w:t>
            </w:r>
            <w:r w:rsidR="00324755">
              <w:rPr>
                <w:b/>
                <w:bCs/>
              </w:rPr>
              <w:t>1.291</w:t>
            </w:r>
            <w:r w:rsidRPr="00F52570">
              <w:rPr>
                <w:b/>
                <w:bCs/>
              </w:rPr>
              <w:t>)</w:t>
            </w:r>
          </w:p>
        </w:tc>
        <w:tc>
          <w:tcPr>
            <w:tcW w:w="606" w:type="pct"/>
            <w:vAlign w:val="center"/>
          </w:tcPr>
          <w:p w:rsidR="001749FF" w:rsidRPr="00F52570" w:rsidRDefault="001749FF" w:rsidP="00324755">
            <w:pPr>
              <w:jc w:val="right"/>
              <w:cnfStyle w:val="000000000000" w:firstRow="0" w:lastRow="0" w:firstColumn="0" w:lastColumn="0" w:oddVBand="0" w:evenVBand="0" w:oddHBand="0" w:evenHBand="0" w:firstRowFirstColumn="0" w:firstRowLastColumn="0" w:lastRowFirstColumn="0" w:lastRowLastColumn="0"/>
              <w:rPr>
                <w:b/>
              </w:rPr>
            </w:pPr>
            <w:r w:rsidRPr="00F52570">
              <w:rPr>
                <w:b/>
              </w:rPr>
              <w:t>1</w:t>
            </w:r>
            <w:r w:rsidR="00324755">
              <w:rPr>
                <w:b/>
              </w:rPr>
              <w:t>4</w:t>
            </w:r>
            <w:r w:rsidRPr="00F52570">
              <w:rPr>
                <w:b/>
              </w:rPr>
              <w:t>,</w:t>
            </w:r>
            <w:r w:rsidR="00324755">
              <w:rPr>
                <w:b/>
              </w:rPr>
              <w:t>0</w:t>
            </w:r>
          </w:p>
        </w:tc>
      </w:tr>
    </w:tbl>
    <w:p w:rsidR="001749FF" w:rsidRPr="001C6831" w:rsidRDefault="001749FF" w:rsidP="001749FF">
      <w:pPr>
        <w:pStyle w:val="PargrafodaLista"/>
        <w:numPr>
          <w:ilvl w:val="0"/>
          <w:numId w:val="9"/>
        </w:numPr>
        <w:spacing w:before="240" w:after="240"/>
        <w:jc w:val="both"/>
        <w:rPr>
          <w:rFonts w:ascii="Times New Roman" w:hAnsi="Times New Roman" w:cs="Times New Roman"/>
          <w:lang w:val="pt-BR"/>
        </w:rPr>
      </w:pPr>
      <w:r w:rsidRPr="001C6831">
        <w:rPr>
          <w:rFonts w:ascii="Times New Roman" w:hAnsi="Times New Roman" w:cs="Times New Roman"/>
          <w:lang w:val="pt-BR"/>
        </w:rPr>
        <w:t xml:space="preserve">No ano de 2016, o </w:t>
      </w:r>
      <w:r>
        <w:rPr>
          <w:rFonts w:ascii="Times New Roman" w:hAnsi="Times New Roman" w:cs="Times New Roman"/>
          <w:lang w:val="pt-BR"/>
        </w:rPr>
        <w:t>C</w:t>
      </w:r>
      <w:r w:rsidRPr="001C6831">
        <w:rPr>
          <w:rFonts w:ascii="Times New Roman" w:hAnsi="Times New Roman" w:cs="Times New Roman"/>
          <w:lang w:val="pt-BR"/>
        </w:rPr>
        <w:t xml:space="preserve">usto da </w:t>
      </w:r>
      <w:r>
        <w:rPr>
          <w:rFonts w:ascii="Times New Roman" w:hAnsi="Times New Roman" w:cs="Times New Roman"/>
          <w:lang w:val="pt-BR"/>
        </w:rPr>
        <w:t>E</w:t>
      </w:r>
      <w:r w:rsidRPr="001C6831">
        <w:rPr>
          <w:rFonts w:ascii="Times New Roman" w:hAnsi="Times New Roman" w:cs="Times New Roman"/>
          <w:lang w:val="pt-BR"/>
        </w:rPr>
        <w:t xml:space="preserve">nergia </w:t>
      </w:r>
      <w:r>
        <w:rPr>
          <w:rFonts w:ascii="Times New Roman" w:hAnsi="Times New Roman" w:cs="Times New Roman"/>
          <w:lang w:val="pt-BR"/>
        </w:rPr>
        <w:t>E</w:t>
      </w:r>
      <w:r w:rsidRPr="001C6831">
        <w:rPr>
          <w:rFonts w:ascii="Times New Roman" w:hAnsi="Times New Roman" w:cs="Times New Roman"/>
          <w:lang w:val="pt-BR"/>
        </w:rPr>
        <w:t xml:space="preserve">létrica </w:t>
      </w:r>
      <w:r>
        <w:rPr>
          <w:rFonts w:ascii="Times New Roman" w:hAnsi="Times New Roman" w:cs="Times New Roman"/>
          <w:lang w:val="pt-BR"/>
        </w:rPr>
        <w:t>C</w:t>
      </w:r>
      <w:r w:rsidRPr="001C6831">
        <w:rPr>
          <w:rFonts w:ascii="Times New Roman" w:hAnsi="Times New Roman" w:cs="Times New Roman"/>
          <w:lang w:val="pt-BR"/>
        </w:rPr>
        <w:t xml:space="preserve">omprada registrou uma </w:t>
      </w:r>
      <w:r>
        <w:rPr>
          <w:rFonts w:ascii="Times New Roman" w:hAnsi="Times New Roman" w:cs="Times New Roman"/>
          <w:lang w:val="pt-BR"/>
        </w:rPr>
        <w:t>retração</w:t>
      </w:r>
      <w:r w:rsidRPr="001C6831">
        <w:rPr>
          <w:rFonts w:ascii="Times New Roman" w:hAnsi="Times New Roman" w:cs="Times New Roman"/>
          <w:lang w:val="pt-BR"/>
        </w:rPr>
        <w:t xml:space="preserve"> de R$ 129.33</w:t>
      </w:r>
      <w:r w:rsidR="00324755">
        <w:rPr>
          <w:rFonts w:ascii="Times New Roman" w:hAnsi="Times New Roman" w:cs="Times New Roman"/>
          <w:lang w:val="pt-BR"/>
        </w:rPr>
        <w:t>8</w:t>
      </w:r>
      <w:r w:rsidRPr="001C6831">
        <w:rPr>
          <w:rFonts w:ascii="Times New Roman" w:hAnsi="Times New Roman" w:cs="Times New Roman"/>
          <w:lang w:val="pt-BR"/>
        </w:rPr>
        <w:t xml:space="preserve"> mil </w:t>
      </w:r>
      <w:r w:rsidR="004305E6">
        <w:rPr>
          <w:rFonts w:ascii="Times New Roman" w:hAnsi="Times New Roman" w:cs="Times New Roman"/>
          <w:lang w:val="pt-BR"/>
        </w:rPr>
        <w:t xml:space="preserve">     </w:t>
      </w:r>
      <w:r w:rsidRPr="001C6831">
        <w:rPr>
          <w:rFonts w:ascii="Times New Roman" w:hAnsi="Times New Roman" w:cs="Times New Roman"/>
          <w:lang w:val="pt-BR"/>
        </w:rPr>
        <w:t xml:space="preserve">(-11,0%), em relação ao ano anterior, </w:t>
      </w:r>
      <w:r>
        <w:rPr>
          <w:rFonts w:ascii="Times New Roman" w:hAnsi="Times New Roman" w:cs="Times New Roman"/>
          <w:lang w:val="pt-BR"/>
        </w:rPr>
        <w:t xml:space="preserve">e o </w:t>
      </w:r>
      <w:r w:rsidR="00CA7D6E">
        <w:rPr>
          <w:rFonts w:ascii="Times New Roman" w:hAnsi="Times New Roman" w:cs="Times New Roman"/>
          <w:lang w:val="pt-BR"/>
        </w:rPr>
        <w:t>C</w:t>
      </w:r>
      <w:r>
        <w:rPr>
          <w:rFonts w:ascii="Times New Roman" w:hAnsi="Times New Roman" w:cs="Times New Roman"/>
          <w:lang w:val="pt-BR"/>
        </w:rPr>
        <w:t xml:space="preserve">usto da </w:t>
      </w:r>
      <w:r w:rsidR="00CA7D6E">
        <w:rPr>
          <w:rFonts w:ascii="Times New Roman" w:hAnsi="Times New Roman" w:cs="Times New Roman"/>
          <w:lang w:val="pt-BR"/>
        </w:rPr>
        <w:t>E</w:t>
      </w:r>
      <w:r>
        <w:rPr>
          <w:rFonts w:ascii="Times New Roman" w:hAnsi="Times New Roman" w:cs="Times New Roman"/>
          <w:lang w:val="pt-BR"/>
        </w:rPr>
        <w:t xml:space="preserve">nergia </w:t>
      </w:r>
      <w:r w:rsidR="00CA7D6E">
        <w:rPr>
          <w:rFonts w:ascii="Times New Roman" w:hAnsi="Times New Roman" w:cs="Times New Roman"/>
          <w:lang w:val="pt-BR"/>
        </w:rPr>
        <w:t>E</w:t>
      </w:r>
      <w:r>
        <w:rPr>
          <w:rFonts w:ascii="Times New Roman" w:hAnsi="Times New Roman" w:cs="Times New Roman"/>
          <w:lang w:val="pt-BR"/>
        </w:rPr>
        <w:t xml:space="preserve">létrica de </w:t>
      </w:r>
      <w:r w:rsidR="00CA7D6E">
        <w:rPr>
          <w:rFonts w:ascii="Times New Roman" w:hAnsi="Times New Roman" w:cs="Times New Roman"/>
          <w:lang w:val="pt-BR"/>
        </w:rPr>
        <w:t>C</w:t>
      </w:r>
      <w:r>
        <w:rPr>
          <w:rFonts w:ascii="Times New Roman" w:hAnsi="Times New Roman" w:cs="Times New Roman"/>
          <w:lang w:val="pt-BR"/>
        </w:rPr>
        <w:t xml:space="preserve">urto </w:t>
      </w:r>
      <w:r w:rsidR="00CA7D6E">
        <w:rPr>
          <w:rFonts w:ascii="Times New Roman" w:hAnsi="Times New Roman" w:cs="Times New Roman"/>
          <w:lang w:val="pt-BR"/>
        </w:rPr>
        <w:t>P</w:t>
      </w:r>
      <w:r>
        <w:rPr>
          <w:rFonts w:ascii="Times New Roman" w:hAnsi="Times New Roman" w:cs="Times New Roman"/>
          <w:lang w:val="pt-BR"/>
        </w:rPr>
        <w:t xml:space="preserve">razo também apresentou diminuição na ordem de R$ 40.834 mil (-12,5%), </w:t>
      </w:r>
      <w:r w:rsidRPr="001C6831">
        <w:rPr>
          <w:rFonts w:ascii="Times New Roman" w:hAnsi="Times New Roman"/>
          <w:lang w:val="pt-BR"/>
        </w:rPr>
        <w:t>decorrente da redução nos Custos Variáveis do Mercado de Curto Prazo</w:t>
      </w:r>
      <w:r>
        <w:rPr>
          <w:rFonts w:ascii="Times New Roman" w:hAnsi="Times New Roman"/>
          <w:lang w:val="pt-BR"/>
        </w:rPr>
        <w:t xml:space="preserve"> que, por sua vez, foi impactado pelo</w:t>
      </w:r>
      <w:r w:rsidRPr="001C6831">
        <w:rPr>
          <w:rFonts w:ascii="Times New Roman" w:hAnsi="Times New Roman"/>
          <w:lang w:val="pt-BR"/>
        </w:rPr>
        <w:t xml:space="preserve"> cenário hidrológico </w:t>
      </w:r>
      <w:r>
        <w:rPr>
          <w:rFonts w:ascii="Times New Roman" w:hAnsi="Times New Roman"/>
          <w:lang w:val="pt-BR"/>
        </w:rPr>
        <w:t>mais favorável, causando</w:t>
      </w:r>
      <w:r w:rsidRPr="001C6831">
        <w:rPr>
          <w:rFonts w:ascii="Times New Roman" w:hAnsi="Times New Roman"/>
          <w:lang w:val="pt-BR"/>
        </w:rPr>
        <w:t xml:space="preserve"> reduç</w:t>
      </w:r>
      <w:r>
        <w:rPr>
          <w:rFonts w:ascii="Times New Roman" w:hAnsi="Times New Roman"/>
          <w:lang w:val="pt-BR"/>
        </w:rPr>
        <w:t>ões</w:t>
      </w:r>
      <w:r w:rsidRPr="001C6831">
        <w:rPr>
          <w:rFonts w:ascii="Times New Roman" w:hAnsi="Times New Roman"/>
          <w:lang w:val="pt-BR"/>
        </w:rPr>
        <w:t xml:space="preserve"> do </w:t>
      </w:r>
      <w:r w:rsidR="00CA7D6E">
        <w:rPr>
          <w:rFonts w:ascii="Times New Roman" w:hAnsi="Times New Roman"/>
          <w:lang w:val="pt-BR"/>
        </w:rPr>
        <w:t>Preço de Liquidaç</w:t>
      </w:r>
      <w:r w:rsidR="004C51F5">
        <w:rPr>
          <w:rFonts w:ascii="Times New Roman" w:hAnsi="Times New Roman"/>
          <w:lang w:val="pt-BR"/>
        </w:rPr>
        <w:t>ão</w:t>
      </w:r>
      <w:r w:rsidR="00CA7D6E">
        <w:rPr>
          <w:rFonts w:ascii="Times New Roman" w:hAnsi="Times New Roman"/>
          <w:lang w:val="pt-BR"/>
        </w:rPr>
        <w:t xml:space="preserve"> d</w:t>
      </w:r>
      <w:r w:rsidR="004C51F5">
        <w:rPr>
          <w:rFonts w:ascii="Times New Roman" w:hAnsi="Times New Roman"/>
          <w:lang w:val="pt-BR"/>
        </w:rPr>
        <w:t>as</w:t>
      </w:r>
      <w:r w:rsidR="00CA7D6E">
        <w:rPr>
          <w:rFonts w:ascii="Times New Roman" w:hAnsi="Times New Roman"/>
          <w:lang w:val="pt-BR"/>
        </w:rPr>
        <w:t xml:space="preserve"> Diferenças – </w:t>
      </w:r>
      <w:r w:rsidRPr="001C6831">
        <w:rPr>
          <w:rFonts w:ascii="Times New Roman" w:hAnsi="Times New Roman"/>
          <w:lang w:val="pt-BR"/>
        </w:rPr>
        <w:t>PLD</w:t>
      </w:r>
      <w:r w:rsidR="00CA7D6E">
        <w:rPr>
          <w:rFonts w:ascii="Times New Roman" w:hAnsi="Times New Roman"/>
          <w:lang w:val="pt-BR"/>
        </w:rPr>
        <w:t>,</w:t>
      </w:r>
      <w:r w:rsidRPr="001C6831">
        <w:rPr>
          <w:rFonts w:ascii="Times New Roman" w:hAnsi="Times New Roman"/>
          <w:lang w:val="pt-BR"/>
        </w:rPr>
        <w:t xml:space="preserve"> quando comparado com 2015.</w:t>
      </w:r>
    </w:p>
    <w:p w:rsidR="001749FF" w:rsidRPr="00670A06" w:rsidRDefault="001749FF" w:rsidP="001749FF">
      <w:pPr>
        <w:pStyle w:val="PargrafodaLista"/>
        <w:numPr>
          <w:ilvl w:val="0"/>
          <w:numId w:val="9"/>
        </w:numPr>
        <w:spacing w:before="240" w:after="240"/>
        <w:jc w:val="both"/>
        <w:rPr>
          <w:rFonts w:ascii="Times New Roman" w:hAnsi="Times New Roman" w:cs="Times New Roman"/>
          <w:lang w:val="pt-BR"/>
        </w:rPr>
      </w:pPr>
      <w:r w:rsidRPr="00670A06">
        <w:rPr>
          <w:rFonts w:ascii="Times New Roman" w:hAnsi="Times New Roman" w:cs="Times New Roman"/>
          <w:lang w:val="pt-BR"/>
        </w:rPr>
        <w:t xml:space="preserve">Na rubrica de </w:t>
      </w:r>
      <w:r w:rsidR="004C51F5" w:rsidRPr="00670A06">
        <w:rPr>
          <w:rFonts w:ascii="Times New Roman" w:hAnsi="Times New Roman" w:cs="Times New Roman"/>
          <w:lang w:val="pt-BR"/>
        </w:rPr>
        <w:t>P</w:t>
      </w:r>
      <w:r w:rsidRPr="00670A06">
        <w:rPr>
          <w:rFonts w:ascii="Times New Roman" w:hAnsi="Times New Roman" w:cs="Times New Roman"/>
          <w:lang w:val="pt-BR"/>
        </w:rPr>
        <w:t>essoal, registrou-se no exercício um aumento de 26,9% em relação a 2015</w:t>
      </w:r>
      <w:r w:rsidR="00670A06" w:rsidRPr="00670A06">
        <w:rPr>
          <w:rFonts w:ascii="Times New Roman" w:hAnsi="Times New Roman" w:cs="Times New Roman"/>
          <w:lang w:val="pt-BR"/>
        </w:rPr>
        <w:t>,</w:t>
      </w:r>
      <w:r w:rsidRPr="00670A06">
        <w:rPr>
          <w:rFonts w:ascii="Times New Roman" w:hAnsi="Times New Roman" w:cs="Times New Roman"/>
          <w:lang w:val="pt-BR"/>
        </w:rPr>
        <w:t xml:space="preserve"> </w:t>
      </w:r>
      <w:r w:rsidR="004C51F5" w:rsidRPr="00670A06">
        <w:rPr>
          <w:rFonts w:ascii="Times New Roman" w:hAnsi="Times New Roman" w:cs="Times New Roman"/>
          <w:lang w:val="pt-BR"/>
        </w:rPr>
        <w:t xml:space="preserve">no montante de </w:t>
      </w:r>
      <w:r w:rsidRPr="00670A06">
        <w:rPr>
          <w:rFonts w:ascii="Times New Roman" w:hAnsi="Times New Roman" w:cs="Times New Roman"/>
          <w:lang w:val="pt-BR"/>
        </w:rPr>
        <w:t>R$</w:t>
      </w:r>
      <w:r w:rsidR="004C51F5" w:rsidRPr="00670A06">
        <w:rPr>
          <w:rFonts w:ascii="Times New Roman" w:hAnsi="Times New Roman" w:cs="Times New Roman"/>
          <w:lang w:val="pt-BR"/>
        </w:rPr>
        <w:t xml:space="preserve"> </w:t>
      </w:r>
      <w:r w:rsidRPr="00670A06">
        <w:rPr>
          <w:rFonts w:ascii="Times New Roman" w:hAnsi="Times New Roman" w:cs="Times New Roman"/>
          <w:lang w:val="pt-BR"/>
        </w:rPr>
        <w:t>52.86</w:t>
      </w:r>
      <w:r w:rsidR="00324755">
        <w:rPr>
          <w:rFonts w:ascii="Times New Roman" w:hAnsi="Times New Roman" w:cs="Times New Roman"/>
          <w:lang w:val="pt-BR"/>
        </w:rPr>
        <w:t>3</w:t>
      </w:r>
      <w:r w:rsidRPr="00670A06">
        <w:rPr>
          <w:rFonts w:ascii="Times New Roman" w:hAnsi="Times New Roman" w:cs="Times New Roman"/>
          <w:lang w:val="pt-BR"/>
        </w:rPr>
        <w:t xml:space="preserve"> mil. Os principais eventos ocorridos em 2016 foram: contrat</w:t>
      </w:r>
      <w:r w:rsidR="004C51F5" w:rsidRPr="00670A06">
        <w:rPr>
          <w:rFonts w:ascii="Times New Roman" w:hAnsi="Times New Roman" w:cs="Times New Roman"/>
          <w:lang w:val="pt-BR"/>
        </w:rPr>
        <w:t>ações de 116 novos colaboradores;</w:t>
      </w:r>
      <w:r w:rsidRPr="00670A06">
        <w:rPr>
          <w:rFonts w:ascii="Times New Roman" w:hAnsi="Times New Roman" w:cs="Times New Roman"/>
          <w:lang w:val="pt-BR"/>
        </w:rPr>
        <w:t xml:space="preserve"> 40 demissões</w:t>
      </w:r>
      <w:r w:rsidR="00670A06" w:rsidRPr="00670A06">
        <w:rPr>
          <w:rFonts w:ascii="Times New Roman" w:hAnsi="Times New Roman" w:cs="Times New Roman"/>
          <w:lang w:val="pt-BR"/>
        </w:rPr>
        <w:t>, das quais, 29 em função da política de desligamento</w:t>
      </w:r>
      <w:r w:rsidR="004C51F5" w:rsidRPr="00670A06">
        <w:rPr>
          <w:rFonts w:ascii="Times New Roman" w:hAnsi="Times New Roman" w:cs="Times New Roman"/>
          <w:lang w:val="pt-BR"/>
        </w:rPr>
        <w:t>;</w:t>
      </w:r>
      <w:r w:rsidRPr="00670A06">
        <w:rPr>
          <w:rFonts w:ascii="Times New Roman" w:hAnsi="Times New Roman" w:cs="Times New Roman"/>
          <w:lang w:val="pt-BR"/>
        </w:rPr>
        <w:t xml:space="preserve"> e reajuste nas remunerações em </w:t>
      </w:r>
      <w:r w:rsidR="006240D9">
        <w:rPr>
          <w:rFonts w:ascii="Times New Roman" w:hAnsi="Times New Roman" w:cs="Times New Roman"/>
          <w:lang w:val="pt-BR"/>
        </w:rPr>
        <w:t>decorrência</w:t>
      </w:r>
      <w:r w:rsidRPr="00670A06">
        <w:rPr>
          <w:rFonts w:ascii="Times New Roman" w:hAnsi="Times New Roman" w:cs="Times New Roman"/>
          <w:lang w:val="pt-BR"/>
        </w:rPr>
        <w:t xml:space="preserve"> do </w:t>
      </w:r>
      <w:r w:rsidR="004C51F5" w:rsidRPr="00670A06">
        <w:rPr>
          <w:rFonts w:ascii="Times New Roman" w:hAnsi="Times New Roman" w:cs="Times New Roman"/>
          <w:lang w:val="pt-BR"/>
        </w:rPr>
        <w:t>A</w:t>
      </w:r>
      <w:r w:rsidRPr="00670A06">
        <w:rPr>
          <w:rFonts w:ascii="Times New Roman" w:hAnsi="Times New Roman" w:cs="Times New Roman"/>
          <w:lang w:val="pt-BR"/>
        </w:rPr>
        <w:t xml:space="preserve">cordo </w:t>
      </w:r>
      <w:r w:rsidR="004C51F5" w:rsidRPr="00670A06">
        <w:rPr>
          <w:rFonts w:ascii="Times New Roman" w:hAnsi="Times New Roman" w:cs="Times New Roman"/>
          <w:lang w:val="pt-BR"/>
        </w:rPr>
        <w:t>C</w:t>
      </w:r>
      <w:r w:rsidRPr="00670A06">
        <w:rPr>
          <w:rFonts w:ascii="Times New Roman" w:hAnsi="Times New Roman" w:cs="Times New Roman"/>
          <w:lang w:val="pt-BR"/>
        </w:rPr>
        <w:t xml:space="preserve">oletivo de </w:t>
      </w:r>
      <w:r w:rsidR="004C51F5" w:rsidRPr="00670A06">
        <w:rPr>
          <w:rFonts w:ascii="Times New Roman" w:hAnsi="Times New Roman" w:cs="Times New Roman"/>
          <w:lang w:val="pt-BR"/>
        </w:rPr>
        <w:t>T</w:t>
      </w:r>
      <w:r w:rsidRPr="00670A06">
        <w:rPr>
          <w:rFonts w:ascii="Times New Roman" w:hAnsi="Times New Roman" w:cs="Times New Roman"/>
          <w:lang w:val="pt-BR"/>
        </w:rPr>
        <w:t>rabalho</w:t>
      </w:r>
      <w:r w:rsidR="004C51F5" w:rsidRPr="00670A06">
        <w:rPr>
          <w:rFonts w:ascii="Times New Roman" w:hAnsi="Times New Roman" w:cs="Times New Roman"/>
          <w:lang w:val="pt-BR"/>
        </w:rPr>
        <w:t xml:space="preserve"> – ACT</w:t>
      </w:r>
      <w:r w:rsidRPr="00670A06">
        <w:rPr>
          <w:rFonts w:ascii="Times New Roman" w:hAnsi="Times New Roman" w:cs="Times New Roman"/>
          <w:lang w:val="pt-BR"/>
        </w:rPr>
        <w:t>.</w:t>
      </w:r>
    </w:p>
    <w:p w:rsidR="001749FF" w:rsidRPr="004D6ED8" w:rsidRDefault="001749FF" w:rsidP="001749FF">
      <w:pPr>
        <w:pStyle w:val="PargrafodaLista"/>
        <w:numPr>
          <w:ilvl w:val="0"/>
          <w:numId w:val="9"/>
        </w:numPr>
        <w:spacing w:before="240" w:after="240"/>
        <w:jc w:val="both"/>
        <w:rPr>
          <w:rFonts w:ascii="Times New Roman" w:hAnsi="Times New Roman" w:cs="Times New Roman"/>
          <w:lang w:val="pt-BR"/>
        </w:rPr>
      </w:pPr>
      <w:r w:rsidRPr="004D6ED8">
        <w:rPr>
          <w:rFonts w:ascii="Times New Roman" w:hAnsi="Times New Roman" w:cs="Times New Roman"/>
          <w:lang w:val="pt-BR"/>
        </w:rPr>
        <w:t xml:space="preserve">As </w:t>
      </w:r>
      <w:r w:rsidR="004C51F5">
        <w:rPr>
          <w:rFonts w:ascii="Times New Roman" w:hAnsi="Times New Roman" w:cs="Times New Roman"/>
          <w:lang w:val="pt-BR"/>
        </w:rPr>
        <w:t>P</w:t>
      </w:r>
      <w:r w:rsidRPr="004D6ED8">
        <w:rPr>
          <w:rFonts w:ascii="Times New Roman" w:hAnsi="Times New Roman" w:cs="Times New Roman"/>
          <w:lang w:val="pt-BR"/>
        </w:rPr>
        <w:t xml:space="preserve">erdas </w:t>
      </w:r>
      <w:r w:rsidR="004C51F5">
        <w:rPr>
          <w:rFonts w:ascii="Times New Roman" w:hAnsi="Times New Roman" w:cs="Times New Roman"/>
          <w:lang w:val="pt-BR"/>
        </w:rPr>
        <w:t>E</w:t>
      </w:r>
      <w:r w:rsidRPr="004D6ED8">
        <w:rPr>
          <w:rFonts w:ascii="Times New Roman" w:hAnsi="Times New Roman" w:cs="Times New Roman"/>
          <w:lang w:val="pt-BR"/>
        </w:rPr>
        <w:t xml:space="preserve">stimadas com </w:t>
      </w:r>
      <w:r w:rsidR="004C51F5">
        <w:rPr>
          <w:rFonts w:ascii="Times New Roman" w:hAnsi="Times New Roman" w:cs="Times New Roman"/>
          <w:lang w:val="pt-BR"/>
        </w:rPr>
        <w:t>C</w:t>
      </w:r>
      <w:r w:rsidRPr="004D6ED8">
        <w:rPr>
          <w:rFonts w:ascii="Times New Roman" w:hAnsi="Times New Roman" w:cs="Times New Roman"/>
          <w:lang w:val="pt-BR"/>
        </w:rPr>
        <w:t xml:space="preserve">réditos de </w:t>
      </w:r>
      <w:r w:rsidR="004C51F5">
        <w:rPr>
          <w:rFonts w:ascii="Times New Roman" w:hAnsi="Times New Roman" w:cs="Times New Roman"/>
          <w:lang w:val="pt-BR"/>
        </w:rPr>
        <w:t>L</w:t>
      </w:r>
      <w:r w:rsidRPr="004D6ED8">
        <w:rPr>
          <w:rFonts w:ascii="Times New Roman" w:hAnsi="Times New Roman" w:cs="Times New Roman"/>
          <w:lang w:val="pt-BR"/>
        </w:rPr>
        <w:t xml:space="preserve">iquidação </w:t>
      </w:r>
      <w:r w:rsidR="004C51F5">
        <w:rPr>
          <w:rFonts w:ascii="Times New Roman" w:hAnsi="Times New Roman" w:cs="Times New Roman"/>
          <w:lang w:val="pt-BR"/>
        </w:rPr>
        <w:t>D</w:t>
      </w:r>
      <w:r w:rsidRPr="004D6ED8">
        <w:rPr>
          <w:rFonts w:ascii="Times New Roman" w:hAnsi="Times New Roman" w:cs="Times New Roman"/>
          <w:lang w:val="pt-BR"/>
        </w:rPr>
        <w:t>uvidosa totalizaram R$ 50.272 mil, uma redução de R$ 34.947 mil, em comparação com o ano anterior. Este decréscimo está diretamente relacionado à reversão de provisão em razão de débitos transferidos para perdas.</w:t>
      </w:r>
    </w:p>
    <w:p w:rsidR="001749FF" w:rsidRPr="004D6ED8" w:rsidRDefault="001749FF" w:rsidP="001749FF">
      <w:pPr>
        <w:pStyle w:val="PargrafodaLista"/>
        <w:numPr>
          <w:ilvl w:val="0"/>
          <w:numId w:val="9"/>
        </w:numPr>
        <w:spacing w:before="240" w:after="240"/>
        <w:jc w:val="both"/>
        <w:rPr>
          <w:rFonts w:ascii="Times New Roman" w:hAnsi="Times New Roman" w:cs="Times New Roman"/>
          <w:lang w:val="pt-BR"/>
        </w:rPr>
      </w:pPr>
      <w:r w:rsidRPr="004D6ED8">
        <w:rPr>
          <w:rFonts w:ascii="Times New Roman" w:hAnsi="Times New Roman" w:cs="Times New Roman"/>
          <w:lang w:val="pt-BR"/>
        </w:rPr>
        <w:t xml:space="preserve">Os </w:t>
      </w:r>
      <w:r w:rsidR="004C51F5">
        <w:rPr>
          <w:rFonts w:ascii="Times New Roman" w:hAnsi="Times New Roman" w:cs="Times New Roman"/>
          <w:lang w:val="pt-BR"/>
        </w:rPr>
        <w:t>S</w:t>
      </w:r>
      <w:r w:rsidRPr="004D6ED8">
        <w:rPr>
          <w:rFonts w:ascii="Times New Roman" w:hAnsi="Times New Roman" w:cs="Times New Roman"/>
          <w:lang w:val="pt-BR"/>
        </w:rPr>
        <w:t xml:space="preserve">erviços </w:t>
      </w:r>
      <w:proofErr w:type="spellStart"/>
      <w:r w:rsidRPr="004D6ED8">
        <w:rPr>
          <w:rFonts w:ascii="Times New Roman" w:hAnsi="Times New Roman" w:cs="Times New Roman"/>
          <w:lang w:val="pt-BR"/>
        </w:rPr>
        <w:t>de</w:t>
      </w:r>
      <w:r w:rsidR="004C51F5">
        <w:rPr>
          <w:rFonts w:ascii="Times New Roman" w:hAnsi="Times New Roman" w:cs="Times New Roman"/>
          <w:lang w:val="pt-BR"/>
        </w:rPr>
        <w:t>T</w:t>
      </w:r>
      <w:r w:rsidR="00324755">
        <w:rPr>
          <w:rFonts w:ascii="Times New Roman" w:hAnsi="Times New Roman" w:cs="Times New Roman"/>
          <w:lang w:val="pt-BR"/>
        </w:rPr>
        <w:t>erceiros</w:t>
      </w:r>
      <w:proofErr w:type="spellEnd"/>
      <w:r w:rsidR="00324755">
        <w:rPr>
          <w:rFonts w:ascii="Times New Roman" w:hAnsi="Times New Roman" w:cs="Times New Roman"/>
          <w:lang w:val="pt-BR"/>
        </w:rPr>
        <w:t xml:space="preserve"> totalizaram R$ 173.432</w:t>
      </w:r>
      <w:r w:rsidRPr="004D6ED8">
        <w:rPr>
          <w:rFonts w:ascii="Times New Roman" w:hAnsi="Times New Roman" w:cs="Times New Roman"/>
          <w:lang w:val="pt-BR"/>
        </w:rPr>
        <w:t xml:space="preserve"> mil (R$ 152.</w:t>
      </w:r>
      <w:r w:rsidR="00324755">
        <w:rPr>
          <w:rFonts w:ascii="Times New Roman" w:hAnsi="Times New Roman" w:cs="Times New Roman"/>
          <w:lang w:val="pt-BR"/>
        </w:rPr>
        <w:t>141</w:t>
      </w:r>
      <w:r w:rsidRPr="004D6ED8">
        <w:rPr>
          <w:rFonts w:ascii="Times New Roman" w:hAnsi="Times New Roman" w:cs="Times New Roman"/>
          <w:lang w:val="pt-BR"/>
        </w:rPr>
        <w:t>mil em 201</w:t>
      </w:r>
      <w:r w:rsidR="004C51F5">
        <w:rPr>
          <w:rFonts w:ascii="Times New Roman" w:hAnsi="Times New Roman" w:cs="Times New Roman"/>
          <w:lang w:val="pt-BR"/>
        </w:rPr>
        <w:t>5</w:t>
      </w:r>
      <w:r w:rsidRPr="004D6ED8">
        <w:rPr>
          <w:rFonts w:ascii="Times New Roman" w:hAnsi="Times New Roman" w:cs="Times New Roman"/>
          <w:lang w:val="pt-BR"/>
        </w:rPr>
        <w:t xml:space="preserve">), representando um </w:t>
      </w:r>
      <w:r w:rsidR="004C51F5">
        <w:rPr>
          <w:rFonts w:ascii="Times New Roman" w:hAnsi="Times New Roman" w:cs="Times New Roman"/>
          <w:lang w:val="pt-BR"/>
        </w:rPr>
        <w:t>acréscimo</w:t>
      </w:r>
      <w:r w:rsidRPr="004D6ED8">
        <w:rPr>
          <w:rFonts w:ascii="Times New Roman" w:hAnsi="Times New Roman" w:cs="Times New Roman"/>
          <w:lang w:val="pt-BR"/>
        </w:rPr>
        <w:t xml:space="preserve"> de 1</w:t>
      </w:r>
      <w:r w:rsidR="00324755">
        <w:rPr>
          <w:rFonts w:ascii="Times New Roman" w:hAnsi="Times New Roman" w:cs="Times New Roman"/>
          <w:lang w:val="pt-BR"/>
        </w:rPr>
        <w:t>4,0</w:t>
      </w:r>
      <w:r w:rsidRPr="004D6ED8">
        <w:rPr>
          <w:rFonts w:ascii="Times New Roman" w:hAnsi="Times New Roman" w:cs="Times New Roman"/>
          <w:lang w:val="pt-BR"/>
        </w:rPr>
        <w:t xml:space="preserve">%. Este desempenho é decorrente, dentre outros fatores, da </w:t>
      </w:r>
      <w:r w:rsidR="004C51F5">
        <w:rPr>
          <w:rFonts w:ascii="Times New Roman" w:hAnsi="Times New Roman" w:cs="Times New Roman"/>
          <w:lang w:val="pt-BR"/>
        </w:rPr>
        <w:t xml:space="preserve">intensificação da </w:t>
      </w:r>
      <w:r w:rsidRPr="004D6ED8">
        <w:rPr>
          <w:rFonts w:ascii="Times New Roman" w:hAnsi="Times New Roman" w:cs="Times New Roman"/>
          <w:lang w:val="pt-BR"/>
        </w:rPr>
        <w:t>manutenção de linhas e redes do sistema elétrico</w:t>
      </w:r>
      <w:r w:rsidR="004C51F5">
        <w:rPr>
          <w:rFonts w:ascii="Times New Roman" w:hAnsi="Times New Roman" w:cs="Times New Roman"/>
          <w:lang w:val="pt-BR"/>
        </w:rPr>
        <w:t>;</w:t>
      </w:r>
      <w:r w:rsidRPr="004D6ED8">
        <w:rPr>
          <w:rFonts w:ascii="Times New Roman" w:hAnsi="Times New Roman" w:cs="Times New Roman"/>
          <w:lang w:val="pt-BR"/>
        </w:rPr>
        <w:t xml:space="preserve"> manutenção de </w:t>
      </w:r>
      <w:r w:rsidRPr="004C51F5">
        <w:rPr>
          <w:rFonts w:ascii="Times New Roman" w:hAnsi="Times New Roman" w:cs="Times New Roman"/>
          <w:i/>
          <w:lang w:val="pt-BR"/>
        </w:rPr>
        <w:t xml:space="preserve">hardware </w:t>
      </w:r>
      <w:r w:rsidRPr="004D6ED8">
        <w:rPr>
          <w:rFonts w:ascii="Times New Roman" w:hAnsi="Times New Roman" w:cs="Times New Roman"/>
          <w:lang w:val="pt-BR"/>
        </w:rPr>
        <w:t xml:space="preserve">e </w:t>
      </w:r>
      <w:r w:rsidRPr="004C51F5">
        <w:rPr>
          <w:rFonts w:ascii="Times New Roman" w:hAnsi="Times New Roman" w:cs="Times New Roman"/>
          <w:i/>
          <w:lang w:val="pt-BR"/>
        </w:rPr>
        <w:t>software</w:t>
      </w:r>
      <w:r w:rsidR="004C51F5">
        <w:rPr>
          <w:rFonts w:ascii="Times New Roman" w:hAnsi="Times New Roman" w:cs="Times New Roman"/>
          <w:lang w:val="pt-BR"/>
        </w:rPr>
        <w:t>;</w:t>
      </w:r>
      <w:r w:rsidRPr="004D6ED8">
        <w:rPr>
          <w:rFonts w:ascii="Times New Roman" w:hAnsi="Times New Roman" w:cs="Times New Roman"/>
          <w:lang w:val="pt-BR"/>
        </w:rPr>
        <w:t xml:space="preserve"> e </w:t>
      </w:r>
      <w:proofErr w:type="spellStart"/>
      <w:r w:rsidRPr="001749FF">
        <w:rPr>
          <w:rFonts w:ascii="Times New Roman" w:hAnsi="Times New Roman" w:cs="Times New Roman"/>
          <w:i/>
          <w:lang w:val="pt-BR"/>
        </w:rPr>
        <w:t>call</w:t>
      </w:r>
      <w:proofErr w:type="spellEnd"/>
      <w:r w:rsidRPr="001749FF">
        <w:rPr>
          <w:rFonts w:ascii="Times New Roman" w:hAnsi="Times New Roman" w:cs="Times New Roman"/>
          <w:i/>
          <w:lang w:val="pt-BR"/>
        </w:rPr>
        <w:t xml:space="preserve"> center</w:t>
      </w:r>
      <w:r w:rsidRPr="004D6ED8">
        <w:rPr>
          <w:rFonts w:ascii="Times New Roman" w:hAnsi="Times New Roman" w:cs="Times New Roman"/>
          <w:lang w:val="pt-BR"/>
        </w:rPr>
        <w:t>.</w:t>
      </w:r>
    </w:p>
    <w:p w:rsidR="00365D03" w:rsidRDefault="00365D03" w:rsidP="00365D03">
      <w:pPr>
        <w:spacing w:before="240" w:after="240"/>
        <w:rPr>
          <w:b/>
          <w:bCs/>
          <w:sz w:val="22"/>
          <w:szCs w:val="22"/>
        </w:rPr>
      </w:pPr>
      <w:r w:rsidRPr="004C1CCC">
        <w:rPr>
          <w:b/>
          <w:bCs/>
          <w:sz w:val="22"/>
          <w:szCs w:val="22"/>
        </w:rPr>
        <w:t>Depreciação e Amortização</w:t>
      </w:r>
    </w:p>
    <w:tbl>
      <w:tblPr>
        <w:tblStyle w:val="ListaClara-nfase11"/>
        <w:tblW w:w="9889" w:type="dxa"/>
        <w:tblLook w:val="04A0" w:firstRow="1" w:lastRow="0" w:firstColumn="1" w:lastColumn="0" w:noHBand="0" w:noVBand="1"/>
      </w:tblPr>
      <w:tblGrid>
        <w:gridCol w:w="4786"/>
        <w:gridCol w:w="1297"/>
        <w:gridCol w:w="1225"/>
        <w:gridCol w:w="1219"/>
        <w:gridCol w:w="1362"/>
      </w:tblGrid>
      <w:tr w:rsidR="00365D03" w:rsidRPr="006049AC" w:rsidTr="00B53824">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786" w:type="dxa"/>
            <w:shd w:val="clear" w:color="auto" w:fill="0070C0"/>
            <w:vAlign w:val="center"/>
            <w:hideMark/>
          </w:tcPr>
          <w:p w:rsidR="00365D03" w:rsidRPr="00B53824" w:rsidRDefault="00365D03" w:rsidP="00B53824">
            <w:pPr>
              <w:jc w:val="center"/>
              <w:rPr>
                <w:bCs w:val="0"/>
                <w:lang w:eastAsia="en-US" w:bidi="en-US"/>
              </w:rPr>
            </w:pPr>
            <w:r w:rsidRPr="00B53824">
              <w:rPr>
                <w:bCs w:val="0"/>
              </w:rPr>
              <w:t>(R$ Mil)</w:t>
            </w:r>
          </w:p>
        </w:tc>
        <w:tc>
          <w:tcPr>
            <w:tcW w:w="1297" w:type="dxa"/>
            <w:shd w:val="clear" w:color="auto" w:fill="0070C0"/>
            <w:vAlign w:val="center"/>
          </w:tcPr>
          <w:p w:rsidR="00365D03" w:rsidRPr="00B53824"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snapToGrid w:val="0"/>
              </w:rPr>
            </w:pPr>
            <w:r w:rsidRPr="00B53824">
              <w:rPr>
                <w:bCs w:val="0"/>
                <w:snapToGrid w:val="0"/>
              </w:rPr>
              <w:t>2015</w:t>
            </w:r>
          </w:p>
        </w:tc>
        <w:tc>
          <w:tcPr>
            <w:tcW w:w="1225" w:type="dxa"/>
            <w:shd w:val="clear" w:color="auto" w:fill="0070C0"/>
            <w:vAlign w:val="center"/>
            <w:hideMark/>
          </w:tcPr>
          <w:p w:rsidR="00365D03" w:rsidRPr="00B53824"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B53824">
              <w:rPr>
                <w:bCs w:val="0"/>
              </w:rPr>
              <w:t>2016</w:t>
            </w:r>
          </w:p>
        </w:tc>
        <w:tc>
          <w:tcPr>
            <w:tcW w:w="2581" w:type="dxa"/>
            <w:gridSpan w:val="2"/>
            <w:shd w:val="clear" w:color="auto" w:fill="0070C0"/>
            <w:vAlign w:val="center"/>
            <w:hideMark/>
          </w:tcPr>
          <w:p w:rsidR="00365D03" w:rsidRPr="00B53824"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B53824">
              <w:rPr>
                <w:bCs w:val="0"/>
              </w:rPr>
              <w:t>Δ Ano</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86" w:type="dxa"/>
            <w:hideMark/>
          </w:tcPr>
          <w:p w:rsidR="00365D03" w:rsidRPr="00B53824" w:rsidRDefault="00365D03" w:rsidP="00345D9B">
            <w:pPr>
              <w:jc w:val="both"/>
              <w:rPr>
                <w:bCs w:val="0"/>
                <w:lang w:eastAsia="en-US" w:bidi="en-US"/>
              </w:rPr>
            </w:pPr>
          </w:p>
        </w:tc>
        <w:tc>
          <w:tcPr>
            <w:tcW w:w="1297" w:type="dxa"/>
          </w:tcPr>
          <w:p w:rsidR="00365D03" w:rsidRPr="00B53824" w:rsidRDefault="00365D03" w:rsidP="00345D9B">
            <w:pPr>
              <w:jc w:val="both"/>
              <w:cnfStyle w:val="000000100000" w:firstRow="0" w:lastRow="0" w:firstColumn="0" w:lastColumn="0" w:oddVBand="0" w:evenVBand="0" w:oddHBand="1" w:evenHBand="0" w:firstRowFirstColumn="0" w:firstRowLastColumn="0" w:lastRowFirstColumn="0" w:lastRowLastColumn="0"/>
              <w:rPr>
                <w:b/>
                <w:lang w:eastAsia="en-US" w:bidi="en-US"/>
              </w:rPr>
            </w:pPr>
          </w:p>
        </w:tc>
        <w:tc>
          <w:tcPr>
            <w:tcW w:w="1225" w:type="dxa"/>
            <w:hideMark/>
          </w:tcPr>
          <w:p w:rsidR="00365D03" w:rsidRPr="00B53824" w:rsidRDefault="00365D03" w:rsidP="00345D9B">
            <w:pPr>
              <w:jc w:val="both"/>
              <w:cnfStyle w:val="000000100000" w:firstRow="0" w:lastRow="0" w:firstColumn="0" w:lastColumn="0" w:oddVBand="0" w:evenVBand="0" w:oddHBand="1" w:evenHBand="0" w:firstRowFirstColumn="0" w:firstRowLastColumn="0" w:lastRowFirstColumn="0" w:lastRowLastColumn="0"/>
              <w:rPr>
                <w:b/>
                <w:lang w:eastAsia="en-US" w:bidi="en-US"/>
              </w:rPr>
            </w:pPr>
          </w:p>
        </w:tc>
        <w:tc>
          <w:tcPr>
            <w:tcW w:w="1219" w:type="dxa"/>
            <w:hideMark/>
          </w:tcPr>
          <w:p w:rsidR="00365D03" w:rsidRPr="00B53824" w:rsidRDefault="00365D03" w:rsidP="00345D9B">
            <w:pPr>
              <w:jc w:val="center"/>
              <w:cnfStyle w:val="000000100000" w:firstRow="0" w:lastRow="0" w:firstColumn="0" w:lastColumn="0" w:oddVBand="0" w:evenVBand="0" w:oddHBand="1" w:evenHBand="0" w:firstRowFirstColumn="0" w:firstRowLastColumn="0" w:lastRowFirstColumn="0" w:lastRowLastColumn="0"/>
              <w:rPr>
                <w:b/>
                <w:bCs/>
                <w:lang w:eastAsia="en-US" w:bidi="en-US"/>
              </w:rPr>
            </w:pPr>
            <w:r w:rsidRPr="00B53824">
              <w:rPr>
                <w:b/>
                <w:bCs/>
              </w:rPr>
              <w:t>(R$ Mil)</w:t>
            </w:r>
          </w:p>
        </w:tc>
        <w:tc>
          <w:tcPr>
            <w:tcW w:w="1362" w:type="dxa"/>
            <w:hideMark/>
          </w:tcPr>
          <w:p w:rsidR="00365D03" w:rsidRPr="00B53824" w:rsidRDefault="00365D03" w:rsidP="00345D9B">
            <w:pPr>
              <w:jc w:val="center"/>
              <w:cnfStyle w:val="000000100000" w:firstRow="0" w:lastRow="0" w:firstColumn="0" w:lastColumn="0" w:oddVBand="0" w:evenVBand="0" w:oddHBand="1" w:evenHBand="0" w:firstRowFirstColumn="0" w:firstRowLastColumn="0" w:lastRowFirstColumn="0" w:lastRowLastColumn="0"/>
              <w:rPr>
                <w:b/>
                <w:bCs/>
                <w:lang w:eastAsia="en-US" w:bidi="en-US"/>
              </w:rPr>
            </w:pPr>
            <w:r w:rsidRPr="00B53824">
              <w:rPr>
                <w:b/>
                <w:bCs/>
              </w:rPr>
              <w:t>(%)</w:t>
            </w:r>
          </w:p>
        </w:tc>
      </w:tr>
      <w:tr w:rsidR="00365D03" w:rsidRPr="004C1CCC" w:rsidTr="00345D9B">
        <w:trPr>
          <w:trHeight w:val="283"/>
        </w:trPr>
        <w:tc>
          <w:tcPr>
            <w:cnfStyle w:val="001000000000" w:firstRow="0" w:lastRow="0" w:firstColumn="1" w:lastColumn="0" w:oddVBand="0" w:evenVBand="0" w:oddHBand="0" w:evenHBand="0" w:firstRowFirstColumn="0" w:firstRowLastColumn="0" w:lastRowFirstColumn="0" w:lastRowLastColumn="0"/>
            <w:tcW w:w="4786" w:type="dxa"/>
            <w:hideMark/>
          </w:tcPr>
          <w:p w:rsidR="00365D03" w:rsidRPr="00B53824" w:rsidRDefault="00365D03" w:rsidP="00552F9F">
            <w:pPr>
              <w:rPr>
                <w:bCs w:val="0"/>
                <w:lang w:eastAsia="en-US" w:bidi="en-US"/>
              </w:rPr>
            </w:pPr>
            <w:r w:rsidRPr="00B53824">
              <w:rPr>
                <w:bCs w:val="0"/>
              </w:rPr>
              <w:t>Depreciação/Amortização</w:t>
            </w:r>
          </w:p>
        </w:tc>
        <w:tc>
          <w:tcPr>
            <w:tcW w:w="1297" w:type="dxa"/>
          </w:tcPr>
          <w:p w:rsidR="00365D03" w:rsidRPr="00B53824" w:rsidRDefault="00365D03" w:rsidP="009552DB">
            <w:pPr>
              <w:jc w:val="center"/>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54.467</w:t>
            </w:r>
          </w:p>
        </w:tc>
        <w:tc>
          <w:tcPr>
            <w:tcW w:w="1225" w:type="dxa"/>
            <w:hideMark/>
          </w:tcPr>
          <w:p w:rsidR="00365D03" w:rsidRPr="00B53824" w:rsidRDefault="00365D03" w:rsidP="00324755">
            <w:pPr>
              <w:jc w:val="center"/>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53.61</w:t>
            </w:r>
            <w:r w:rsidR="00324755">
              <w:rPr>
                <w:b/>
              </w:rPr>
              <w:t>8</w:t>
            </w:r>
          </w:p>
        </w:tc>
        <w:tc>
          <w:tcPr>
            <w:tcW w:w="1219" w:type="dxa"/>
            <w:hideMark/>
          </w:tcPr>
          <w:p w:rsidR="00365D03" w:rsidRPr="00B53824" w:rsidRDefault="00365D03" w:rsidP="00324755">
            <w:pPr>
              <w:jc w:val="center"/>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(85</w:t>
            </w:r>
            <w:r w:rsidR="00324755">
              <w:rPr>
                <w:b/>
              </w:rPr>
              <w:t>1</w:t>
            </w:r>
            <w:r w:rsidRPr="00B53824">
              <w:rPr>
                <w:b/>
              </w:rPr>
              <w:t>)</w:t>
            </w:r>
          </w:p>
        </w:tc>
        <w:tc>
          <w:tcPr>
            <w:tcW w:w="1362" w:type="dxa"/>
            <w:hideMark/>
          </w:tcPr>
          <w:p w:rsidR="00365D03" w:rsidRPr="00B53824" w:rsidRDefault="00365D03" w:rsidP="00703F75">
            <w:pPr>
              <w:jc w:val="center"/>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(1,6)</w:t>
            </w:r>
          </w:p>
        </w:tc>
      </w:tr>
    </w:tbl>
    <w:p w:rsidR="00365D03" w:rsidRPr="004C1CCC" w:rsidRDefault="00365D03" w:rsidP="00365D03">
      <w:pPr>
        <w:spacing w:before="240" w:after="240"/>
        <w:jc w:val="both"/>
        <w:rPr>
          <w:sz w:val="22"/>
          <w:szCs w:val="22"/>
        </w:rPr>
      </w:pPr>
      <w:r w:rsidRPr="004C1CCC">
        <w:rPr>
          <w:sz w:val="22"/>
          <w:szCs w:val="22"/>
        </w:rPr>
        <w:t xml:space="preserve">A despesa com </w:t>
      </w:r>
      <w:r>
        <w:rPr>
          <w:sz w:val="22"/>
          <w:szCs w:val="22"/>
        </w:rPr>
        <w:t>D</w:t>
      </w:r>
      <w:r w:rsidRPr="004C1CCC">
        <w:rPr>
          <w:sz w:val="22"/>
          <w:szCs w:val="22"/>
        </w:rPr>
        <w:t xml:space="preserve">epreciação e </w:t>
      </w:r>
      <w:r>
        <w:rPr>
          <w:sz w:val="22"/>
          <w:szCs w:val="22"/>
        </w:rPr>
        <w:t>A</w:t>
      </w:r>
      <w:r w:rsidRPr="004C1CCC">
        <w:rPr>
          <w:sz w:val="22"/>
          <w:szCs w:val="22"/>
        </w:rPr>
        <w:t xml:space="preserve">mortização </w:t>
      </w:r>
      <w:proofErr w:type="spellStart"/>
      <w:r w:rsidR="00C1770B">
        <w:rPr>
          <w:sz w:val="22"/>
          <w:szCs w:val="22"/>
        </w:rPr>
        <w:t>alcançõu</w:t>
      </w:r>
      <w:proofErr w:type="spellEnd"/>
      <w:r w:rsidRPr="004C1CCC">
        <w:rPr>
          <w:sz w:val="22"/>
          <w:szCs w:val="22"/>
        </w:rPr>
        <w:t xml:space="preserve"> R$ </w:t>
      </w:r>
      <w:r>
        <w:rPr>
          <w:sz w:val="22"/>
          <w:szCs w:val="22"/>
        </w:rPr>
        <w:t>53.617</w:t>
      </w:r>
      <w:r w:rsidRPr="004C1CCC">
        <w:rPr>
          <w:sz w:val="22"/>
          <w:szCs w:val="22"/>
        </w:rPr>
        <w:t xml:space="preserve"> mil em 201</w:t>
      </w:r>
      <w:r>
        <w:rPr>
          <w:sz w:val="22"/>
          <w:szCs w:val="22"/>
        </w:rPr>
        <w:t>6</w:t>
      </w:r>
      <w:r w:rsidRPr="004C1CCC">
        <w:rPr>
          <w:sz w:val="22"/>
          <w:szCs w:val="22"/>
        </w:rPr>
        <w:t xml:space="preserve">, </w:t>
      </w:r>
      <w:r w:rsidR="00C1770B">
        <w:rPr>
          <w:sz w:val="22"/>
          <w:szCs w:val="22"/>
        </w:rPr>
        <w:t xml:space="preserve">representando </w:t>
      </w:r>
      <w:r w:rsidRPr="004C1CCC">
        <w:rPr>
          <w:sz w:val="22"/>
          <w:szCs w:val="22"/>
        </w:rPr>
        <w:t>um</w:t>
      </w:r>
      <w:r>
        <w:rPr>
          <w:sz w:val="22"/>
          <w:szCs w:val="22"/>
        </w:rPr>
        <w:t>a</w:t>
      </w:r>
      <w:r w:rsidRPr="004C1CCC">
        <w:rPr>
          <w:sz w:val="22"/>
          <w:szCs w:val="22"/>
        </w:rPr>
        <w:t xml:space="preserve"> </w:t>
      </w:r>
      <w:r w:rsidR="00C1770B">
        <w:rPr>
          <w:sz w:val="22"/>
          <w:szCs w:val="22"/>
        </w:rPr>
        <w:t>diminuição</w:t>
      </w:r>
      <w:r w:rsidRPr="004C1CCC">
        <w:rPr>
          <w:sz w:val="22"/>
          <w:szCs w:val="22"/>
        </w:rPr>
        <w:t xml:space="preserve"> de R$ </w:t>
      </w:r>
      <w:r>
        <w:rPr>
          <w:sz w:val="22"/>
          <w:szCs w:val="22"/>
        </w:rPr>
        <w:t>85</w:t>
      </w:r>
      <w:r w:rsidR="00324755">
        <w:rPr>
          <w:sz w:val="22"/>
          <w:szCs w:val="22"/>
        </w:rPr>
        <w:t>1</w:t>
      </w:r>
      <w:r w:rsidRPr="004C1CCC">
        <w:rPr>
          <w:sz w:val="22"/>
          <w:szCs w:val="22"/>
        </w:rPr>
        <w:t xml:space="preserve"> mil (</w:t>
      </w:r>
      <w:r>
        <w:rPr>
          <w:sz w:val="22"/>
          <w:szCs w:val="22"/>
        </w:rPr>
        <w:t>-1,6</w:t>
      </w:r>
      <w:r w:rsidR="00C1770B">
        <w:rPr>
          <w:sz w:val="22"/>
          <w:szCs w:val="22"/>
        </w:rPr>
        <w:t>%)</w:t>
      </w:r>
      <w:r w:rsidRPr="004C1CCC">
        <w:rPr>
          <w:sz w:val="22"/>
          <w:szCs w:val="22"/>
        </w:rPr>
        <w:t xml:space="preserve"> em relação ao total apresentado em 201</w:t>
      </w:r>
      <w:r>
        <w:rPr>
          <w:sz w:val="22"/>
          <w:szCs w:val="22"/>
        </w:rPr>
        <w:t>5</w:t>
      </w:r>
      <w:r w:rsidR="00C1770B">
        <w:rPr>
          <w:sz w:val="22"/>
          <w:szCs w:val="22"/>
        </w:rPr>
        <w:t>, mantendo estabilidade nas apurações.</w:t>
      </w:r>
    </w:p>
    <w:p w:rsidR="00365D03" w:rsidRPr="00C1770B" w:rsidRDefault="00365D03" w:rsidP="00365D03">
      <w:pPr>
        <w:spacing w:before="240" w:after="240"/>
        <w:rPr>
          <w:b/>
          <w:bCs/>
          <w:sz w:val="22"/>
          <w:szCs w:val="22"/>
        </w:rPr>
      </w:pPr>
      <w:r w:rsidRPr="00C1770B">
        <w:rPr>
          <w:b/>
          <w:bCs/>
          <w:sz w:val="22"/>
          <w:szCs w:val="22"/>
        </w:rPr>
        <w:t>Outras Receitas/(Despesas) Operacionais</w:t>
      </w:r>
    </w:p>
    <w:p w:rsidR="00C1770B" w:rsidRPr="000336EC" w:rsidRDefault="00C1770B" w:rsidP="00C1770B">
      <w:pPr>
        <w:spacing w:before="240" w:after="240"/>
        <w:jc w:val="both"/>
        <w:rPr>
          <w:sz w:val="22"/>
          <w:szCs w:val="22"/>
        </w:rPr>
      </w:pPr>
      <w:r w:rsidRPr="000336EC">
        <w:rPr>
          <w:sz w:val="22"/>
          <w:szCs w:val="22"/>
        </w:rPr>
        <w:t xml:space="preserve">No ano de 2016 o resultado líquido de outras </w:t>
      </w:r>
      <w:r>
        <w:rPr>
          <w:sz w:val="22"/>
          <w:szCs w:val="22"/>
        </w:rPr>
        <w:t>Receitas/D</w:t>
      </w:r>
      <w:r w:rsidRPr="000336EC">
        <w:rPr>
          <w:sz w:val="22"/>
          <w:szCs w:val="22"/>
        </w:rPr>
        <w:t xml:space="preserve">espesas </w:t>
      </w:r>
      <w:r>
        <w:rPr>
          <w:sz w:val="22"/>
          <w:szCs w:val="22"/>
        </w:rPr>
        <w:t>O</w:t>
      </w:r>
      <w:r w:rsidRPr="000336EC">
        <w:rPr>
          <w:sz w:val="22"/>
          <w:szCs w:val="22"/>
        </w:rPr>
        <w:t xml:space="preserve">peracionais foi de R$ 142.277 mil </w:t>
      </w:r>
      <w:r w:rsidR="00303EBC">
        <w:rPr>
          <w:sz w:val="22"/>
          <w:szCs w:val="22"/>
        </w:rPr>
        <w:t xml:space="preserve">             </w:t>
      </w:r>
      <w:r w:rsidRPr="000336EC">
        <w:rPr>
          <w:sz w:val="22"/>
          <w:szCs w:val="22"/>
        </w:rPr>
        <w:t>(R$ 120.970 mil em 2015), com variação de R$ 21.307 mil.</w:t>
      </w:r>
    </w:p>
    <w:p w:rsidR="00F62C5A" w:rsidRDefault="00F62C5A">
      <w:pPr>
        <w:rPr>
          <w:sz w:val="22"/>
          <w:szCs w:val="22"/>
        </w:rPr>
      </w:pPr>
      <w:r>
        <w:rPr>
          <w:sz w:val="22"/>
          <w:szCs w:val="22"/>
        </w:rPr>
        <w:br w:type="page"/>
      </w:r>
    </w:p>
    <w:p w:rsidR="00C1770B" w:rsidRPr="000336EC" w:rsidRDefault="00C1770B" w:rsidP="00C1770B">
      <w:pPr>
        <w:spacing w:before="240" w:after="240"/>
        <w:jc w:val="both"/>
        <w:rPr>
          <w:sz w:val="22"/>
          <w:szCs w:val="22"/>
        </w:rPr>
      </w:pPr>
      <w:r w:rsidRPr="000336EC">
        <w:rPr>
          <w:sz w:val="22"/>
          <w:szCs w:val="22"/>
        </w:rPr>
        <w:lastRenderedPageBreak/>
        <w:t xml:space="preserve">Os itens mais relevantes de </w:t>
      </w:r>
      <w:r>
        <w:rPr>
          <w:sz w:val="22"/>
          <w:szCs w:val="22"/>
        </w:rPr>
        <w:t>O</w:t>
      </w:r>
      <w:r w:rsidRPr="000336EC">
        <w:rPr>
          <w:sz w:val="22"/>
          <w:szCs w:val="22"/>
        </w:rPr>
        <w:t xml:space="preserve">utras </w:t>
      </w:r>
      <w:r>
        <w:rPr>
          <w:sz w:val="22"/>
          <w:szCs w:val="22"/>
        </w:rPr>
        <w:t>R</w:t>
      </w:r>
      <w:r w:rsidRPr="000336EC">
        <w:rPr>
          <w:sz w:val="22"/>
          <w:szCs w:val="22"/>
        </w:rPr>
        <w:t>eceitas/(</w:t>
      </w:r>
      <w:r>
        <w:rPr>
          <w:sz w:val="22"/>
          <w:szCs w:val="22"/>
        </w:rPr>
        <w:t>D</w:t>
      </w:r>
      <w:r w:rsidRPr="000336EC">
        <w:rPr>
          <w:sz w:val="22"/>
          <w:szCs w:val="22"/>
        </w:rPr>
        <w:t xml:space="preserve">espesas) </w:t>
      </w:r>
      <w:r>
        <w:rPr>
          <w:sz w:val="22"/>
          <w:szCs w:val="22"/>
        </w:rPr>
        <w:t>O</w:t>
      </w:r>
      <w:r w:rsidRPr="000336EC">
        <w:rPr>
          <w:sz w:val="22"/>
          <w:szCs w:val="22"/>
        </w:rPr>
        <w:t>peracionais foram:</w:t>
      </w:r>
    </w:p>
    <w:tbl>
      <w:tblPr>
        <w:tblStyle w:val="ListaClara-nfase12"/>
        <w:tblW w:w="5000" w:type="pct"/>
        <w:tblLook w:val="04A0" w:firstRow="1" w:lastRow="0" w:firstColumn="1" w:lastColumn="0" w:noHBand="0" w:noVBand="1"/>
      </w:tblPr>
      <w:tblGrid>
        <w:gridCol w:w="4954"/>
        <w:gridCol w:w="1531"/>
        <w:gridCol w:w="1217"/>
        <w:gridCol w:w="1217"/>
        <w:gridCol w:w="1219"/>
      </w:tblGrid>
      <w:tr w:rsidR="00C1770B" w:rsidRPr="000336EC" w:rsidTr="00703F7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4" w:type="pct"/>
            <w:shd w:val="clear" w:color="auto" w:fill="0070C0"/>
            <w:hideMark/>
          </w:tcPr>
          <w:p w:rsidR="00C1770B" w:rsidRPr="000336EC" w:rsidRDefault="00C1770B" w:rsidP="00703F75">
            <w:pPr>
              <w:jc w:val="center"/>
              <w:rPr>
                <w:bCs w:val="0"/>
                <w:lang w:eastAsia="en-US" w:bidi="en-US"/>
              </w:rPr>
            </w:pPr>
            <w:r w:rsidRPr="000336EC">
              <w:rPr>
                <w:bCs w:val="0"/>
              </w:rPr>
              <w:t>(R$ Mil)</w:t>
            </w:r>
          </w:p>
        </w:tc>
        <w:tc>
          <w:tcPr>
            <w:tcW w:w="755" w:type="pct"/>
            <w:shd w:val="clear" w:color="auto" w:fill="0070C0"/>
          </w:tcPr>
          <w:p w:rsidR="00C1770B" w:rsidRPr="000336EC" w:rsidRDefault="00C1770B" w:rsidP="00703F75">
            <w:pPr>
              <w:jc w:val="center"/>
              <w:cnfStyle w:val="100000000000" w:firstRow="1" w:lastRow="0" w:firstColumn="0" w:lastColumn="0" w:oddVBand="0" w:evenVBand="0" w:oddHBand="0" w:evenHBand="0" w:firstRowFirstColumn="0" w:firstRowLastColumn="0" w:lastRowFirstColumn="0" w:lastRowLastColumn="0"/>
              <w:rPr>
                <w:bCs w:val="0"/>
                <w:snapToGrid w:val="0"/>
              </w:rPr>
            </w:pPr>
            <w:r w:rsidRPr="000336EC">
              <w:rPr>
                <w:bCs w:val="0"/>
                <w:snapToGrid w:val="0"/>
              </w:rPr>
              <w:t>2015</w:t>
            </w:r>
          </w:p>
          <w:p w:rsidR="00C1770B" w:rsidRPr="000336EC" w:rsidRDefault="00C1770B" w:rsidP="00703F75">
            <w:pPr>
              <w:jc w:val="center"/>
              <w:cnfStyle w:val="100000000000" w:firstRow="1" w:lastRow="0" w:firstColumn="0" w:lastColumn="0" w:oddVBand="0" w:evenVBand="0" w:oddHBand="0" w:evenHBand="0" w:firstRowFirstColumn="0" w:firstRowLastColumn="0" w:lastRowFirstColumn="0" w:lastRowLastColumn="0"/>
              <w:rPr>
                <w:bCs w:val="0"/>
                <w:sz w:val="16"/>
                <w:szCs w:val="16"/>
                <w:lang w:eastAsia="en-US" w:bidi="en-US"/>
              </w:rPr>
            </w:pPr>
            <w:r w:rsidRPr="000336EC">
              <w:rPr>
                <w:bCs w:val="0"/>
                <w:snapToGrid w:val="0"/>
                <w:sz w:val="16"/>
                <w:szCs w:val="16"/>
              </w:rPr>
              <w:t>Reapresentado</w:t>
            </w:r>
          </w:p>
        </w:tc>
        <w:tc>
          <w:tcPr>
            <w:tcW w:w="600" w:type="pct"/>
            <w:shd w:val="clear" w:color="auto" w:fill="0070C0"/>
            <w:hideMark/>
          </w:tcPr>
          <w:p w:rsidR="00C1770B" w:rsidRPr="000336EC" w:rsidRDefault="00C1770B" w:rsidP="00703F75">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0336EC">
              <w:rPr>
                <w:bCs w:val="0"/>
              </w:rPr>
              <w:t>2016</w:t>
            </w:r>
          </w:p>
        </w:tc>
        <w:tc>
          <w:tcPr>
            <w:tcW w:w="1201" w:type="pct"/>
            <w:gridSpan w:val="2"/>
            <w:shd w:val="clear" w:color="auto" w:fill="0070C0"/>
            <w:hideMark/>
          </w:tcPr>
          <w:p w:rsidR="00C1770B" w:rsidRPr="000336EC" w:rsidRDefault="00C1770B" w:rsidP="00703F75">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0336EC">
              <w:rPr>
                <w:bCs w:val="0"/>
              </w:rPr>
              <w:t>Δ Ano</w:t>
            </w:r>
          </w:p>
        </w:tc>
      </w:tr>
      <w:tr w:rsidR="00C1770B" w:rsidRPr="000336EC" w:rsidTr="00703F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4" w:type="pct"/>
            <w:hideMark/>
          </w:tcPr>
          <w:p w:rsidR="00C1770B" w:rsidRPr="000336EC" w:rsidRDefault="00C1770B" w:rsidP="00703F75">
            <w:pPr>
              <w:jc w:val="both"/>
              <w:rPr>
                <w:b w:val="0"/>
                <w:bCs w:val="0"/>
                <w:highlight w:val="yellow"/>
                <w:lang w:eastAsia="en-US" w:bidi="en-US"/>
              </w:rPr>
            </w:pPr>
          </w:p>
        </w:tc>
        <w:tc>
          <w:tcPr>
            <w:tcW w:w="755" w:type="pct"/>
          </w:tcPr>
          <w:p w:rsidR="00C1770B" w:rsidRPr="000336EC" w:rsidRDefault="00C1770B" w:rsidP="00703F75">
            <w:pPr>
              <w:jc w:val="both"/>
              <w:cnfStyle w:val="000000100000" w:firstRow="0" w:lastRow="0" w:firstColumn="0" w:lastColumn="0" w:oddVBand="0" w:evenVBand="0" w:oddHBand="1" w:evenHBand="0" w:firstRowFirstColumn="0" w:firstRowLastColumn="0" w:lastRowFirstColumn="0" w:lastRowLastColumn="0"/>
              <w:rPr>
                <w:highlight w:val="yellow"/>
                <w:lang w:eastAsia="en-US" w:bidi="en-US"/>
              </w:rPr>
            </w:pPr>
          </w:p>
        </w:tc>
        <w:tc>
          <w:tcPr>
            <w:tcW w:w="600" w:type="pct"/>
            <w:hideMark/>
          </w:tcPr>
          <w:p w:rsidR="00C1770B" w:rsidRPr="000336EC" w:rsidRDefault="00C1770B" w:rsidP="00703F75">
            <w:pPr>
              <w:jc w:val="both"/>
              <w:cnfStyle w:val="000000100000" w:firstRow="0" w:lastRow="0" w:firstColumn="0" w:lastColumn="0" w:oddVBand="0" w:evenVBand="0" w:oddHBand="1" w:evenHBand="0" w:firstRowFirstColumn="0" w:firstRowLastColumn="0" w:lastRowFirstColumn="0" w:lastRowLastColumn="0"/>
              <w:rPr>
                <w:lang w:eastAsia="en-US" w:bidi="en-US"/>
              </w:rPr>
            </w:pPr>
          </w:p>
        </w:tc>
        <w:tc>
          <w:tcPr>
            <w:tcW w:w="600" w:type="pct"/>
            <w:hideMark/>
          </w:tcPr>
          <w:p w:rsidR="00C1770B" w:rsidRPr="000336EC" w:rsidRDefault="00C1770B" w:rsidP="00C1770B">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0336EC">
              <w:rPr>
                <w:b/>
                <w:bCs/>
              </w:rPr>
              <w:t>(R$ Mil)</w:t>
            </w:r>
          </w:p>
        </w:tc>
        <w:tc>
          <w:tcPr>
            <w:tcW w:w="601" w:type="pct"/>
            <w:hideMark/>
          </w:tcPr>
          <w:p w:rsidR="00C1770B" w:rsidRPr="000336EC" w:rsidRDefault="00C1770B" w:rsidP="00C1770B">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0336EC">
              <w:rPr>
                <w:b/>
                <w:bCs/>
              </w:rPr>
              <w:t>(%)</w:t>
            </w:r>
          </w:p>
        </w:tc>
      </w:tr>
      <w:tr w:rsidR="00C1770B" w:rsidRPr="000336EC" w:rsidTr="00703F75">
        <w:trPr>
          <w:trHeight w:val="283"/>
        </w:trPr>
        <w:tc>
          <w:tcPr>
            <w:cnfStyle w:val="001000000000" w:firstRow="0" w:lastRow="0" w:firstColumn="1" w:lastColumn="0" w:oddVBand="0" w:evenVBand="0" w:oddHBand="0" w:evenHBand="0" w:firstRowFirstColumn="0" w:firstRowLastColumn="0" w:lastRowFirstColumn="0" w:lastRowLastColumn="0"/>
            <w:tcW w:w="2444" w:type="pct"/>
            <w:hideMark/>
          </w:tcPr>
          <w:p w:rsidR="00C1770B" w:rsidRPr="000336EC" w:rsidRDefault="00C1770B" w:rsidP="00703F75">
            <w:pPr>
              <w:rPr>
                <w:bCs w:val="0"/>
                <w:color w:val="000000"/>
                <w:sz w:val="18"/>
                <w:szCs w:val="18"/>
              </w:rPr>
            </w:pPr>
            <w:r w:rsidRPr="000336EC">
              <w:rPr>
                <w:color w:val="000000"/>
                <w:sz w:val="18"/>
                <w:szCs w:val="18"/>
              </w:rPr>
              <w:t>Reversão de Provisão de Benefícios Pós-Emprego</w:t>
            </w:r>
          </w:p>
        </w:tc>
        <w:tc>
          <w:tcPr>
            <w:tcW w:w="755" w:type="pct"/>
          </w:tcPr>
          <w:p w:rsidR="00C1770B" w:rsidRPr="00C1770B" w:rsidRDefault="00C1770B" w:rsidP="00703F7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C1770B">
              <w:rPr>
                <w:b/>
                <w:color w:val="000000"/>
                <w:sz w:val="18"/>
                <w:szCs w:val="18"/>
              </w:rPr>
              <w:t>127.177</w:t>
            </w:r>
          </w:p>
        </w:tc>
        <w:tc>
          <w:tcPr>
            <w:tcW w:w="600" w:type="pct"/>
            <w:hideMark/>
          </w:tcPr>
          <w:p w:rsidR="00C1770B" w:rsidRPr="00C1770B" w:rsidRDefault="00C1770B" w:rsidP="00703F7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C1770B">
              <w:rPr>
                <w:b/>
                <w:color w:val="000000"/>
                <w:sz w:val="18"/>
                <w:szCs w:val="18"/>
              </w:rPr>
              <w:t>37.192</w:t>
            </w:r>
          </w:p>
        </w:tc>
        <w:tc>
          <w:tcPr>
            <w:tcW w:w="600" w:type="pct"/>
            <w:hideMark/>
          </w:tcPr>
          <w:p w:rsidR="00C1770B" w:rsidRPr="00C1770B" w:rsidRDefault="00C1770B" w:rsidP="00703F7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C1770B">
              <w:rPr>
                <w:b/>
                <w:color w:val="000000"/>
                <w:sz w:val="18"/>
                <w:szCs w:val="18"/>
              </w:rPr>
              <w:t>(89.985)</w:t>
            </w:r>
          </w:p>
        </w:tc>
        <w:tc>
          <w:tcPr>
            <w:tcW w:w="601" w:type="pct"/>
            <w:hideMark/>
          </w:tcPr>
          <w:p w:rsidR="00C1770B" w:rsidRPr="00C1770B" w:rsidRDefault="00C1770B" w:rsidP="00703F7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C1770B">
              <w:rPr>
                <w:b/>
                <w:color w:val="000000"/>
                <w:sz w:val="18"/>
                <w:szCs w:val="18"/>
              </w:rPr>
              <w:t>(70,8)</w:t>
            </w:r>
          </w:p>
        </w:tc>
      </w:tr>
      <w:tr w:rsidR="00C1770B" w:rsidRPr="000336EC" w:rsidTr="00703F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4" w:type="pct"/>
            <w:hideMark/>
          </w:tcPr>
          <w:p w:rsidR="00C1770B" w:rsidRPr="000336EC" w:rsidRDefault="00C1770B" w:rsidP="00324755">
            <w:pPr>
              <w:rPr>
                <w:color w:val="000000"/>
                <w:sz w:val="18"/>
                <w:szCs w:val="18"/>
              </w:rPr>
            </w:pPr>
            <w:r w:rsidRPr="000336EC">
              <w:rPr>
                <w:color w:val="000000"/>
                <w:sz w:val="18"/>
                <w:szCs w:val="18"/>
              </w:rPr>
              <w:t>Re</w:t>
            </w:r>
            <w:r w:rsidR="00324755">
              <w:rPr>
                <w:color w:val="000000"/>
                <w:sz w:val="18"/>
                <w:szCs w:val="18"/>
              </w:rPr>
              <w:t xml:space="preserve">ceita Sobre </w:t>
            </w:r>
            <w:r w:rsidRPr="000336EC">
              <w:rPr>
                <w:color w:val="000000"/>
                <w:sz w:val="18"/>
                <w:szCs w:val="18"/>
              </w:rPr>
              <w:t xml:space="preserve">Créditos </w:t>
            </w:r>
            <w:r w:rsidR="00324755">
              <w:rPr>
                <w:color w:val="000000"/>
                <w:sz w:val="18"/>
                <w:szCs w:val="18"/>
              </w:rPr>
              <w:t>Tributários – Decisões Judiciais</w:t>
            </w:r>
          </w:p>
        </w:tc>
        <w:tc>
          <w:tcPr>
            <w:tcW w:w="755" w:type="pct"/>
          </w:tcPr>
          <w:p w:rsidR="00C1770B" w:rsidRPr="00C1770B" w:rsidRDefault="00C1770B" w:rsidP="00703F75">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p>
        </w:tc>
        <w:tc>
          <w:tcPr>
            <w:tcW w:w="600" w:type="pct"/>
            <w:hideMark/>
          </w:tcPr>
          <w:p w:rsidR="00C1770B" w:rsidRPr="00C1770B" w:rsidRDefault="00324755" w:rsidP="00324755">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96</w:t>
            </w:r>
            <w:r w:rsidR="00C1770B" w:rsidRPr="00C1770B">
              <w:rPr>
                <w:b/>
                <w:color w:val="000000"/>
                <w:sz w:val="18"/>
                <w:szCs w:val="18"/>
              </w:rPr>
              <w:t>.</w:t>
            </w:r>
            <w:r>
              <w:rPr>
                <w:b/>
                <w:color w:val="000000"/>
                <w:sz w:val="18"/>
                <w:szCs w:val="18"/>
              </w:rPr>
              <w:t>849</w:t>
            </w:r>
          </w:p>
        </w:tc>
        <w:tc>
          <w:tcPr>
            <w:tcW w:w="600" w:type="pct"/>
          </w:tcPr>
          <w:p w:rsidR="00C1770B" w:rsidRPr="00C1770B" w:rsidRDefault="00324755" w:rsidP="00324755">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96.849</w:t>
            </w:r>
          </w:p>
        </w:tc>
        <w:tc>
          <w:tcPr>
            <w:tcW w:w="601" w:type="pct"/>
          </w:tcPr>
          <w:p w:rsidR="00C1770B" w:rsidRPr="00C1770B" w:rsidRDefault="00324755" w:rsidP="00324755">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100</w:t>
            </w:r>
            <w:r w:rsidR="00C1770B" w:rsidRPr="00C1770B">
              <w:rPr>
                <w:b/>
                <w:color w:val="000000"/>
                <w:sz w:val="18"/>
                <w:szCs w:val="18"/>
              </w:rPr>
              <w:t>,</w:t>
            </w:r>
            <w:r>
              <w:rPr>
                <w:b/>
                <w:color w:val="000000"/>
                <w:sz w:val="18"/>
                <w:szCs w:val="18"/>
              </w:rPr>
              <w:t>0</w:t>
            </w:r>
          </w:p>
        </w:tc>
      </w:tr>
    </w:tbl>
    <w:p w:rsidR="00C1770B" w:rsidRPr="000336EC" w:rsidRDefault="00C1770B" w:rsidP="00C1770B">
      <w:pPr>
        <w:pStyle w:val="PargrafodaLista"/>
        <w:numPr>
          <w:ilvl w:val="0"/>
          <w:numId w:val="9"/>
        </w:numPr>
        <w:spacing w:before="240" w:after="240"/>
        <w:jc w:val="both"/>
        <w:rPr>
          <w:rFonts w:ascii="Times New Roman" w:hAnsi="Times New Roman" w:cs="Times New Roman"/>
          <w:lang w:val="pt-BR"/>
        </w:rPr>
      </w:pPr>
      <w:r>
        <w:rPr>
          <w:rFonts w:ascii="Times New Roman" w:hAnsi="Times New Roman" w:cs="Times New Roman"/>
          <w:lang w:val="pt-BR"/>
        </w:rPr>
        <w:t xml:space="preserve">A </w:t>
      </w:r>
      <w:r w:rsidRPr="000336EC">
        <w:rPr>
          <w:rFonts w:ascii="Times New Roman" w:hAnsi="Times New Roman" w:cs="Times New Roman"/>
          <w:lang w:val="pt-BR"/>
        </w:rPr>
        <w:t xml:space="preserve">Reversão de </w:t>
      </w:r>
      <w:r>
        <w:rPr>
          <w:rFonts w:ascii="Times New Roman" w:hAnsi="Times New Roman" w:cs="Times New Roman"/>
          <w:lang w:val="pt-BR"/>
        </w:rPr>
        <w:t>P</w:t>
      </w:r>
      <w:r w:rsidRPr="000336EC">
        <w:rPr>
          <w:rFonts w:ascii="Times New Roman" w:hAnsi="Times New Roman" w:cs="Times New Roman"/>
          <w:lang w:val="pt-BR"/>
        </w:rPr>
        <w:t xml:space="preserve">rovisão de </w:t>
      </w:r>
      <w:r>
        <w:rPr>
          <w:rFonts w:ascii="Times New Roman" w:hAnsi="Times New Roman" w:cs="Times New Roman"/>
          <w:lang w:val="pt-BR"/>
        </w:rPr>
        <w:t>B</w:t>
      </w:r>
      <w:r w:rsidRPr="000336EC">
        <w:rPr>
          <w:rFonts w:ascii="Times New Roman" w:hAnsi="Times New Roman" w:cs="Times New Roman"/>
          <w:lang w:val="pt-BR"/>
        </w:rPr>
        <w:t xml:space="preserve">enefícios </w:t>
      </w:r>
      <w:r>
        <w:rPr>
          <w:rFonts w:ascii="Times New Roman" w:hAnsi="Times New Roman" w:cs="Times New Roman"/>
          <w:lang w:val="pt-BR"/>
        </w:rPr>
        <w:t>P</w:t>
      </w:r>
      <w:r w:rsidRPr="000336EC">
        <w:rPr>
          <w:rFonts w:ascii="Times New Roman" w:hAnsi="Times New Roman" w:cs="Times New Roman"/>
          <w:lang w:val="pt-BR"/>
        </w:rPr>
        <w:t>ós-</w:t>
      </w:r>
      <w:r>
        <w:rPr>
          <w:rFonts w:ascii="Times New Roman" w:hAnsi="Times New Roman" w:cs="Times New Roman"/>
          <w:lang w:val="pt-BR"/>
        </w:rPr>
        <w:t>E</w:t>
      </w:r>
      <w:r w:rsidRPr="000336EC">
        <w:rPr>
          <w:rFonts w:ascii="Times New Roman" w:hAnsi="Times New Roman" w:cs="Times New Roman"/>
          <w:lang w:val="pt-BR"/>
        </w:rPr>
        <w:t xml:space="preserve">mprego teve no período uma variação negativa de </w:t>
      </w:r>
      <w:r w:rsidR="00AE44C8">
        <w:rPr>
          <w:rFonts w:ascii="Times New Roman" w:hAnsi="Times New Roman" w:cs="Times New Roman"/>
          <w:lang w:val="pt-BR"/>
        </w:rPr>
        <w:t xml:space="preserve">        </w:t>
      </w:r>
      <w:r w:rsidRPr="000336EC">
        <w:rPr>
          <w:rFonts w:ascii="Times New Roman" w:hAnsi="Times New Roman" w:cs="Times New Roman"/>
          <w:lang w:val="pt-BR"/>
        </w:rPr>
        <w:t>R$ 89.985 mil, voltando a</w:t>
      </w:r>
      <w:r>
        <w:rPr>
          <w:rFonts w:ascii="Times New Roman" w:hAnsi="Times New Roman" w:cs="Times New Roman"/>
          <w:lang w:val="pt-BR"/>
        </w:rPr>
        <w:t>os</w:t>
      </w:r>
      <w:r w:rsidRPr="000336EC">
        <w:rPr>
          <w:rFonts w:ascii="Times New Roman" w:hAnsi="Times New Roman" w:cs="Times New Roman"/>
          <w:lang w:val="pt-BR"/>
        </w:rPr>
        <w:t xml:space="preserve"> patamares </w:t>
      </w:r>
      <w:r>
        <w:rPr>
          <w:rFonts w:ascii="Times New Roman" w:hAnsi="Times New Roman" w:cs="Times New Roman"/>
          <w:lang w:val="pt-BR"/>
        </w:rPr>
        <w:t xml:space="preserve">históricos </w:t>
      </w:r>
      <w:r w:rsidRPr="000336EC">
        <w:rPr>
          <w:rFonts w:ascii="Times New Roman" w:hAnsi="Times New Roman" w:cs="Times New Roman"/>
          <w:lang w:val="pt-BR"/>
        </w:rPr>
        <w:t xml:space="preserve">sem </w:t>
      </w:r>
      <w:r>
        <w:rPr>
          <w:rFonts w:ascii="Times New Roman" w:hAnsi="Times New Roman" w:cs="Times New Roman"/>
          <w:lang w:val="pt-BR"/>
        </w:rPr>
        <w:t>o efeito não recorrente</w:t>
      </w:r>
      <w:r w:rsidRPr="000336EC">
        <w:rPr>
          <w:rFonts w:ascii="Times New Roman" w:hAnsi="Times New Roman" w:cs="Times New Roman"/>
          <w:lang w:val="pt-BR"/>
        </w:rPr>
        <w:t xml:space="preserve"> da decisão favorável da Ação Direta de Inconstitucionalidade</w:t>
      </w:r>
      <w:r>
        <w:rPr>
          <w:rFonts w:ascii="Times New Roman" w:hAnsi="Times New Roman" w:cs="Times New Roman"/>
          <w:lang w:val="pt-BR"/>
        </w:rPr>
        <w:t xml:space="preserve"> relativa às</w:t>
      </w:r>
      <w:r w:rsidRPr="000336EC">
        <w:rPr>
          <w:rFonts w:ascii="Times New Roman" w:hAnsi="Times New Roman" w:cs="Times New Roman"/>
          <w:lang w:val="pt-BR"/>
        </w:rPr>
        <w:t xml:space="preserve"> </w:t>
      </w:r>
      <w:r>
        <w:rPr>
          <w:rFonts w:ascii="Times New Roman" w:hAnsi="Times New Roman" w:cs="Times New Roman"/>
          <w:lang w:val="pt-BR"/>
        </w:rPr>
        <w:t>L</w:t>
      </w:r>
      <w:r w:rsidRPr="000336EC">
        <w:rPr>
          <w:rFonts w:ascii="Times New Roman" w:hAnsi="Times New Roman" w:cs="Times New Roman"/>
          <w:lang w:val="pt-BR"/>
        </w:rPr>
        <w:t>eis nº 3.010/2002 e nº 3.199/2003</w:t>
      </w:r>
      <w:r>
        <w:rPr>
          <w:rFonts w:ascii="Times New Roman" w:hAnsi="Times New Roman" w:cs="Times New Roman"/>
          <w:lang w:val="pt-BR"/>
        </w:rPr>
        <w:t>,</w:t>
      </w:r>
      <w:r w:rsidRPr="000336EC">
        <w:rPr>
          <w:rFonts w:ascii="Times New Roman" w:hAnsi="Times New Roman" w:cs="Times New Roman"/>
          <w:lang w:val="pt-BR"/>
        </w:rPr>
        <w:t xml:space="preserve"> que afetou a </w:t>
      </w:r>
      <w:r>
        <w:rPr>
          <w:rFonts w:ascii="Times New Roman" w:hAnsi="Times New Roman" w:cs="Times New Roman"/>
          <w:lang w:val="pt-BR"/>
        </w:rPr>
        <w:t>apuração da rubrica em 2015.</w:t>
      </w:r>
    </w:p>
    <w:p w:rsidR="00C1770B" w:rsidRDefault="001F51C8" w:rsidP="00C1770B">
      <w:pPr>
        <w:pStyle w:val="PargrafodaLista"/>
        <w:numPr>
          <w:ilvl w:val="0"/>
          <w:numId w:val="9"/>
        </w:numPr>
        <w:spacing w:before="240" w:after="240"/>
        <w:jc w:val="both"/>
        <w:rPr>
          <w:rFonts w:ascii="Times New Roman" w:hAnsi="Times New Roman" w:cs="Times New Roman"/>
          <w:lang w:val="pt-BR"/>
        </w:rPr>
      </w:pPr>
      <w:r>
        <w:rPr>
          <w:rFonts w:ascii="Times New Roman" w:hAnsi="Times New Roman" w:cs="Times New Roman"/>
          <w:lang w:val="pt-BR"/>
        </w:rPr>
        <w:t xml:space="preserve">A </w:t>
      </w:r>
      <w:r w:rsidR="00C1770B" w:rsidRPr="007E699E">
        <w:rPr>
          <w:rFonts w:ascii="Times New Roman" w:hAnsi="Times New Roman" w:cs="Times New Roman"/>
          <w:lang w:val="pt-BR"/>
        </w:rPr>
        <w:t>Re</w:t>
      </w:r>
      <w:r w:rsidR="0096276D">
        <w:rPr>
          <w:rFonts w:ascii="Times New Roman" w:hAnsi="Times New Roman" w:cs="Times New Roman"/>
          <w:lang w:val="pt-BR"/>
        </w:rPr>
        <w:t>ceita Sobre Créditos Tributários foi registrada em 2016</w:t>
      </w:r>
      <w:r w:rsidR="00C1770B" w:rsidRPr="007E699E">
        <w:rPr>
          <w:rFonts w:ascii="Times New Roman" w:hAnsi="Times New Roman" w:cs="Times New Roman"/>
          <w:lang w:val="pt-BR"/>
        </w:rPr>
        <w:t xml:space="preserve">, devido </w:t>
      </w:r>
      <w:r>
        <w:rPr>
          <w:rFonts w:ascii="Times New Roman" w:hAnsi="Times New Roman" w:cs="Times New Roman"/>
          <w:lang w:val="pt-BR"/>
        </w:rPr>
        <w:t>à</w:t>
      </w:r>
      <w:r w:rsidR="00C1770B" w:rsidRPr="007E699E">
        <w:rPr>
          <w:rFonts w:ascii="Times New Roman" w:hAnsi="Times New Roman" w:cs="Times New Roman"/>
          <w:lang w:val="pt-BR"/>
        </w:rPr>
        <w:t xml:space="preserve"> atuação da Companhia no recebimento </w:t>
      </w:r>
      <w:r w:rsidR="0096276D">
        <w:rPr>
          <w:rFonts w:ascii="Times New Roman" w:hAnsi="Times New Roman" w:cs="Times New Roman"/>
          <w:lang w:val="pt-BR"/>
        </w:rPr>
        <w:t>por via judicial</w:t>
      </w:r>
      <w:r w:rsidR="00C1770B" w:rsidRPr="007E699E">
        <w:rPr>
          <w:rFonts w:ascii="Times New Roman" w:hAnsi="Times New Roman" w:cs="Times New Roman"/>
          <w:lang w:val="pt-BR"/>
        </w:rPr>
        <w:t xml:space="preserve"> de créditos fiscais relativos </w:t>
      </w:r>
      <w:r>
        <w:rPr>
          <w:rFonts w:ascii="Times New Roman" w:hAnsi="Times New Roman" w:cs="Times New Roman"/>
          <w:lang w:val="pt-BR"/>
        </w:rPr>
        <w:t>a</w:t>
      </w:r>
      <w:r w:rsidR="00C1770B" w:rsidRPr="007E699E">
        <w:rPr>
          <w:rFonts w:ascii="Times New Roman" w:hAnsi="Times New Roman" w:cs="Times New Roman"/>
          <w:lang w:val="pt-BR"/>
        </w:rPr>
        <w:t xml:space="preserve"> PIS</w:t>
      </w:r>
      <w:r w:rsidR="0096276D">
        <w:rPr>
          <w:rFonts w:ascii="Times New Roman" w:hAnsi="Times New Roman" w:cs="Times New Roman"/>
          <w:lang w:val="pt-BR"/>
        </w:rPr>
        <w:t>/PASEP</w:t>
      </w:r>
      <w:r w:rsidR="00C1770B" w:rsidRPr="007E699E">
        <w:rPr>
          <w:rFonts w:ascii="Times New Roman" w:hAnsi="Times New Roman" w:cs="Times New Roman"/>
          <w:lang w:val="pt-BR"/>
        </w:rPr>
        <w:t xml:space="preserve"> e Finsocial</w:t>
      </w:r>
      <w:r w:rsidR="0096276D">
        <w:rPr>
          <w:rFonts w:ascii="Times New Roman" w:hAnsi="Times New Roman" w:cs="Times New Roman"/>
          <w:lang w:val="pt-BR"/>
        </w:rPr>
        <w:t>,</w:t>
      </w:r>
      <w:r w:rsidR="00C1770B" w:rsidRPr="007E699E">
        <w:rPr>
          <w:rFonts w:ascii="Times New Roman" w:hAnsi="Times New Roman" w:cs="Times New Roman"/>
          <w:lang w:val="pt-BR"/>
        </w:rPr>
        <w:t xml:space="preserve"> </w:t>
      </w:r>
      <w:r>
        <w:rPr>
          <w:rFonts w:ascii="Times New Roman" w:hAnsi="Times New Roman" w:cs="Times New Roman"/>
          <w:lang w:val="pt-BR"/>
        </w:rPr>
        <w:t>no valor de</w:t>
      </w:r>
      <w:r w:rsidR="00C1770B" w:rsidRPr="007E699E">
        <w:rPr>
          <w:rFonts w:ascii="Times New Roman" w:hAnsi="Times New Roman" w:cs="Times New Roman"/>
          <w:lang w:val="pt-BR"/>
        </w:rPr>
        <w:t xml:space="preserve"> R$</w:t>
      </w:r>
      <w:r>
        <w:rPr>
          <w:rFonts w:ascii="Times New Roman" w:hAnsi="Times New Roman" w:cs="Times New Roman"/>
          <w:lang w:val="pt-BR"/>
        </w:rPr>
        <w:t xml:space="preserve"> </w:t>
      </w:r>
      <w:r w:rsidR="00C1770B" w:rsidRPr="007E699E">
        <w:rPr>
          <w:rFonts w:ascii="Times New Roman" w:hAnsi="Times New Roman" w:cs="Times New Roman"/>
          <w:lang w:val="pt-BR"/>
        </w:rPr>
        <w:t>96.849 mil.</w:t>
      </w:r>
    </w:p>
    <w:p w:rsidR="00365D03" w:rsidRPr="00E23F39" w:rsidRDefault="00365D03" w:rsidP="00365D03">
      <w:pPr>
        <w:spacing w:before="240" w:after="240"/>
        <w:rPr>
          <w:b/>
          <w:bCs/>
          <w:sz w:val="22"/>
          <w:szCs w:val="22"/>
        </w:rPr>
      </w:pPr>
      <w:r w:rsidRPr="00E23F39">
        <w:rPr>
          <w:b/>
          <w:bCs/>
          <w:sz w:val="22"/>
          <w:szCs w:val="22"/>
        </w:rPr>
        <w:t>Resultado Financeiro</w:t>
      </w:r>
    </w:p>
    <w:p w:rsidR="00365D03" w:rsidRPr="00A61A76" w:rsidRDefault="00365D03" w:rsidP="00365D03">
      <w:pPr>
        <w:spacing w:before="240" w:after="240"/>
        <w:rPr>
          <w:b/>
          <w:bCs/>
          <w:sz w:val="22"/>
          <w:szCs w:val="22"/>
        </w:rPr>
      </w:pPr>
      <w:r w:rsidRPr="00E23F39">
        <w:rPr>
          <w:sz w:val="22"/>
          <w:szCs w:val="22"/>
        </w:rPr>
        <w:t xml:space="preserve">O </w:t>
      </w:r>
      <w:r>
        <w:rPr>
          <w:sz w:val="22"/>
          <w:szCs w:val="22"/>
        </w:rPr>
        <w:t>R</w:t>
      </w:r>
      <w:r w:rsidRPr="00E23F39">
        <w:rPr>
          <w:sz w:val="22"/>
          <w:szCs w:val="22"/>
        </w:rPr>
        <w:t xml:space="preserve">esultado </w:t>
      </w:r>
      <w:r>
        <w:rPr>
          <w:sz w:val="22"/>
          <w:szCs w:val="22"/>
        </w:rPr>
        <w:t>F</w:t>
      </w:r>
      <w:r w:rsidRPr="00E23F39">
        <w:rPr>
          <w:sz w:val="22"/>
          <w:szCs w:val="22"/>
        </w:rPr>
        <w:t>inanceiro acumulado no ano de 201</w:t>
      </w:r>
      <w:r>
        <w:rPr>
          <w:sz w:val="22"/>
          <w:szCs w:val="22"/>
        </w:rPr>
        <w:t>6</w:t>
      </w:r>
      <w:r w:rsidRPr="00E23F39">
        <w:rPr>
          <w:sz w:val="22"/>
          <w:szCs w:val="22"/>
        </w:rPr>
        <w:t xml:space="preserve"> foi negativo em R$ </w:t>
      </w:r>
      <w:r>
        <w:rPr>
          <w:sz w:val="22"/>
          <w:szCs w:val="22"/>
        </w:rPr>
        <w:t>51.741</w:t>
      </w:r>
      <w:r w:rsidRPr="00E23F39">
        <w:rPr>
          <w:sz w:val="22"/>
          <w:szCs w:val="22"/>
        </w:rPr>
        <w:t xml:space="preserve"> mil (R$ </w:t>
      </w:r>
      <w:r>
        <w:rPr>
          <w:sz w:val="22"/>
          <w:szCs w:val="22"/>
        </w:rPr>
        <w:t>109.369</w:t>
      </w:r>
      <w:r w:rsidRPr="00E23F39">
        <w:rPr>
          <w:sz w:val="22"/>
          <w:szCs w:val="22"/>
        </w:rPr>
        <w:t xml:space="preserve"> mil negativo em 201</w:t>
      </w:r>
      <w:r>
        <w:rPr>
          <w:sz w:val="22"/>
          <w:szCs w:val="22"/>
        </w:rPr>
        <w:t>5</w:t>
      </w:r>
      <w:r w:rsidRPr="00E23F39">
        <w:rPr>
          <w:sz w:val="22"/>
          <w:szCs w:val="22"/>
        </w:rPr>
        <w:t xml:space="preserve">), ocorrendo então, uma variação percentual de </w:t>
      </w:r>
      <w:r>
        <w:rPr>
          <w:sz w:val="22"/>
          <w:szCs w:val="22"/>
        </w:rPr>
        <w:t>-52,7</w:t>
      </w:r>
      <w:r w:rsidRPr="00E23F39">
        <w:rPr>
          <w:sz w:val="22"/>
          <w:szCs w:val="22"/>
        </w:rPr>
        <w:t>%.</w:t>
      </w:r>
    </w:p>
    <w:tbl>
      <w:tblPr>
        <w:tblStyle w:val="ListaClara-nfase11"/>
        <w:tblW w:w="5000" w:type="pct"/>
        <w:tblLook w:val="04A0" w:firstRow="1" w:lastRow="0" w:firstColumn="1" w:lastColumn="0" w:noHBand="0" w:noVBand="1"/>
      </w:tblPr>
      <w:tblGrid>
        <w:gridCol w:w="5079"/>
        <w:gridCol w:w="1292"/>
        <w:gridCol w:w="1251"/>
        <w:gridCol w:w="1251"/>
        <w:gridCol w:w="1251"/>
        <w:gridCol w:w="14"/>
      </w:tblGrid>
      <w:tr w:rsidR="00365D03" w:rsidRPr="00B53824" w:rsidTr="007E2656">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000" w:firstRow="0" w:lastRow="0" w:firstColumn="1" w:lastColumn="0" w:oddVBand="0" w:evenVBand="0" w:oddHBand="0" w:evenHBand="0" w:firstRowFirstColumn="0" w:firstRowLastColumn="0" w:lastRowFirstColumn="0" w:lastRowLastColumn="0"/>
            <w:tcW w:w="2505" w:type="pct"/>
            <w:vMerge w:val="restart"/>
            <w:shd w:val="clear" w:color="auto" w:fill="0070C0"/>
            <w:noWrap/>
            <w:hideMark/>
          </w:tcPr>
          <w:p w:rsidR="00365D03" w:rsidRPr="00E4068E" w:rsidRDefault="00365D03" w:rsidP="00345D9B">
            <w:pPr>
              <w:spacing w:after="240"/>
              <w:jc w:val="center"/>
              <w:rPr>
                <w:rFonts w:asciiTheme="majorHAnsi" w:hAnsiTheme="majorHAnsi"/>
                <w:sz w:val="22"/>
                <w:szCs w:val="22"/>
              </w:rPr>
            </w:pPr>
            <w:r w:rsidRPr="00E4068E">
              <w:rPr>
                <w:rFonts w:asciiTheme="majorHAnsi" w:hAnsiTheme="majorHAnsi"/>
                <w:sz w:val="22"/>
                <w:szCs w:val="22"/>
              </w:rPr>
              <w:t> </w:t>
            </w:r>
          </w:p>
        </w:tc>
        <w:tc>
          <w:tcPr>
            <w:tcW w:w="1254" w:type="pct"/>
            <w:gridSpan w:val="2"/>
            <w:shd w:val="clear" w:color="auto" w:fill="0070C0"/>
            <w:noWrap/>
            <w:hideMark/>
          </w:tcPr>
          <w:p w:rsidR="00365D03" w:rsidRPr="00B53824" w:rsidRDefault="00365D03" w:rsidP="00151F6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53824">
              <w:rPr>
                <w:sz w:val="18"/>
                <w:szCs w:val="18"/>
              </w:rPr>
              <w:t>C</w:t>
            </w:r>
            <w:r w:rsidR="00151F68">
              <w:rPr>
                <w:sz w:val="18"/>
                <w:szCs w:val="18"/>
              </w:rPr>
              <w:t>ONSOLIDADO</w:t>
            </w:r>
          </w:p>
        </w:tc>
        <w:tc>
          <w:tcPr>
            <w:tcW w:w="1241" w:type="pct"/>
            <w:gridSpan w:val="3"/>
            <w:shd w:val="clear" w:color="auto" w:fill="0070C0"/>
          </w:tcPr>
          <w:p w:rsidR="00365D03" w:rsidRPr="00B53824" w:rsidRDefault="00365D03" w:rsidP="00345D9B">
            <w:pPr>
              <w:ind w:right="-1"/>
              <w:jc w:val="center"/>
              <w:cnfStyle w:val="100000000000" w:firstRow="1" w:lastRow="0" w:firstColumn="0" w:lastColumn="0" w:oddVBand="0" w:evenVBand="0" w:oddHBand="0" w:evenHBand="0" w:firstRowFirstColumn="0" w:firstRowLastColumn="0" w:lastRowFirstColumn="0" w:lastRowLastColumn="0"/>
              <w:rPr>
                <w:bCs w:val="0"/>
                <w:snapToGrid w:val="0"/>
                <w:lang w:bidi="en-US"/>
              </w:rPr>
            </w:pPr>
            <w:r w:rsidRPr="00B53824">
              <w:rPr>
                <w:bCs w:val="0"/>
                <w:snapToGrid w:val="0"/>
                <w:lang w:bidi="en-US"/>
              </w:rPr>
              <w:t xml:space="preserve">Δ </w:t>
            </w:r>
          </w:p>
        </w:tc>
      </w:tr>
      <w:tr w:rsidR="00365D03" w:rsidRPr="00B53824" w:rsidTr="007E2656">
        <w:trPr>
          <w:gridAfter w:val="1"/>
          <w:cnfStyle w:val="100000000000" w:firstRow="1" w:lastRow="0" w:firstColumn="0" w:lastColumn="0" w:oddVBand="0" w:evenVBand="0" w:oddHBand="0" w:evenHBand="0" w:firstRowFirstColumn="0" w:firstRowLastColumn="0" w:lastRowFirstColumn="0" w:lastRowLastColumn="0"/>
          <w:wAfter w:w="7" w:type="pct"/>
          <w:trHeight w:val="238"/>
          <w:tblHeader/>
        </w:trPr>
        <w:tc>
          <w:tcPr>
            <w:cnfStyle w:val="001000000000" w:firstRow="0" w:lastRow="0" w:firstColumn="1" w:lastColumn="0" w:oddVBand="0" w:evenVBand="0" w:oddHBand="0" w:evenHBand="0" w:firstRowFirstColumn="0" w:firstRowLastColumn="0" w:lastRowFirstColumn="0" w:lastRowLastColumn="0"/>
            <w:tcW w:w="2505" w:type="pct"/>
            <w:vMerge/>
            <w:shd w:val="clear" w:color="auto" w:fill="0070C0"/>
            <w:hideMark/>
          </w:tcPr>
          <w:p w:rsidR="00365D03" w:rsidRPr="00761861" w:rsidRDefault="00365D03" w:rsidP="00345D9B">
            <w:pPr>
              <w:rPr>
                <w:rFonts w:asciiTheme="majorHAnsi" w:hAnsiTheme="majorHAnsi"/>
                <w:color w:val="000000"/>
                <w:sz w:val="22"/>
                <w:szCs w:val="22"/>
              </w:rPr>
            </w:pPr>
          </w:p>
        </w:tc>
        <w:tc>
          <w:tcPr>
            <w:tcW w:w="637" w:type="pct"/>
            <w:shd w:val="clear" w:color="auto" w:fill="0070C0"/>
            <w:noWrap/>
            <w:hideMark/>
          </w:tcPr>
          <w:p w:rsidR="00365D03" w:rsidRPr="00B53824" w:rsidRDefault="00365D03" w:rsidP="00345D9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B53824">
              <w:rPr>
                <w:b w:val="0"/>
                <w:bCs w:val="0"/>
                <w:sz w:val="18"/>
                <w:szCs w:val="18"/>
              </w:rPr>
              <w:t>31/12/2015</w:t>
            </w:r>
          </w:p>
        </w:tc>
        <w:tc>
          <w:tcPr>
            <w:tcW w:w="617" w:type="pct"/>
            <w:shd w:val="clear" w:color="auto" w:fill="0070C0"/>
            <w:noWrap/>
            <w:hideMark/>
          </w:tcPr>
          <w:p w:rsidR="00365D03" w:rsidRPr="00B53824" w:rsidRDefault="00365D03" w:rsidP="00345D9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B53824">
              <w:rPr>
                <w:b w:val="0"/>
                <w:bCs w:val="0"/>
                <w:sz w:val="18"/>
                <w:szCs w:val="18"/>
              </w:rPr>
              <w:t>31/12/2016</w:t>
            </w:r>
          </w:p>
        </w:tc>
        <w:tc>
          <w:tcPr>
            <w:tcW w:w="617" w:type="pct"/>
            <w:shd w:val="clear" w:color="auto" w:fill="0070C0"/>
          </w:tcPr>
          <w:p w:rsidR="00365D03" w:rsidRPr="00B53824" w:rsidRDefault="00365D03" w:rsidP="00593A6B">
            <w:pPr>
              <w:jc w:val="right"/>
              <w:cnfStyle w:val="100000000000" w:firstRow="1" w:lastRow="0" w:firstColumn="0" w:lastColumn="0" w:oddVBand="0" w:evenVBand="0" w:oddHBand="0" w:evenHBand="0" w:firstRowFirstColumn="0" w:firstRowLastColumn="0" w:lastRowFirstColumn="0" w:lastRowLastColumn="0"/>
              <w:rPr>
                <w:b w:val="0"/>
                <w:bCs w:val="0"/>
                <w:sz w:val="18"/>
                <w:szCs w:val="18"/>
              </w:rPr>
            </w:pPr>
            <w:r w:rsidRPr="00B53824">
              <w:rPr>
                <w:b w:val="0"/>
                <w:bCs w:val="0"/>
                <w:snapToGrid w:val="0"/>
                <w:lang w:bidi="en-US"/>
              </w:rPr>
              <w:t>(R$ Mil)</w:t>
            </w:r>
          </w:p>
        </w:tc>
        <w:tc>
          <w:tcPr>
            <w:tcW w:w="617" w:type="pct"/>
            <w:shd w:val="clear" w:color="auto" w:fill="0070C0"/>
          </w:tcPr>
          <w:p w:rsidR="00365D03" w:rsidRPr="00B53824" w:rsidRDefault="00365D03" w:rsidP="00593A6B">
            <w:pPr>
              <w:jc w:val="right"/>
              <w:cnfStyle w:val="100000000000" w:firstRow="1" w:lastRow="0" w:firstColumn="0" w:lastColumn="0" w:oddVBand="0" w:evenVBand="0" w:oddHBand="0" w:evenHBand="0" w:firstRowFirstColumn="0" w:firstRowLastColumn="0" w:lastRowFirstColumn="0" w:lastRowLastColumn="0"/>
              <w:rPr>
                <w:b w:val="0"/>
                <w:bCs w:val="0"/>
                <w:sz w:val="18"/>
                <w:szCs w:val="18"/>
              </w:rPr>
            </w:pPr>
            <w:r w:rsidRPr="00B53824">
              <w:rPr>
                <w:b w:val="0"/>
                <w:bCs w:val="0"/>
                <w:sz w:val="18"/>
                <w:szCs w:val="18"/>
              </w:rPr>
              <w:t>(%)</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hideMark/>
          </w:tcPr>
          <w:p w:rsidR="00365D03" w:rsidRPr="00AA43C5" w:rsidRDefault="00365D03" w:rsidP="00345D9B">
            <w:pPr>
              <w:rPr>
                <w:b w:val="0"/>
                <w:bCs w:val="0"/>
                <w:color w:val="000000"/>
                <w:sz w:val="18"/>
                <w:szCs w:val="18"/>
              </w:rPr>
            </w:pPr>
            <w:r w:rsidRPr="00AA43C5">
              <w:rPr>
                <w:b w:val="0"/>
                <w:color w:val="000000"/>
                <w:sz w:val="18"/>
                <w:szCs w:val="18"/>
              </w:rPr>
              <w:t xml:space="preserve"> Receitas Financeiras </w:t>
            </w:r>
          </w:p>
        </w:tc>
        <w:tc>
          <w:tcPr>
            <w:tcW w:w="637" w:type="pct"/>
            <w:noWrap/>
            <w:hideMark/>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17" w:type="pct"/>
            <w:noWrap/>
            <w:hideMark/>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17" w:type="pct"/>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17" w:type="pct"/>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Juros/Variações Monetárias Sobre Ativos </w:t>
            </w:r>
          </w:p>
        </w:tc>
        <w:tc>
          <w:tcPr>
            <w:tcW w:w="637" w:type="pct"/>
            <w:noWrap/>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21.324</w:t>
            </w:r>
          </w:p>
        </w:tc>
        <w:tc>
          <w:tcPr>
            <w:tcW w:w="617" w:type="pct"/>
            <w:noWrap/>
            <w:hideMark/>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42.016</w:t>
            </w:r>
          </w:p>
        </w:tc>
        <w:tc>
          <w:tcPr>
            <w:tcW w:w="617" w:type="pct"/>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20.692</w:t>
            </w:r>
          </w:p>
        </w:tc>
        <w:tc>
          <w:tcPr>
            <w:tcW w:w="617" w:type="pct"/>
          </w:tcPr>
          <w:p w:rsidR="00365D03" w:rsidRPr="00AA43C5" w:rsidRDefault="00365D03" w:rsidP="00703F7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97,0</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Atualização Monetária – Ativos Regulatórios</w:t>
            </w:r>
          </w:p>
        </w:tc>
        <w:tc>
          <w:tcPr>
            <w:tcW w:w="637" w:type="pct"/>
            <w:noWrap/>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A43C5">
              <w:rPr>
                <w:color w:val="000000"/>
                <w:sz w:val="18"/>
                <w:szCs w:val="18"/>
              </w:rPr>
              <w:t>89.448</w:t>
            </w:r>
          </w:p>
        </w:tc>
        <w:tc>
          <w:tcPr>
            <w:tcW w:w="617" w:type="pct"/>
            <w:noWrap/>
            <w:hideMark/>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A43C5">
              <w:rPr>
                <w:color w:val="000000"/>
                <w:sz w:val="18"/>
                <w:szCs w:val="18"/>
              </w:rPr>
              <w:t>63.162</w:t>
            </w:r>
          </w:p>
        </w:tc>
        <w:tc>
          <w:tcPr>
            <w:tcW w:w="617" w:type="pct"/>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26.286)</w:t>
            </w:r>
          </w:p>
        </w:tc>
        <w:tc>
          <w:tcPr>
            <w:tcW w:w="617" w:type="pct"/>
          </w:tcPr>
          <w:p w:rsidR="00365D03" w:rsidRPr="00AA43C5" w:rsidRDefault="00381803" w:rsidP="00703F75">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29,4)</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Acréscimos Moratórios em Conta de Energia </w:t>
            </w:r>
          </w:p>
        </w:tc>
        <w:tc>
          <w:tcPr>
            <w:tcW w:w="637" w:type="pct"/>
            <w:noWrap/>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11.896</w:t>
            </w:r>
          </w:p>
        </w:tc>
        <w:tc>
          <w:tcPr>
            <w:tcW w:w="617" w:type="pct"/>
            <w:noWrap/>
            <w:hideMark/>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31.157</w:t>
            </w:r>
          </w:p>
        </w:tc>
        <w:tc>
          <w:tcPr>
            <w:tcW w:w="617" w:type="pct"/>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19.261</w:t>
            </w:r>
          </w:p>
        </w:tc>
        <w:tc>
          <w:tcPr>
            <w:tcW w:w="617" w:type="pct"/>
          </w:tcPr>
          <w:p w:rsidR="00365D03" w:rsidRPr="00AA43C5" w:rsidRDefault="00365D03" w:rsidP="00703F7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161,9</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Rendimentos de Aplicações Financeiras </w:t>
            </w:r>
          </w:p>
        </w:tc>
        <w:tc>
          <w:tcPr>
            <w:tcW w:w="637" w:type="pct"/>
            <w:noWrap/>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A43C5">
              <w:rPr>
                <w:color w:val="000000"/>
                <w:sz w:val="18"/>
                <w:szCs w:val="18"/>
              </w:rPr>
              <w:t>8.592</w:t>
            </w:r>
          </w:p>
        </w:tc>
        <w:tc>
          <w:tcPr>
            <w:tcW w:w="617" w:type="pct"/>
            <w:noWrap/>
            <w:hideMark/>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A43C5">
              <w:rPr>
                <w:color w:val="000000"/>
                <w:sz w:val="18"/>
                <w:szCs w:val="18"/>
              </w:rPr>
              <w:t>10.115</w:t>
            </w:r>
          </w:p>
        </w:tc>
        <w:tc>
          <w:tcPr>
            <w:tcW w:w="617" w:type="pct"/>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A43C5">
              <w:rPr>
                <w:color w:val="000000"/>
                <w:sz w:val="18"/>
                <w:szCs w:val="18"/>
              </w:rPr>
              <w:t>1.523</w:t>
            </w:r>
          </w:p>
        </w:tc>
        <w:tc>
          <w:tcPr>
            <w:tcW w:w="617" w:type="pct"/>
          </w:tcPr>
          <w:p w:rsidR="00365D03" w:rsidRPr="00AA43C5" w:rsidRDefault="00365D03" w:rsidP="00703F75">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A43C5">
              <w:rPr>
                <w:color w:val="000000"/>
                <w:sz w:val="18"/>
                <w:szCs w:val="18"/>
              </w:rPr>
              <w:t>17,7</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6240D9">
            <w:pPr>
              <w:rPr>
                <w:b w:val="0"/>
                <w:color w:val="000000"/>
                <w:sz w:val="18"/>
                <w:szCs w:val="18"/>
              </w:rPr>
            </w:pPr>
            <w:r w:rsidRPr="00AA43C5">
              <w:rPr>
                <w:b w:val="0"/>
                <w:color w:val="000000"/>
                <w:sz w:val="18"/>
                <w:szCs w:val="18"/>
              </w:rPr>
              <w:t xml:space="preserve"> Receita de Dividendos e Juros </w:t>
            </w:r>
            <w:r w:rsidR="006240D9">
              <w:rPr>
                <w:b w:val="0"/>
                <w:color w:val="000000"/>
                <w:sz w:val="18"/>
                <w:szCs w:val="18"/>
              </w:rPr>
              <w:t>S</w:t>
            </w:r>
            <w:r w:rsidRPr="00AA43C5">
              <w:rPr>
                <w:b w:val="0"/>
                <w:color w:val="000000"/>
                <w:sz w:val="18"/>
                <w:szCs w:val="18"/>
              </w:rPr>
              <w:t>obre Capital Próprio</w:t>
            </w:r>
          </w:p>
        </w:tc>
        <w:tc>
          <w:tcPr>
            <w:tcW w:w="637" w:type="pct"/>
            <w:noWrap/>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7.439</w:t>
            </w:r>
          </w:p>
        </w:tc>
        <w:tc>
          <w:tcPr>
            <w:tcW w:w="617" w:type="pct"/>
            <w:noWrap/>
            <w:hideMark/>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16.192</w:t>
            </w:r>
          </w:p>
        </w:tc>
        <w:tc>
          <w:tcPr>
            <w:tcW w:w="617" w:type="pct"/>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8.753</w:t>
            </w:r>
          </w:p>
        </w:tc>
        <w:tc>
          <w:tcPr>
            <w:tcW w:w="617" w:type="pct"/>
          </w:tcPr>
          <w:p w:rsidR="00365D03" w:rsidRPr="00AA43C5" w:rsidRDefault="00365D03" w:rsidP="00703F7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117,7</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Reversão de Juros Sobre Capital Próprio</w:t>
            </w:r>
          </w:p>
        </w:tc>
        <w:tc>
          <w:tcPr>
            <w:tcW w:w="637" w:type="pct"/>
            <w:noWrap/>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7.119</w:t>
            </w:r>
            <w:r>
              <w:rPr>
                <w:color w:val="000000"/>
                <w:sz w:val="18"/>
                <w:szCs w:val="18"/>
              </w:rPr>
              <w:t>)</w:t>
            </w:r>
          </w:p>
        </w:tc>
        <w:tc>
          <w:tcPr>
            <w:tcW w:w="617" w:type="pct"/>
            <w:noWrap/>
            <w:hideMark/>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15.000</w:t>
            </w:r>
            <w:r>
              <w:rPr>
                <w:color w:val="000000"/>
                <w:sz w:val="18"/>
                <w:szCs w:val="18"/>
              </w:rPr>
              <w:t>)</w:t>
            </w:r>
          </w:p>
        </w:tc>
        <w:tc>
          <w:tcPr>
            <w:tcW w:w="617" w:type="pct"/>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7.881)</w:t>
            </w:r>
          </w:p>
        </w:tc>
        <w:tc>
          <w:tcPr>
            <w:tcW w:w="617" w:type="pct"/>
          </w:tcPr>
          <w:p w:rsidR="00365D03" w:rsidRPr="00AA43C5" w:rsidRDefault="00365D03" w:rsidP="00703F75">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A43C5">
              <w:rPr>
                <w:color w:val="000000"/>
                <w:sz w:val="18"/>
                <w:szCs w:val="18"/>
              </w:rPr>
              <w:t>110,7</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Multas e Penalidades Aplicadas </w:t>
            </w:r>
          </w:p>
        </w:tc>
        <w:tc>
          <w:tcPr>
            <w:tcW w:w="637" w:type="pct"/>
            <w:noWrap/>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724</w:t>
            </w:r>
          </w:p>
        </w:tc>
        <w:tc>
          <w:tcPr>
            <w:tcW w:w="617" w:type="pct"/>
            <w:noWrap/>
            <w:hideMark/>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1.257</w:t>
            </w:r>
          </w:p>
        </w:tc>
        <w:tc>
          <w:tcPr>
            <w:tcW w:w="617" w:type="pct"/>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533</w:t>
            </w:r>
          </w:p>
        </w:tc>
        <w:tc>
          <w:tcPr>
            <w:tcW w:w="617" w:type="pct"/>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73,6</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tcPr>
          <w:p w:rsidR="00365D03" w:rsidRPr="00AA43C5" w:rsidRDefault="00365D03" w:rsidP="00365D03">
            <w:pPr>
              <w:rPr>
                <w:b w:val="0"/>
                <w:color w:val="000000"/>
                <w:sz w:val="18"/>
                <w:szCs w:val="18"/>
              </w:rPr>
            </w:pPr>
            <w:r w:rsidRPr="00AA43C5">
              <w:rPr>
                <w:b w:val="0"/>
                <w:color w:val="000000"/>
                <w:sz w:val="18"/>
                <w:szCs w:val="18"/>
              </w:rPr>
              <w:t xml:space="preserve">Tributos </w:t>
            </w:r>
            <w:r>
              <w:rPr>
                <w:b w:val="0"/>
                <w:color w:val="000000"/>
                <w:sz w:val="18"/>
                <w:szCs w:val="18"/>
              </w:rPr>
              <w:t>S</w:t>
            </w:r>
            <w:r w:rsidRPr="00AA43C5">
              <w:rPr>
                <w:b w:val="0"/>
                <w:color w:val="000000"/>
                <w:sz w:val="18"/>
                <w:szCs w:val="18"/>
              </w:rPr>
              <w:t>obre Receitas Financeiras</w:t>
            </w:r>
          </w:p>
        </w:tc>
        <w:tc>
          <w:tcPr>
            <w:tcW w:w="637" w:type="pct"/>
            <w:noWrap/>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17" w:type="pct"/>
            <w:noWrap/>
          </w:tcPr>
          <w:p w:rsidR="00365D03" w:rsidRPr="002A2239"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5.368</w:t>
            </w:r>
            <w:r w:rsidRPr="002A2239">
              <w:rPr>
                <w:color w:val="000000"/>
                <w:sz w:val="18"/>
                <w:szCs w:val="18"/>
              </w:rPr>
              <w:t>)</w:t>
            </w:r>
          </w:p>
        </w:tc>
        <w:tc>
          <w:tcPr>
            <w:tcW w:w="617" w:type="pct"/>
          </w:tcPr>
          <w:p w:rsidR="00365D03" w:rsidRPr="002A2239"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5.368)</w:t>
            </w:r>
          </w:p>
        </w:tc>
        <w:tc>
          <w:tcPr>
            <w:tcW w:w="617" w:type="pct"/>
          </w:tcPr>
          <w:p w:rsidR="00365D03" w:rsidRPr="002A2239"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 </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Outas Receitas Financeiras </w:t>
            </w:r>
          </w:p>
        </w:tc>
        <w:tc>
          <w:tcPr>
            <w:tcW w:w="637" w:type="pct"/>
            <w:noWrap/>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A43C5">
              <w:rPr>
                <w:color w:val="000000"/>
                <w:sz w:val="18"/>
                <w:szCs w:val="18"/>
              </w:rPr>
              <w:t>2.476</w:t>
            </w:r>
          </w:p>
        </w:tc>
        <w:tc>
          <w:tcPr>
            <w:tcW w:w="617" w:type="pct"/>
            <w:noWrap/>
            <w:hideMark/>
          </w:tcPr>
          <w:p w:rsidR="00365D03" w:rsidRPr="002A2239"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2.542</w:t>
            </w:r>
          </w:p>
        </w:tc>
        <w:tc>
          <w:tcPr>
            <w:tcW w:w="617" w:type="pct"/>
          </w:tcPr>
          <w:p w:rsidR="00365D03" w:rsidRPr="002A2239"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66</w:t>
            </w:r>
          </w:p>
        </w:tc>
        <w:tc>
          <w:tcPr>
            <w:tcW w:w="617" w:type="pct"/>
          </w:tcPr>
          <w:p w:rsidR="00365D03" w:rsidRPr="002A2239" w:rsidRDefault="00365D03" w:rsidP="00703F7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2,7</w:t>
            </w:r>
          </w:p>
        </w:tc>
      </w:tr>
      <w:tr w:rsidR="00365D03" w:rsidRPr="00585225"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Cs w:val="0"/>
                <w:color w:val="000000"/>
                <w:sz w:val="18"/>
                <w:szCs w:val="18"/>
              </w:rPr>
            </w:pPr>
            <w:r w:rsidRPr="00AA43C5">
              <w:rPr>
                <w:color w:val="000000"/>
                <w:sz w:val="18"/>
                <w:szCs w:val="18"/>
              </w:rPr>
              <w:t xml:space="preserve"> Subtotal </w:t>
            </w:r>
          </w:p>
        </w:tc>
        <w:tc>
          <w:tcPr>
            <w:tcW w:w="637" w:type="pct"/>
            <w:noWrap/>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A43C5">
              <w:rPr>
                <w:b/>
                <w:bCs/>
                <w:color w:val="000000"/>
                <w:sz w:val="18"/>
                <w:szCs w:val="18"/>
              </w:rPr>
              <w:t>134.780</w:t>
            </w:r>
          </w:p>
        </w:tc>
        <w:tc>
          <w:tcPr>
            <w:tcW w:w="617" w:type="pct"/>
            <w:noWrap/>
            <w:hideMark/>
          </w:tcPr>
          <w:p w:rsidR="00365D03" w:rsidRPr="002A2239" w:rsidRDefault="00365D03" w:rsidP="00345D9B">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A2239">
              <w:rPr>
                <w:b/>
                <w:bCs/>
                <w:color w:val="000000"/>
                <w:sz w:val="18"/>
                <w:szCs w:val="18"/>
              </w:rPr>
              <w:t>146.073</w:t>
            </w:r>
          </w:p>
        </w:tc>
        <w:tc>
          <w:tcPr>
            <w:tcW w:w="617" w:type="pct"/>
          </w:tcPr>
          <w:p w:rsidR="00365D03" w:rsidRPr="002A2239" w:rsidRDefault="00365D03" w:rsidP="00345D9B">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2A2239">
              <w:rPr>
                <w:b/>
                <w:color w:val="000000"/>
                <w:sz w:val="18"/>
                <w:szCs w:val="18"/>
              </w:rPr>
              <w:t>11.293</w:t>
            </w:r>
          </w:p>
        </w:tc>
        <w:tc>
          <w:tcPr>
            <w:tcW w:w="617" w:type="pct"/>
          </w:tcPr>
          <w:p w:rsidR="00365D03" w:rsidRPr="002A2239" w:rsidRDefault="00365D03" w:rsidP="00703F75">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2A2239">
              <w:rPr>
                <w:b/>
                <w:color w:val="000000"/>
                <w:sz w:val="18"/>
                <w:szCs w:val="18"/>
              </w:rPr>
              <w:t>8,4</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bCs w:val="0"/>
                <w:color w:val="000000"/>
                <w:sz w:val="18"/>
                <w:szCs w:val="18"/>
              </w:rPr>
            </w:pPr>
            <w:r w:rsidRPr="00AA43C5">
              <w:rPr>
                <w:b w:val="0"/>
                <w:color w:val="000000"/>
                <w:sz w:val="18"/>
                <w:szCs w:val="18"/>
              </w:rPr>
              <w:t xml:space="preserve"> Despesas Financeiras </w:t>
            </w:r>
          </w:p>
        </w:tc>
        <w:tc>
          <w:tcPr>
            <w:tcW w:w="637" w:type="pct"/>
            <w:noWrap/>
          </w:tcPr>
          <w:p w:rsidR="00365D03" w:rsidRPr="00AA43C5" w:rsidRDefault="00365D03" w:rsidP="00345D9B">
            <w:pPr>
              <w:cnfStyle w:val="000000000000" w:firstRow="0" w:lastRow="0" w:firstColumn="0" w:lastColumn="0" w:oddVBand="0" w:evenVBand="0" w:oddHBand="0" w:evenHBand="0" w:firstRowFirstColumn="0" w:firstRowLastColumn="0" w:lastRowFirstColumn="0" w:lastRowLastColumn="0"/>
              <w:rPr>
                <w:color w:val="000000"/>
              </w:rPr>
            </w:pPr>
            <w:r w:rsidRPr="00AA43C5">
              <w:rPr>
                <w:color w:val="000000"/>
              </w:rPr>
              <w:t> </w:t>
            </w:r>
          </w:p>
        </w:tc>
        <w:tc>
          <w:tcPr>
            <w:tcW w:w="617" w:type="pct"/>
            <w:noWrap/>
            <w:hideMark/>
          </w:tcPr>
          <w:p w:rsidR="00365D03" w:rsidRPr="002A2239"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 </w:t>
            </w:r>
          </w:p>
        </w:tc>
        <w:tc>
          <w:tcPr>
            <w:tcW w:w="617" w:type="pct"/>
          </w:tcPr>
          <w:p w:rsidR="00365D03" w:rsidRPr="002A2239"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617" w:type="pct"/>
          </w:tcPr>
          <w:p w:rsidR="00365D03" w:rsidRPr="002A2239"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 </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Juros/Variações Monetárias Sobre Passivos</w:t>
            </w:r>
          </w:p>
        </w:tc>
        <w:tc>
          <w:tcPr>
            <w:tcW w:w="637" w:type="pct"/>
            <w:noWrap/>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90.261</w:t>
            </w:r>
            <w:r>
              <w:rPr>
                <w:color w:val="000000"/>
                <w:sz w:val="18"/>
                <w:szCs w:val="18"/>
              </w:rPr>
              <w:t>)</w:t>
            </w:r>
          </w:p>
        </w:tc>
        <w:tc>
          <w:tcPr>
            <w:tcW w:w="617" w:type="pct"/>
            <w:noWrap/>
            <w:hideMark/>
          </w:tcPr>
          <w:p w:rsidR="00365D03" w:rsidRPr="002A2239"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76.051</w:t>
            </w:r>
            <w:r w:rsidRPr="002A2239">
              <w:rPr>
                <w:color w:val="000000"/>
                <w:sz w:val="18"/>
                <w:szCs w:val="18"/>
              </w:rPr>
              <w:t>)</w:t>
            </w:r>
          </w:p>
        </w:tc>
        <w:tc>
          <w:tcPr>
            <w:tcW w:w="617" w:type="pct"/>
          </w:tcPr>
          <w:p w:rsidR="00365D03" w:rsidRPr="002A2239"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14.210</w:t>
            </w:r>
          </w:p>
        </w:tc>
        <w:tc>
          <w:tcPr>
            <w:tcW w:w="617" w:type="pct"/>
          </w:tcPr>
          <w:p w:rsidR="00365D03" w:rsidRPr="002A2239" w:rsidRDefault="00381803" w:rsidP="00703F75">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15,7)</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Encargos de Dívidas </w:t>
            </w:r>
          </w:p>
        </w:tc>
        <w:tc>
          <w:tcPr>
            <w:tcW w:w="637" w:type="pct"/>
            <w:noWrap/>
          </w:tcPr>
          <w:p w:rsidR="00365D03" w:rsidRPr="00AA43C5"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61.247</w:t>
            </w:r>
            <w:r>
              <w:rPr>
                <w:color w:val="000000"/>
                <w:sz w:val="18"/>
                <w:szCs w:val="18"/>
              </w:rPr>
              <w:t>)</w:t>
            </w:r>
          </w:p>
        </w:tc>
        <w:tc>
          <w:tcPr>
            <w:tcW w:w="617" w:type="pct"/>
            <w:noWrap/>
            <w:hideMark/>
          </w:tcPr>
          <w:p w:rsidR="00365D03" w:rsidRPr="002A2239"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70.556</w:t>
            </w:r>
            <w:r w:rsidRPr="002A2239">
              <w:rPr>
                <w:color w:val="000000"/>
                <w:sz w:val="18"/>
                <w:szCs w:val="18"/>
              </w:rPr>
              <w:t>)</w:t>
            </w:r>
          </w:p>
        </w:tc>
        <w:tc>
          <w:tcPr>
            <w:tcW w:w="617" w:type="pct"/>
          </w:tcPr>
          <w:p w:rsidR="00365D03" w:rsidRPr="002A2239"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9.309)</w:t>
            </w:r>
          </w:p>
        </w:tc>
        <w:tc>
          <w:tcPr>
            <w:tcW w:w="617" w:type="pct"/>
          </w:tcPr>
          <w:p w:rsidR="00365D03" w:rsidRPr="002A2239" w:rsidRDefault="00365D03" w:rsidP="00703F7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15,2</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Atualização Monetária – Passivos Regulatórios </w:t>
            </w:r>
          </w:p>
        </w:tc>
        <w:tc>
          <w:tcPr>
            <w:tcW w:w="637" w:type="pct"/>
            <w:noWrap/>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35.744</w:t>
            </w:r>
            <w:r>
              <w:rPr>
                <w:color w:val="000000"/>
                <w:sz w:val="18"/>
                <w:szCs w:val="18"/>
              </w:rPr>
              <w:t>)</w:t>
            </w:r>
          </w:p>
        </w:tc>
        <w:tc>
          <w:tcPr>
            <w:tcW w:w="617" w:type="pct"/>
            <w:noWrap/>
            <w:hideMark/>
          </w:tcPr>
          <w:p w:rsidR="00365D03" w:rsidRPr="002A2239"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39.078</w:t>
            </w:r>
            <w:r w:rsidRPr="002A2239">
              <w:rPr>
                <w:color w:val="000000"/>
                <w:sz w:val="18"/>
                <w:szCs w:val="18"/>
              </w:rPr>
              <w:t>)</w:t>
            </w:r>
          </w:p>
        </w:tc>
        <w:tc>
          <w:tcPr>
            <w:tcW w:w="617" w:type="pct"/>
          </w:tcPr>
          <w:p w:rsidR="00365D03" w:rsidRPr="002A2239"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3.334)</w:t>
            </w:r>
          </w:p>
        </w:tc>
        <w:tc>
          <w:tcPr>
            <w:tcW w:w="617" w:type="pct"/>
          </w:tcPr>
          <w:p w:rsidR="00365D03" w:rsidRPr="002A2239" w:rsidRDefault="00365D03" w:rsidP="00703F75">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9,3</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 w:val="0"/>
                <w:color w:val="000000"/>
                <w:sz w:val="18"/>
                <w:szCs w:val="18"/>
              </w:rPr>
            </w:pPr>
            <w:r w:rsidRPr="00AA43C5">
              <w:rPr>
                <w:b w:val="0"/>
                <w:color w:val="000000"/>
                <w:sz w:val="18"/>
                <w:szCs w:val="18"/>
              </w:rPr>
              <w:t xml:space="preserve"> Atualização de Benefício Pós-Emprego </w:t>
            </w:r>
          </w:p>
        </w:tc>
        <w:tc>
          <w:tcPr>
            <w:tcW w:w="637" w:type="pct"/>
            <w:noWrap/>
          </w:tcPr>
          <w:p w:rsidR="00365D03" w:rsidRPr="00AA43C5"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1.118</w:t>
            </w:r>
            <w:r>
              <w:rPr>
                <w:color w:val="000000"/>
                <w:sz w:val="18"/>
                <w:szCs w:val="18"/>
              </w:rPr>
              <w:t>)</w:t>
            </w:r>
          </w:p>
        </w:tc>
        <w:tc>
          <w:tcPr>
            <w:tcW w:w="617" w:type="pct"/>
            <w:noWrap/>
            <w:hideMark/>
          </w:tcPr>
          <w:p w:rsidR="00365D03" w:rsidRPr="002A2239"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196</w:t>
            </w:r>
            <w:r w:rsidRPr="002A2239">
              <w:rPr>
                <w:color w:val="000000"/>
                <w:sz w:val="18"/>
                <w:szCs w:val="18"/>
              </w:rPr>
              <w:t>)</w:t>
            </w:r>
          </w:p>
        </w:tc>
        <w:tc>
          <w:tcPr>
            <w:tcW w:w="617" w:type="pct"/>
          </w:tcPr>
          <w:p w:rsidR="00365D03" w:rsidRPr="002A2239"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922</w:t>
            </w:r>
          </w:p>
        </w:tc>
        <w:tc>
          <w:tcPr>
            <w:tcW w:w="617" w:type="pct"/>
          </w:tcPr>
          <w:p w:rsidR="00365D03" w:rsidRPr="002A2239" w:rsidRDefault="00381803" w:rsidP="00703F7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82,5)</w:t>
            </w:r>
          </w:p>
        </w:tc>
      </w:tr>
      <w:tr w:rsidR="00365D03" w:rsidRPr="00E4068E"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tcPr>
          <w:p w:rsidR="00365D03" w:rsidRPr="00AA43C5" w:rsidRDefault="00365D03" w:rsidP="00345D9B">
            <w:pPr>
              <w:rPr>
                <w:b w:val="0"/>
                <w:color w:val="000000"/>
                <w:sz w:val="18"/>
                <w:szCs w:val="18"/>
              </w:rPr>
            </w:pPr>
            <w:r w:rsidRPr="00AA43C5">
              <w:rPr>
                <w:b w:val="0"/>
                <w:color w:val="000000"/>
                <w:sz w:val="18"/>
                <w:szCs w:val="18"/>
              </w:rPr>
              <w:t>Recuperação de Despesas</w:t>
            </w:r>
          </w:p>
        </w:tc>
        <w:tc>
          <w:tcPr>
            <w:tcW w:w="637" w:type="pct"/>
            <w:noWrap/>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17" w:type="pct"/>
            <w:noWrap/>
          </w:tcPr>
          <w:p w:rsidR="00365D03" w:rsidRPr="002A2239"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8.660</w:t>
            </w:r>
          </w:p>
        </w:tc>
        <w:tc>
          <w:tcPr>
            <w:tcW w:w="617" w:type="pct"/>
          </w:tcPr>
          <w:p w:rsidR="00365D03" w:rsidRPr="002A2239"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8.660</w:t>
            </w:r>
          </w:p>
        </w:tc>
        <w:tc>
          <w:tcPr>
            <w:tcW w:w="617" w:type="pct"/>
          </w:tcPr>
          <w:p w:rsidR="00365D03" w:rsidRPr="002A2239"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A2239">
              <w:rPr>
                <w:color w:val="000000"/>
                <w:sz w:val="18"/>
                <w:szCs w:val="18"/>
              </w:rPr>
              <w:t> </w:t>
            </w:r>
          </w:p>
        </w:tc>
      </w:tr>
      <w:tr w:rsidR="00365D03" w:rsidRPr="00E4068E"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tcPr>
          <w:p w:rsidR="00365D03" w:rsidRPr="00AA43C5" w:rsidRDefault="00365D03" w:rsidP="00345D9B">
            <w:pPr>
              <w:rPr>
                <w:b w:val="0"/>
                <w:color w:val="000000"/>
                <w:sz w:val="18"/>
                <w:szCs w:val="18"/>
              </w:rPr>
            </w:pPr>
            <w:r w:rsidRPr="00AA43C5">
              <w:rPr>
                <w:b w:val="0"/>
                <w:color w:val="000000"/>
                <w:sz w:val="18"/>
                <w:szCs w:val="18"/>
              </w:rPr>
              <w:t xml:space="preserve"> Outras Despesas Financeiras </w:t>
            </w:r>
          </w:p>
        </w:tc>
        <w:tc>
          <w:tcPr>
            <w:tcW w:w="637" w:type="pct"/>
            <w:noWrap/>
          </w:tcPr>
          <w:p w:rsidR="00365D03" w:rsidRPr="00AA43C5"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t>
            </w:r>
            <w:r w:rsidR="00365D03" w:rsidRPr="00AA43C5">
              <w:rPr>
                <w:color w:val="000000"/>
                <w:sz w:val="18"/>
                <w:szCs w:val="18"/>
              </w:rPr>
              <w:t>12.855</w:t>
            </w:r>
            <w:r>
              <w:rPr>
                <w:color w:val="000000"/>
                <w:sz w:val="18"/>
                <w:szCs w:val="18"/>
              </w:rPr>
              <w:t>)</w:t>
            </w:r>
          </w:p>
        </w:tc>
        <w:tc>
          <w:tcPr>
            <w:tcW w:w="617" w:type="pct"/>
            <w:noWrap/>
          </w:tcPr>
          <w:p w:rsidR="00365D03" w:rsidRPr="002A2239"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20.051</w:t>
            </w:r>
            <w:r w:rsidRPr="002A2239">
              <w:rPr>
                <w:color w:val="000000"/>
                <w:sz w:val="18"/>
                <w:szCs w:val="18"/>
              </w:rPr>
              <w:t>)</w:t>
            </w:r>
          </w:p>
        </w:tc>
        <w:tc>
          <w:tcPr>
            <w:tcW w:w="617" w:type="pct"/>
          </w:tcPr>
          <w:p w:rsidR="00365D03" w:rsidRPr="002A2239"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w:t>
            </w:r>
            <w:r w:rsidR="00365D03" w:rsidRPr="002A2239">
              <w:rPr>
                <w:color w:val="000000"/>
                <w:sz w:val="18"/>
                <w:szCs w:val="18"/>
              </w:rPr>
              <w:t>7.196)</w:t>
            </w:r>
          </w:p>
        </w:tc>
        <w:tc>
          <w:tcPr>
            <w:tcW w:w="617" w:type="pct"/>
          </w:tcPr>
          <w:p w:rsidR="00365D03" w:rsidRPr="002A2239" w:rsidRDefault="00365D03" w:rsidP="00703F7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2239">
              <w:rPr>
                <w:color w:val="000000"/>
                <w:sz w:val="18"/>
                <w:szCs w:val="18"/>
              </w:rPr>
              <w:t>56,0</w:t>
            </w:r>
          </w:p>
        </w:tc>
      </w:tr>
      <w:tr w:rsidR="00365D03" w:rsidRPr="00585225"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Cs w:val="0"/>
                <w:color w:val="000000"/>
                <w:sz w:val="18"/>
                <w:szCs w:val="18"/>
              </w:rPr>
            </w:pPr>
            <w:r w:rsidRPr="00AA43C5">
              <w:rPr>
                <w:color w:val="000000"/>
                <w:sz w:val="18"/>
                <w:szCs w:val="18"/>
              </w:rPr>
              <w:t xml:space="preserve"> Subtotal </w:t>
            </w:r>
          </w:p>
        </w:tc>
        <w:tc>
          <w:tcPr>
            <w:tcW w:w="637" w:type="pct"/>
            <w:noWrap/>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w:t>
            </w:r>
            <w:r w:rsidR="00365D03" w:rsidRPr="00AA43C5">
              <w:rPr>
                <w:b/>
                <w:bCs/>
                <w:color w:val="000000"/>
                <w:sz w:val="18"/>
                <w:szCs w:val="18"/>
              </w:rPr>
              <w:t>201.225</w:t>
            </w:r>
            <w:r>
              <w:rPr>
                <w:b/>
                <w:bCs/>
                <w:color w:val="000000"/>
                <w:sz w:val="18"/>
                <w:szCs w:val="18"/>
              </w:rPr>
              <w:t>)</w:t>
            </w:r>
          </w:p>
        </w:tc>
        <w:tc>
          <w:tcPr>
            <w:tcW w:w="617" w:type="pct"/>
            <w:noWrap/>
            <w:hideMark/>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w:t>
            </w:r>
            <w:r w:rsidR="00365D03" w:rsidRPr="00AA43C5">
              <w:rPr>
                <w:b/>
                <w:bCs/>
                <w:color w:val="000000"/>
                <w:sz w:val="18"/>
                <w:szCs w:val="18"/>
              </w:rPr>
              <w:t>197.272</w:t>
            </w:r>
            <w:r>
              <w:rPr>
                <w:b/>
                <w:bCs/>
                <w:color w:val="000000"/>
                <w:sz w:val="18"/>
                <w:szCs w:val="18"/>
              </w:rPr>
              <w:t>)</w:t>
            </w:r>
          </w:p>
        </w:tc>
        <w:tc>
          <w:tcPr>
            <w:tcW w:w="617" w:type="pct"/>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AA43C5">
              <w:rPr>
                <w:b/>
                <w:color w:val="000000"/>
                <w:sz w:val="18"/>
                <w:szCs w:val="18"/>
              </w:rPr>
              <w:t>3.953</w:t>
            </w:r>
          </w:p>
        </w:tc>
        <w:tc>
          <w:tcPr>
            <w:tcW w:w="617" w:type="pct"/>
          </w:tcPr>
          <w:p w:rsidR="00365D03" w:rsidRPr="00AA43C5" w:rsidRDefault="00381803" w:rsidP="00703F75">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w:t>
            </w:r>
            <w:r w:rsidR="00365D03" w:rsidRPr="00AA43C5">
              <w:rPr>
                <w:b/>
                <w:color w:val="000000"/>
                <w:sz w:val="18"/>
                <w:szCs w:val="18"/>
              </w:rPr>
              <w:t>2,0)</w:t>
            </w:r>
          </w:p>
        </w:tc>
      </w:tr>
      <w:tr w:rsidR="00365D03" w:rsidRPr="00585225" w:rsidTr="00345D9B">
        <w:trPr>
          <w:gridAfter w:val="1"/>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Cs w:val="0"/>
                <w:color w:val="000000"/>
                <w:sz w:val="18"/>
                <w:szCs w:val="18"/>
              </w:rPr>
            </w:pPr>
            <w:r w:rsidRPr="00AA43C5">
              <w:rPr>
                <w:color w:val="000000"/>
                <w:sz w:val="18"/>
                <w:szCs w:val="18"/>
              </w:rPr>
              <w:t xml:space="preserve"> Variação Cambial Sobre Fatura de Energia Elétrica</w:t>
            </w:r>
          </w:p>
        </w:tc>
        <w:tc>
          <w:tcPr>
            <w:tcW w:w="637" w:type="pct"/>
            <w:noWrap/>
          </w:tcPr>
          <w:p w:rsidR="00365D03" w:rsidRPr="00AA43C5" w:rsidRDefault="00381803" w:rsidP="00345D9B">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w:t>
            </w:r>
            <w:r w:rsidR="00365D03" w:rsidRPr="00AA43C5">
              <w:rPr>
                <w:b/>
                <w:bCs/>
                <w:color w:val="000000"/>
                <w:sz w:val="18"/>
                <w:szCs w:val="18"/>
              </w:rPr>
              <w:t>42.922</w:t>
            </w:r>
            <w:r>
              <w:rPr>
                <w:b/>
                <w:bCs/>
                <w:color w:val="000000"/>
                <w:sz w:val="18"/>
                <w:szCs w:val="18"/>
              </w:rPr>
              <w:t>)</w:t>
            </w:r>
          </w:p>
        </w:tc>
        <w:tc>
          <w:tcPr>
            <w:tcW w:w="617" w:type="pct"/>
            <w:noWrap/>
            <w:hideMark/>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AA43C5">
              <w:rPr>
                <w:b/>
                <w:bCs/>
                <w:color w:val="000000"/>
                <w:sz w:val="18"/>
                <w:szCs w:val="18"/>
              </w:rPr>
              <w:t>14.457</w:t>
            </w:r>
          </w:p>
        </w:tc>
        <w:tc>
          <w:tcPr>
            <w:tcW w:w="617" w:type="pct"/>
          </w:tcPr>
          <w:p w:rsidR="00365D03" w:rsidRPr="00AA43C5" w:rsidRDefault="00365D03" w:rsidP="00345D9B">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AA43C5">
              <w:rPr>
                <w:b/>
                <w:color w:val="000000"/>
                <w:sz w:val="18"/>
                <w:szCs w:val="18"/>
              </w:rPr>
              <w:t>57.379</w:t>
            </w:r>
          </w:p>
        </w:tc>
        <w:tc>
          <w:tcPr>
            <w:tcW w:w="617" w:type="pct"/>
          </w:tcPr>
          <w:p w:rsidR="00365D03" w:rsidRPr="00AA43C5" w:rsidRDefault="00381803" w:rsidP="00703F75">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w:t>
            </w:r>
            <w:r w:rsidR="00365D03" w:rsidRPr="00AA43C5">
              <w:rPr>
                <w:b/>
                <w:color w:val="000000"/>
                <w:sz w:val="18"/>
                <w:szCs w:val="18"/>
              </w:rPr>
              <w:t>133,7)</w:t>
            </w:r>
          </w:p>
        </w:tc>
      </w:tr>
      <w:tr w:rsidR="00365D03" w:rsidRPr="00585225" w:rsidTr="00345D9B">
        <w:trPr>
          <w:gridAfter w:val="1"/>
          <w:cnfStyle w:val="000000100000" w:firstRow="0" w:lastRow="0" w:firstColumn="0" w:lastColumn="0" w:oddVBand="0" w:evenVBand="0" w:oddHBand="1" w:evenHBand="0" w:firstRowFirstColumn="0" w:firstRowLastColumn="0" w:lastRowFirstColumn="0" w:lastRowLastColumn="0"/>
          <w:wAfter w:w="7" w:type="pct"/>
          <w:trHeight w:val="238"/>
        </w:trPr>
        <w:tc>
          <w:tcPr>
            <w:cnfStyle w:val="001000000000" w:firstRow="0" w:lastRow="0" w:firstColumn="1" w:lastColumn="0" w:oddVBand="0" w:evenVBand="0" w:oddHBand="0" w:evenHBand="0" w:firstRowFirstColumn="0" w:firstRowLastColumn="0" w:lastRowFirstColumn="0" w:lastRowLastColumn="0"/>
            <w:tcW w:w="2505" w:type="pct"/>
            <w:noWrap/>
            <w:hideMark/>
          </w:tcPr>
          <w:p w:rsidR="00365D03" w:rsidRPr="00AA43C5" w:rsidRDefault="00365D03" w:rsidP="00345D9B">
            <w:pPr>
              <w:rPr>
                <w:bCs w:val="0"/>
                <w:color w:val="000000"/>
                <w:sz w:val="18"/>
                <w:szCs w:val="18"/>
              </w:rPr>
            </w:pPr>
            <w:r w:rsidRPr="00AA43C5">
              <w:rPr>
                <w:color w:val="000000"/>
                <w:sz w:val="18"/>
                <w:szCs w:val="18"/>
              </w:rPr>
              <w:t xml:space="preserve"> Resultado Financeiro </w:t>
            </w:r>
          </w:p>
        </w:tc>
        <w:tc>
          <w:tcPr>
            <w:tcW w:w="637" w:type="pct"/>
            <w:noWrap/>
          </w:tcPr>
          <w:p w:rsidR="00365D03" w:rsidRPr="00AA43C5" w:rsidRDefault="00381803" w:rsidP="00345D9B">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w:t>
            </w:r>
            <w:r w:rsidR="00365D03" w:rsidRPr="00AA43C5">
              <w:rPr>
                <w:b/>
                <w:bCs/>
                <w:color w:val="000000"/>
                <w:sz w:val="18"/>
                <w:szCs w:val="18"/>
              </w:rPr>
              <w:t>109.367</w:t>
            </w:r>
            <w:r w:rsidR="00294637">
              <w:rPr>
                <w:b/>
                <w:bCs/>
                <w:color w:val="000000"/>
                <w:sz w:val="18"/>
                <w:szCs w:val="18"/>
              </w:rPr>
              <w:t>)</w:t>
            </w:r>
          </w:p>
        </w:tc>
        <w:tc>
          <w:tcPr>
            <w:tcW w:w="617" w:type="pct"/>
            <w:noWrap/>
            <w:hideMark/>
          </w:tcPr>
          <w:p w:rsidR="00365D03" w:rsidRPr="00AA43C5" w:rsidRDefault="00381803" w:rsidP="00DD39D0">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w:t>
            </w:r>
            <w:r w:rsidR="00365D03" w:rsidRPr="00AA43C5">
              <w:rPr>
                <w:b/>
                <w:bCs/>
                <w:color w:val="000000"/>
                <w:sz w:val="18"/>
                <w:szCs w:val="18"/>
              </w:rPr>
              <w:t>36.74</w:t>
            </w:r>
            <w:r w:rsidR="00DD39D0">
              <w:rPr>
                <w:b/>
                <w:bCs/>
                <w:color w:val="000000"/>
                <w:sz w:val="18"/>
                <w:szCs w:val="18"/>
              </w:rPr>
              <w:t>2</w:t>
            </w:r>
            <w:r>
              <w:rPr>
                <w:b/>
                <w:bCs/>
                <w:color w:val="000000"/>
                <w:sz w:val="18"/>
                <w:szCs w:val="18"/>
              </w:rPr>
              <w:t>)</w:t>
            </w:r>
          </w:p>
        </w:tc>
        <w:tc>
          <w:tcPr>
            <w:tcW w:w="617" w:type="pct"/>
          </w:tcPr>
          <w:p w:rsidR="00365D03" w:rsidRPr="00AA43C5" w:rsidRDefault="00365D03" w:rsidP="00345D9B">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AA43C5">
              <w:rPr>
                <w:b/>
                <w:color w:val="000000"/>
                <w:sz w:val="18"/>
                <w:szCs w:val="18"/>
              </w:rPr>
              <w:t>72.62</w:t>
            </w:r>
            <w:r w:rsidR="00DD39D0">
              <w:rPr>
                <w:b/>
                <w:color w:val="000000"/>
                <w:sz w:val="18"/>
                <w:szCs w:val="18"/>
              </w:rPr>
              <w:t>5</w:t>
            </w:r>
          </w:p>
        </w:tc>
        <w:tc>
          <w:tcPr>
            <w:tcW w:w="617" w:type="pct"/>
          </w:tcPr>
          <w:p w:rsidR="00365D03" w:rsidRPr="00AA43C5" w:rsidRDefault="00381803" w:rsidP="00703F75">
            <w:pPr>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w:t>
            </w:r>
            <w:r w:rsidR="00365D03" w:rsidRPr="00AA43C5">
              <w:rPr>
                <w:b/>
                <w:color w:val="000000"/>
                <w:sz w:val="18"/>
                <w:szCs w:val="18"/>
              </w:rPr>
              <w:t>66,4)</w:t>
            </w:r>
          </w:p>
        </w:tc>
      </w:tr>
    </w:tbl>
    <w:p w:rsidR="00294637" w:rsidRPr="000336EC" w:rsidRDefault="00294637" w:rsidP="00294637">
      <w:pPr>
        <w:spacing w:before="240" w:after="240"/>
        <w:jc w:val="both"/>
        <w:rPr>
          <w:sz w:val="22"/>
          <w:szCs w:val="22"/>
        </w:rPr>
      </w:pPr>
      <w:r w:rsidRPr="000336EC">
        <w:rPr>
          <w:sz w:val="22"/>
          <w:szCs w:val="22"/>
        </w:rPr>
        <w:t xml:space="preserve">As principais variações na composição do </w:t>
      </w:r>
      <w:r>
        <w:rPr>
          <w:sz w:val="22"/>
          <w:szCs w:val="22"/>
        </w:rPr>
        <w:t>R</w:t>
      </w:r>
      <w:r w:rsidRPr="000336EC">
        <w:rPr>
          <w:sz w:val="22"/>
          <w:szCs w:val="22"/>
        </w:rPr>
        <w:t xml:space="preserve">esultado </w:t>
      </w:r>
      <w:r>
        <w:rPr>
          <w:sz w:val="22"/>
          <w:szCs w:val="22"/>
        </w:rPr>
        <w:t>F</w:t>
      </w:r>
      <w:r w:rsidRPr="000336EC">
        <w:rPr>
          <w:sz w:val="22"/>
          <w:szCs w:val="22"/>
        </w:rPr>
        <w:t>inanceiro do período foram as seguintes:</w:t>
      </w:r>
    </w:p>
    <w:p w:rsidR="00294637" w:rsidRPr="00255BDF" w:rsidRDefault="00294637" w:rsidP="00294637">
      <w:pPr>
        <w:pStyle w:val="PargrafodaLista"/>
        <w:numPr>
          <w:ilvl w:val="0"/>
          <w:numId w:val="9"/>
        </w:numPr>
        <w:spacing w:before="240" w:after="240"/>
        <w:jc w:val="both"/>
        <w:rPr>
          <w:rFonts w:ascii="Times New Roman" w:hAnsi="Times New Roman" w:cs="Times New Roman"/>
          <w:lang w:val="pt-BR"/>
        </w:rPr>
      </w:pPr>
      <w:r w:rsidRPr="00255BDF">
        <w:rPr>
          <w:rFonts w:ascii="Times New Roman" w:hAnsi="Times New Roman" w:cs="Times New Roman"/>
          <w:lang w:val="pt-BR"/>
        </w:rPr>
        <w:t xml:space="preserve">O desempenho foi influenciado pelo aumento de R$ 20.692 mil de </w:t>
      </w:r>
      <w:r>
        <w:rPr>
          <w:rFonts w:ascii="Times New Roman" w:hAnsi="Times New Roman" w:cs="Times New Roman"/>
          <w:lang w:val="pt-BR"/>
        </w:rPr>
        <w:t>J</w:t>
      </w:r>
      <w:r w:rsidRPr="00255BDF">
        <w:rPr>
          <w:rFonts w:ascii="Times New Roman" w:hAnsi="Times New Roman" w:cs="Times New Roman"/>
          <w:lang w:val="pt-BR"/>
        </w:rPr>
        <w:t>uros/</w:t>
      </w:r>
      <w:r>
        <w:rPr>
          <w:rFonts w:ascii="Times New Roman" w:hAnsi="Times New Roman" w:cs="Times New Roman"/>
          <w:lang w:val="pt-BR"/>
        </w:rPr>
        <w:t>V</w:t>
      </w:r>
      <w:r w:rsidRPr="00255BDF">
        <w:rPr>
          <w:rFonts w:ascii="Times New Roman" w:hAnsi="Times New Roman" w:cs="Times New Roman"/>
          <w:lang w:val="pt-BR"/>
        </w:rPr>
        <w:t xml:space="preserve">ariações </w:t>
      </w:r>
      <w:r>
        <w:rPr>
          <w:rFonts w:ascii="Times New Roman" w:hAnsi="Times New Roman" w:cs="Times New Roman"/>
          <w:lang w:val="pt-BR"/>
        </w:rPr>
        <w:t>M</w:t>
      </w:r>
      <w:r w:rsidRPr="00255BDF">
        <w:rPr>
          <w:rFonts w:ascii="Times New Roman" w:hAnsi="Times New Roman" w:cs="Times New Roman"/>
          <w:lang w:val="pt-BR"/>
        </w:rPr>
        <w:t xml:space="preserve">onetárias </w:t>
      </w:r>
      <w:r>
        <w:rPr>
          <w:rFonts w:ascii="Times New Roman" w:hAnsi="Times New Roman" w:cs="Times New Roman"/>
          <w:lang w:val="pt-BR"/>
        </w:rPr>
        <w:t>S</w:t>
      </w:r>
      <w:r w:rsidRPr="00255BDF">
        <w:rPr>
          <w:rFonts w:ascii="Times New Roman" w:hAnsi="Times New Roman" w:cs="Times New Roman"/>
          <w:lang w:val="pt-BR"/>
        </w:rPr>
        <w:t xml:space="preserve">obre </w:t>
      </w:r>
      <w:r>
        <w:rPr>
          <w:rFonts w:ascii="Times New Roman" w:hAnsi="Times New Roman" w:cs="Times New Roman"/>
          <w:lang w:val="pt-BR"/>
        </w:rPr>
        <w:t>A</w:t>
      </w:r>
      <w:r w:rsidRPr="00255BDF">
        <w:rPr>
          <w:rFonts w:ascii="Times New Roman" w:hAnsi="Times New Roman" w:cs="Times New Roman"/>
          <w:lang w:val="pt-BR"/>
        </w:rPr>
        <w:t xml:space="preserve">tivos, que em 2016 totalizou R$ 42.016 mil (R$ 21.324 mil em 2015) derivado, principalmente, </w:t>
      </w:r>
      <w:r>
        <w:rPr>
          <w:rFonts w:ascii="Times New Roman" w:hAnsi="Times New Roman" w:cs="Times New Roman"/>
          <w:lang w:val="pt-BR"/>
        </w:rPr>
        <w:t xml:space="preserve">da </w:t>
      </w:r>
      <w:r w:rsidRPr="00255BDF">
        <w:rPr>
          <w:rFonts w:ascii="Times New Roman" w:hAnsi="Times New Roman"/>
          <w:bCs/>
          <w:lang w:val="pt-BR"/>
        </w:rPr>
        <w:t xml:space="preserve">atualização da Conta de Energia </w:t>
      </w:r>
      <w:r>
        <w:rPr>
          <w:rFonts w:ascii="Times New Roman" w:hAnsi="Times New Roman"/>
          <w:bCs/>
          <w:lang w:val="pt-BR"/>
        </w:rPr>
        <w:t xml:space="preserve">Elétrica, no valor de </w:t>
      </w:r>
      <w:r w:rsidRPr="00255BDF">
        <w:rPr>
          <w:rFonts w:ascii="Times New Roman" w:hAnsi="Times New Roman"/>
          <w:bCs/>
          <w:lang w:val="pt-BR"/>
        </w:rPr>
        <w:t>R$ 18.313 mil e</w:t>
      </w:r>
      <w:r>
        <w:rPr>
          <w:rFonts w:ascii="Times New Roman" w:hAnsi="Times New Roman"/>
          <w:bCs/>
          <w:lang w:val="pt-BR"/>
        </w:rPr>
        <w:t xml:space="preserve"> da</w:t>
      </w:r>
      <w:r w:rsidRPr="00255BDF">
        <w:rPr>
          <w:rFonts w:ascii="Times New Roman" w:hAnsi="Times New Roman"/>
          <w:bCs/>
          <w:lang w:val="pt-BR"/>
        </w:rPr>
        <w:t xml:space="preserve"> </w:t>
      </w:r>
      <w:r>
        <w:rPr>
          <w:rFonts w:ascii="Times New Roman" w:hAnsi="Times New Roman"/>
          <w:bCs/>
          <w:lang w:val="pt-BR"/>
        </w:rPr>
        <w:t>B</w:t>
      </w:r>
      <w:r w:rsidRPr="00255BDF">
        <w:rPr>
          <w:rFonts w:ascii="Times New Roman" w:hAnsi="Times New Roman"/>
          <w:bCs/>
          <w:lang w:val="pt-BR"/>
        </w:rPr>
        <w:t xml:space="preserve">aixa de </w:t>
      </w:r>
      <w:r>
        <w:rPr>
          <w:rFonts w:ascii="Times New Roman" w:hAnsi="Times New Roman"/>
          <w:bCs/>
          <w:lang w:val="pt-BR"/>
        </w:rPr>
        <w:t>A</w:t>
      </w:r>
      <w:r w:rsidRPr="00255BDF">
        <w:rPr>
          <w:rFonts w:ascii="Times New Roman" w:hAnsi="Times New Roman"/>
          <w:bCs/>
          <w:lang w:val="pt-BR"/>
        </w:rPr>
        <w:t xml:space="preserve">tualização </w:t>
      </w:r>
      <w:r>
        <w:rPr>
          <w:rFonts w:ascii="Times New Roman" w:hAnsi="Times New Roman"/>
          <w:bCs/>
          <w:lang w:val="pt-BR"/>
        </w:rPr>
        <w:t>M</w:t>
      </w:r>
      <w:r w:rsidRPr="00255BDF">
        <w:rPr>
          <w:rFonts w:ascii="Times New Roman" w:hAnsi="Times New Roman"/>
          <w:bCs/>
          <w:lang w:val="pt-BR"/>
        </w:rPr>
        <w:t xml:space="preserve">onetária da Contribuição de Iluminação Pública prescrita </w:t>
      </w:r>
      <w:r>
        <w:rPr>
          <w:rFonts w:ascii="Times New Roman" w:hAnsi="Times New Roman"/>
          <w:bCs/>
          <w:lang w:val="pt-BR"/>
        </w:rPr>
        <w:t xml:space="preserve">correspondente a </w:t>
      </w:r>
      <w:r w:rsidRPr="00255BDF">
        <w:rPr>
          <w:rFonts w:ascii="Times New Roman" w:hAnsi="Times New Roman"/>
          <w:bCs/>
          <w:lang w:val="pt-BR"/>
        </w:rPr>
        <w:t>R$ 16.740 mil.</w:t>
      </w:r>
    </w:p>
    <w:p w:rsidR="00294637" w:rsidRPr="009A0168" w:rsidRDefault="00294637" w:rsidP="00294637">
      <w:pPr>
        <w:pStyle w:val="PargrafodaLista"/>
        <w:numPr>
          <w:ilvl w:val="0"/>
          <w:numId w:val="9"/>
        </w:numPr>
        <w:spacing w:before="240" w:after="240"/>
        <w:jc w:val="both"/>
        <w:rPr>
          <w:rFonts w:ascii="Times New Roman" w:hAnsi="Times New Roman" w:cs="Times New Roman"/>
          <w:lang w:val="pt-BR"/>
        </w:rPr>
      </w:pPr>
      <w:r w:rsidRPr="009A0168">
        <w:rPr>
          <w:rFonts w:ascii="Times New Roman" w:hAnsi="Times New Roman" w:cs="Times New Roman"/>
          <w:lang w:val="pt-BR"/>
        </w:rPr>
        <w:lastRenderedPageBreak/>
        <w:t xml:space="preserve">A </w:t>
      </w:r>
      <w:r w:rsidR="00B560A5">
        <w:rPr>
          <w:rFonts w:ascii="Times New Roman" w:hAnsi="Times New Roman" w:cs="Times New Roman"/>
          <w:lang w:val="pt-BR"/>
        </w:rPr>
        <w:t xml:space="preserve">rubrica </w:t>
      </w:r>
      <w:r>
        <w:rPr>
          <w:rFonts w:ascii="Times New Roman" w:hAnsi="Times New Roman" w:cs="Times New Roman"/>
          <w:lang w:val="pt-BR"/>
        </w:rPr>
        <w:t>V</w:t>
      </w:r>
      <w:r w:rsidRPr="009A0168">
        <w:rPr>
          <w:rFonts w:ascii="Times New Roman" w:hAnsi="Times New Roman" w:cs="Times New Roman"/>
          <w:lang w:val="pt-BR"/>
        </w:rPr>
        <w:t xml:space="preserve">ariação </w:t>
      </w:r>
      <w:r>
        <w:rPr>
          <w:rFonts w:ascii="Times New Roman" w:hAnsi="Times New Roman" w:cs="Times New Roman"/>
          <w:lang w:val="pt-BR"/>
        </w:rPr>
        <w:t>C</w:t>
      </w:r>
      <w:r w:rsidRPr="009A0168">
        <w:rPr>
          <w:rFonts w:ascii="Times New Roman" w:hAnsi="Times New Roman" w:cs="Times New Roman"/>
          <w:lang w:val="pt-BR"/>
        </w:rPr>
        <w:t>ambial</w:t>
      </w:r>
      <w:r w:rsidR="00B560A5">
        <w:rPr>
          <w:rFonts w:ascii="Times New Roman" w:hAnsi="Times New Roman" w:cs="Times New Roman"/>
          <w:lang w:val="pt-BR"/>
        </w:rPr>
        <w:t xml:space="preserve"> Sobre Fatura de Energia Elétrica considerando</w:t>
      </w:r>
      <w:r w:rsidRPr="009A0168">
        <w:rPr>
          <w:rFonts w:ascii="Times New Roman" w:hAnsi="Times New Roman" w:cs="Times New Roman"/>
          <w:lang w:val="pt-BR"/>
        </w:rPr>
        <w:t xml:space="preserve"> as faturas de compra de energia elétrica de Itaipu </w:t>
      </w:r>
      <w:r w:rsidR="00B560A5">
        <w:rPr>
          <w:rFonts w:ascii="Times New Roman" w:hAnsi="Times New Roman" w:cs="Times New Roman"/>
          <w:lang w:val="pt-BR"/>
        </w:rPr>
        <w:t>Binacional no período de 2015 a 2016, variou positivamente no montante de</w:t>
      </w:r>
      <w:r w:rsidRPr="009A0168">
        <w:rPr>
          <w:rFonts w:ascii="Times New Roman" w:hAnsi="Times New Roman" w:cs="Times New Roman"/>
          <w:lang w:val="pt-BR"/>
        </w:rPr>
        <w:t xml:space="preserve"> R$ 57.379</w:t>
      </w:r>
      <w:r w:rsidR="00B560A5">
        <w:rPr>
          <w:rFonts w:ascii="Times New Roman" w:hAnsi="Times New Roman" w:cs="Times New Roman"/>
          <w:lang w:val="pt-BR"/>
        </w:rPr>
        <w:t xml:space="preserve"> mil</w:t>
      </w:r>
      <w:r w:rsidRPr="009A0168">
        <w:rPr>
          <w:rFonts w:ascii="Times New Roman" w:hAnsi="Times New Roman" w:cs="Times New Roman"/>
          <w:lang w:val="pt-BR"/>
        </w:rPr>
        <w:t>, justificada pela queda do dólar</w:t>
      </w:r>
      <w:r>
        <w:rPr>
          <w:rFonts w:ascii="Times New Roman" w:hAnsi="Times New Roman" w:cs="Times New Roman"/>
          <w:lang w:val="pt-BR"/>
        </w:rPr>
        <w:t>.</w:t>
      </w:r>
    </w:p>
    <w:p w:rsidR="00294637" w:rsidRPr="009A0168" w:rsidRDefault="00B560A5" w:rsidP="00294637">
      <w:pPr>
        <w:pStyle w:val="PargrafodaLista"/>
        <w:numPr>
          <w:ilvl w:val="0"/>
          <w:numId w:val="9"/>
        </w:numPr>
        <w:spacing w:before="240" w:after="240"/>
        <w:jc w:val="both"/>
        <w:rPr>
          <w:rFonts w:ascii="Times New Roman" w:hAnsi="Times New Roman" w:cs="Times New Roman"/>
          <w:lang w:val="pt-BR"/>
        </w:rPr>
      </w:pPr>
      <w:r>
        <w:rPr>
          <w:rFonts w:ascii="Times New Roman" w:hAnsi="Times New Roman" w:cs="Times New Roman"/>
          <w:lang w:val="pt-BR"/>
        </w:rPr>
        <w:t>F</w:t>
      </w:r>
      <w:r w:rsidR="00294637" w:rsidRPr="009A0168">
        <w:rPr>
          <w:rFonts w:ascii="Times New Roman" w:hAnsi="Times New Roman" w:cs="Times New Roman"/>
          <w:lang w:val="pt-BR"/>
        </w:rPr>
        <w:t>oram contabilizadas</w:t>
      </w:r>
      <w:r>
        <w:rPr>
          <w:rFonts w:ascii="Times New Roman" w:hAnsi="Times New Roman" w:cs="Times New Roman"/>
          <w:lang w:val="pt-BR"/>
        </w:rPr>
        <w:t xml:space="preserve"> ainda</w:t>
      </w:r>
      <w:r w:rsidR="00294637" w:rsidRPr="009A0168">
        <w:rPr>
          <w:rFonts w:ascii="Times New Roman" w:hAnsi="Times New Roman" w:cs="Times New Roman"/>
          <w:lang w:val="pt-BR"/>
        </w:rPr>
        <w:t xml:space="preserve"> </w:t>
      </w:r>
      <w:r>
        <w:rPr>
          <w:rFonts w:ascii="Times New Roman" w:hAnsi="Times New Roman" w:cs="Times New Roman"/>
          <w:lang w:val="pt-BR"/>
        </w:rPr>
        <w:t>as A</w:t>
      </w:r>
      <w:r w:rsidR="00294637" w:rsidRPr="009A0168">
        <w:rPr>
          <w:rFonts w:ascii="Times New Roman" w:hAnsi="Times New Roman" w:cs="Times New Roman"/>
          <w:lang w:val="pt-BR"/>
        </w:rPr>
        <w:t xml:space="preserve">tualizações </w:t>
      </w:r>
      <w:r>
        <w:rPr>
          <w:rFonts w:ascii="Times New Roman" w:hAnsi="Times New Roman" w:cs="Times New Roman"/>
          <w:lang w:val="pt-BR"/>
        </w:rPr>
        <w:t>M</w:t>
      </w:r>
      <w:r w:rsidR="00294637" w:rsidRPr="009A0168">
        <w:rPr>
          <w:rFonts w:ascii="Times New Roman" w:hAnsi="Times New Roman" w:cs="Times New Roman"/>
          <w:lang w:val="pt-BR"/>
        </w:rPr>
        <w:t xml:space="preserve">onetárias dos </w:t>
      </w:r>
      <w:r>
        <w:rPr>
          <w:rFonts w:ascii="Times New Roman" w:hAnsi="Times New Roman" w:cs="Times New Roman"/>
          <w:lang w:val="pt-BR"/>
        </w:rPr>
        <w:t>A</w:t>
      </w:r>
      <w:r w:rsidR="00294637" w:rsidRPr="009A0168">
        <w:rPr>
          <w:rFonts w:ascii="Times New Roman" w:hAnsi="Times New Roman" w:cs="Times New Roman"/>
          <w:lang w:val="pt-BR"/>
        </w:rPr>
        <w:t xml:space="preserve">tivos e </w:t>
      </w:r>
      <w:r>
        <w:rPr>
          <w:rFonts w:ascii="Times New Roman" w:hAnsi="Times New Roman" w:cs="Times New Roman"/>
          <w:lang w:val="pt-BR"/>
        </w:rPr>
        <w:t>P</w:t>
      </w:r>
      <w:r w:rsidR="00294637" w:rsidRPr="009A0168">
        <w:rPr>
          <w:rFonts w:ascii="Times New Roman" w:hAnsi="Times New Roman" w:cs="Times New Roman"/>
          <w:lang w:val="pt-BR"/>
        </w:rPr>
        <w:t xml:space="preserve">assivos </w:t>
      </w:r>
      <w:r>
        <w:rPr>
          <w:rFonts w:ascii="Times New Roman" w:hAnsi="Times New Roman" w:cs="Times New Roman"/>
          <w:lang w:val="pt-BR"/>
        </w:rPr>
        <w:t>R</w:t>
      </w:r>
      <w:r w:rsidR="00294637" w:rsidRPr="009A0168">
        <w:rPr>
          <w:rFonts w:ascii="Times New Roman" w:hAnsi="Times New Roman" w:cs="Times New Roman"/>
          <w:lang w:val="pt-BR"/>
        </w:rPr>
        <w:t>egulatórios, que geraram uma repercussão positiva de R$ 23.084 mil (R$ 53.704 mil em 2015).</w:t>
      </w:r>
    </w:p>
    <w:p w:rsidR="00294637" w:rsidRPr="009A0168" w:rsidRDefault="00294637" w:rsidP="00294637">
      <w:pPr>
        <w:pStyle w:val="PargrafodaLista"/>
        <w:numPr>
          <w:ilvl w:val="0"/>
          <w:numId w:val="9"/>
        </w:numPr>
        <w:spacing w:before="240" w:after="240"/>
        <w:jc w:val="both"/>
        <w:rPr>
          <w:rFonts w:ascii="Times New Roman" w:hAnsi="Times New Roman" w:cs="Times New Roman"/>
          <w:lang w:val="pt-BR"/>
        </w:rPr>
      </w:pPr>
      <w:r>
        <w:rPr>
          <w:rFonts w:ascii="Times New Roman" w:hAnsi="Times New Roman" w:cs="Times New Roman"/>
          <w:lang w:val="pt-BR"/>
        </w:rPr>
        <w:t>A</w:t>
      </w:r>
      <w:r w:rsidRPr="009A0168">
        <w:rPr>
          <w:rFonts w:ascii="Times New Roman" w:hAnsi="Times New Roman" w:cs="Times New Roman"/>
          <w:lang w:val="pt-BR"/>
        </w:rPr>
        <w:t xml:space="preserve"> rubrica que influenciou negativamente no </w:t>
      </w:r>
      <w:r>
        <w:rPr>
          <w:rFonts w:ascii="Times New Roman" w:hAnsi="Times New Roman" w:cs="Times New Roman"/>
          <w:lang w:val="pt-BR"/>
        </w:rPr>
        <w:t>R</w:t>
      </w:r>
      <w:r w:rsidRPr="009A0168">
        <w:rPr>
          <w:rFonts w:ascii="Times New Roman" w:hAnsi="Times New Roman" w:cs="Times New Roman"/>
          <w:lang w:val="pt-BR"/>
        </w:rPr>
        <w:t xml:space="preserve">esultado </w:t>
      </w:r>
      <w:r>
        <w:rPr>
          <w:rFonts w:ascii="Times New Roman" w:hAnsi="Times New Roman" w:cs="Times New Roman"/>
          <w:lang w:val="pt-BR"/>
        </w:rPr>
        <w:t>F</w:t>
      </w:r>
      <w:r w:rsidRPr="009A0168">
        <w:rPr>
          <w:rFonts w:ascii="Times New Roman" w:hAnsi="Times New Roman" w:cs="Times New Roman"/>
          <w:lang w:val="pt-BR"/>
        </w:rPr>
        <w:t xml:space="preserve">inanceiro foi o aumento dos </w:t>
      </w:r>
      <w:r>
        <w:rPr>
          <w:rFonts w:ascii="Times New Roman" w:hAnsi="Times New Roman" w:cs="Times New Roman"/>
          <w:lang w:val="pt-BR"/>
        </w:rPr>
        <w:t>E</w:t>
      </w:r>
      <w:r w:rsidRPr="009A0168">
        <w:rPr>
          <w:rFonts w:ascii="Times New Roman" w:hAnsi="Times New Roman" w:cs="Times New Roman"/>
          <w:lang w:val="pt-BR"/>
        </w:rPr>
        <w:t xml:space="preserve">ncargos de </w:t>
      </w:r>
      <w:r>
        <w:rPr>
          <w:rFonts w:ascii="Times New Roman" w:hAnsi="Times New Roman" w:cs="Times New Roman"/>
          <w:lang w:val="pt-BR"/>
        </w:rPr>
        <w:t>D</w:t>
      </w:r>
      <w:r w:rsidRPr="009A0168">
        <w:rPr>
          <w:rFonts w:ascii="Times New Roman" w:hAnsi="Times New Roman" w:cs="Times New Roman"/>
          <w:lang w:val="pt-BR"/>
        </w:rPr>
        <w:t xml:space="preserve">ívidas </w:t>
      </w:r>
      <w:r>
        <w:rPr>
          <w:rFonts w:ascii="Times New Roman" w:hAnsi="Times New Roman" w:cs="Times New Roman"/>
          <w:lang w:val="pt-BR"/>
        </w:rPr>
        <w:t>no montante de</w:t>
      </w:r>
      <w:r w:rsidRPr="009A0168">
        <w:rPr>
          <w:rFonts w:ascii="Times New Roman" w:hAnsi="Times New Roman" w:cs="Times New Roman"/>
          <w:lang w:val="pt-BR"/>
        </w:rPr>
        <w:t xml:space="preserve"> R$ 9.309 mil (15,2%), passando de R$ 61.247 mil em 2015, para R$ 70.556 mil</w:t>
      </w:r>
      <w:r w:rsidR="00330568">
        <w:rPr>
          <w:rFonts w:ascii="Times New Roman" w:hAnsi="Times New Roman" w:cs="Times New Roman"/>
          <w:lang w:val="pt-BR"/>
        </w:rPr>
        <w:t xml:space="preserve"> em 2016</w:t>
      </w:r>
      <w:r w:rsidRPr="009A0168">
        <w:rPr>
          <w:rFonts w:ascii="Times New Roman" w:hAnsi="Times New Roman" w:cs="Times New Roman"/>
          <w:lang w:val="pt-BR"/>
        </w:rPr>
        <w:t xml:space="preserve">, afetado pela elevação </w:t>
      </w:r>
      <w:r w:rsidR="00330568">
        <w:rPr>
          <w:rFonts w:ascii="Times New Roman" w:hAnsi="Times New Roman" w:cs="Times New Roman"/>
          <w:lang w:val="pt-BR"/>
        </w:rPr>
        <w:t>d</w:t>
      </w:r>
      <w:r>
        <w:rPr>
          <w:rFonts w:ascii="Times New Roman" w:hAnsi="Times New Roman" w:cs="Times New Roman"/>
          <w:lang w:val="pt-BR"/>
        </w:rPr>
        <w:t>a taxa</w:t>
      </w:r>
      <w:r w:rsidRPr="009A0168">
        <w:rPr>
          <w:rFonts w:ascii="Times New Roman" w:hAnsi="Times New Roman" w:cs="Times New Roman"/>
          <w:lang w:val="pt-BR"/>
        </w:rPr>
        <w:t xml:space="preserve"> </w:t>
      </w:r>
      <w:r>
        <w:rPr>
          <w:rFonts w:ascii="Times New Roman" w:hAnsi="Times New Roman" w:cs="Times New Roman"/>
          <w:lang w:val="pt-BR"/>
        </w:rPr>
        <w:t xml:space="preserve">do </w:t>
      </w:r>
      <w:r w:rsidRPr="009A0168">
        <w:rPr>
          <w:rFonts w:ascii="Times New Roman" w:hAnsi="Times New Roman" w:cs="Times New Roman"/>
          <w:lang w:val="pt-BR"/>
        </w:rPr>
        <w:t>CDI que a</w:t>
      </w:r>
      <w:r>
        <w:rPr>
          <w:rFonts w:ascii="Times New Roman" w:hAnsi="Times New Roman" w:cs="Times New Roman"/>
          <w:lang w:val="pt-BR"/>
        </w:rPr>
        <w:t>lcançou</w:t>
      </w:r>
      <w:r w:rsidRPr="009A0168">
        <w:rPr>
          <w:rFonts w:ascii="Times New Roman" w:hAnsi="Times New Roman" w:cs="Times New Roman"/>
          <w:lang w:val="pt-BR"/>
        </w:rPr>
        <w:t xml:space="preserve"> no período 14,00%</w:t>
      </w:r>
      <w:r>
        <w:rPr>
          <w:rFonts w:ascii="Times New Roman" w:hAnsi="Times New Roman" w:cs="Times New Roman"/>
          <w:lang w:val="pt-BR"/>
        </w:rPr>
        <w:t xml:space="preserve"> a.a</w:t>
      </w:r>
      <w:r w:rsidR="00330568">
        <w:rPr>
          <w:rFonts w:ascii="Times New Roman" w:hAnsi="Times New Roman" w:cs="Times New Roman"/>
          <w:lang w:val="pt-BR"/>
        </w:rPr>
        <w:t>.</w:t>
      </w:r>
      <w:r w:rsidRPr="009A0168">
        <w:rPr>
          <w:rFonts w:ascii="Times New Roman" w:hAnsi="Times New Roman" w:cs="Times New Roman"/>
          <w:lang w:val="pt-BR"/>
        </w:rPr>
        <w:t>, enquanto no período anterior</w:t>
      </w:r>
      <w:r w:rsidR="00330568">
        <w:rPr>
          <w:rFonts w:ascii="Times New Roman" w:hAnsi="Times New Roman" w:cs="Times New Roman"/>
          <w:lang w:val="pt-BR"/>
        </w:rPr>
        <w:t>,</w:t>
      </w:r>
      <w:r w:rsidRPr="009A0168">
        <w:rPr>
          <w:rFonts w:ascii="Times New Roman" w:hAnsi="Times New Roman" w:cs="Times New Roman"/>
          <w:lang w:val="pt-BR"/>
        </w:rPr>
        <w:t xml:space="preserve"> representava 13,24%</w:t>
      </w:r>
      <w:r>
        <w:rPr>
          <w:rFonts w:ascii="Times New Roman" w:hAnsi="Times New Roman" w:cs="Times New Roman"/>
          <w:lang w:val="pt-BR"/>
        </w:rPr>
        <w:t xml:space="preserve"> </w:t>
      </w:r>
      <w:proofErr w:type="gramStart"/>
      <w:r>
        <w:rPr>
          <w:rFonts w:ascii="Times New Roman" w:hAnsi="Times New Roman" w:cs="Times New Roman"/>
          <w:lang w:val="pt-BR"/>
        </w:rPr>
        <w:t>a.a.</w:t>
      </w:r>
      <w:r w:rsidR="00330568">
        <w:rPr>
          <w:rFonts w:ascii="Times New Roman" w:hAnsi="Times New Roman" w:cs="Times New Roman"/>
          <w:lang w:val="pt-BR"/>
        </w:rPr>
        <w:t>.</w:t>
      </w:r>
      <w:proofErr w:type="gramEnd"/>
    </w:p>
    <w:p w:rsidR="00365D03" w:rsidRPr="004C1CCC" w:rsidRDefault="00365D03" w:rsidP="00365D03">
      <w:pPr>
        <w:spacing w:before="240" w:after="240"/>
        <w:rPr>
          <w:b/>
          <w:bCs/>
          <w:sz w:val="22"/>
          <w:szCs w:val="22"/>
        </w:rPr>
      </w:pPr>
      <w:r w:rsidRPr="004C1CCC">
        <w:rPr>
          <w:b/>
          <w:bCs/>
          <w:sz w:val="22"/>
          <w:szCs w:val="22"/>
        </w:rPr>
        <w:t>Outros Indicadores</w:t>
      </w:r>
    </w:p>
    <w:p w:rsidR="00365D03" w:rsidRPr="004C1CCC" w:rsidRDefault="00365D03" w:rsidP="00365D03">
      <w:pPr>
        <w:spacing w:before="240" w:after="240"/>
        <w:rPr>
          <w:b/>
          <w:bCs/>
          <w:sz w:val="22"/>
          <w:szCs w:val="22"/>
        </w:rPr>
      </w:pPr>
      <w:r>
        <w:rPr>
          <w:b/>
          <w:bCs/>
          <w:sz w:val="22"/>
          <w:szCs w:val="22"/>
        </w:rPr>
        <w:t>EBITDA</w:t>
      </w:r>
      <w:r w:rsidRPr="004C1CCC">
        <w:rPr>
          <w:b/>
          <w:bCs/>
          <w:sz w:val="22"/>
          <w:szCs w:val="22"/>
        </w:rPr>
        <w:t xml:space="preserve"> (L</w:t>
      </w:r>
      <w:r>
        <w:rPr>
          <w:b/>
          <w:bCs/>
          <w:sz w:val="22"/>
          <w:szCs w:val="22"/>
        </w:rPr>
        <w:t>AJIDA</w:t>
      </w:r>
      <w:r w:rsidRPr="004C1CCC">
        <w:rPr>
          <w:b/>
          <w:bCs/>
          <w:sz w:val="22"/>
          <w:szCs w:val="22"/>
        </w:rPr>
        <w:t>)</w:t>
      </w:r>
    </w:p>
    <w:tbl>
      <w:tblPr>
        <w:tblStyle w:val="ListaClara-nfase11"/>
        <w:tblW w:w="5000" w:type="pct"/>
        <w:tblLook w:val="04A0" w:firstRow="1" w:lastRow="0" w:firstColumn="1" w:lastColumn="0" w:noHBand="0" w:noVBand="1"/>
      </w:tblPr>
      <w:tblGrid>
        <w:gridCol w:w="4895"/>
        <w:gridCol w:w="1494"/>
        <w:gridCol w:w="1249"/>
        <w:gridCol w:w="1249"/>
        <w:gridCol w:w="1251"/>
      </w:tblGrid>
      <w:tr w:rsidR="00365D03" w:rsidRPr="003C47FF" w:rsidTr="00B171B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414" w:type="pct"/>
            <w:shd w:val="clear" w:color="auto" w:fill="0070C0"/>
            <w:vAlign w:val="center"/>
            <w:hideMark/>
          </w:tcPr>
          <w:p w:rsidR="00365D03" w:rsidRPr="003C47FF" w:rsidRDefault="00365D03" w:rsidP="00B53824">
            <w:pPr>
              <w:jc w:val="center"/>
              <w:rPr>
                <w:bCs w:val="0"/>
                <w:lang w:eastAsia="en-US" w:bidi="en-US"/>
              </w:rPr>
            </w:pPr>
            <w:r w:rsidRPr="003C47FF">
              <w:rPr>
                <w:bCs w:val="0"/>
              </w:rPr>
              <w:t>(R$ Mil)</w:t>
            </w:r>
          </w:p>
        </w:tc>
        <w:tc>
          <w:tcPr>
            <w:tcW w:w="737" w:type="pct"/>
            <w:shd w:val="clear" w:color="auto" w:fill="0070C0"/>
            <w:vAlign w:val="center"/>
          </w:tcPr>
          <w:p w:rsidR="00365D03"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rPr>
            </w:pPr>
            <w:r w:rsidRPr="003C47FF">
              <w:rPr>
                <w:bCs w:val="0"/>
              </w:rPr>
              <w:t>201</w:t>
            </w:r>
            <w:r>
              <w:rPr>
                <w:bCs w:val="0"/>
              </w:rPr>
              <w:t>5</w:t>
            </w:r>
          </w:p>
          <w:p w:rsidR="00365D03" w:rsidRPr="00AA43C5"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sz w:val="16"/>
                <w:szCs w:val="16"/>
                <w:lang w:eastAsia="en-US" w:bidi="en-US"/>
              </w:rPr>
            </w:pPr>
            <w:r w:rsidRPr="00AA43C5">
              <w:rPr>
                <w:bCs w:val="0"/>
                <w:sz w:val="16"/>
                <w:szCs w:val="16"/>
              </w:rPr>
              <w:t>Reapresentado</w:t>
            </w:r>
          </w:p>
        </w:tc>
        <w:tc>
          <w:tcPr>
            <w:tcW w:w="616" w:type="pct"/>
            <w:shd w:val="clear" w:color="auto" w:fill="0070C0"/>
            <w:vAlign w:val="center"/>
            <w:hideMark/>
          </w:tcPr>
          <w:p w:rsidR="00365D03" w:rsidRPr="003C47FF"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Pr>
                <w:bCs w:val="0"/>
              </w:rPr>
              <w:t>2016</w:t>
            </w:r>
          </w:p>
        </w:tc>
        <w:tc>
          <w:tcPr>
            <w:tcW w:w="1233" w:type="pct"/>
            <w:gridSpan w:val="2"/>
            <w:shd w:val="clear" w:color="auto" w:fill="0070C0"/>
            <w:vAlign w:val="center"/>
            <w:hideMark/>
          </w:tcPr>
          <w:p w:rsidR="00365D03" w:rsidRPr="003C47FF"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3C47FF">
              <w:rPr>
                <w:bCs w:val="0"/>
              </w:rPr>
              <w:t>Δ Ano</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4" w:type="pct"/>
            <w:hideMark/>
          </w:tcPr>
          <w:p w:rsidR="00365D03" w:rsidRPr="00A97B1B" w:rsidRDefault="00365D03" w:rsidP="00345D9B">
            <w:pPr>
              <w:jc w:val="both"/>
              <w:rPr>
                <w:b w:val="0"/>
                <w:bCs w:val="0"/>
                <w:lang w:val="en-US" w:eastAsia="en-US" w:bidi="en-US"/>
              </w:rPr>
            </w:pPr>
          </w:p>
        </w:tc>
        <w:tc>
          <w:tcPr>
            <w:tcW w:w="737" w:type="pct"/>
          </w:tcPr>
          <w:p w:rsidR="00365D03" w:rsidRPr="00A97B1B" w:rsidRDefault="00365D03" w:rsidP="00345D9B">
            <w:pPr>
              <w:jc w:val="both"/>
              <w:cnfStyle w:val="000000100000" w:firstRow="0" w:lastRow="0" w:firstColumn="0" w:lastColumn="0" w:oddVBand="0" w:evenVBand="0" w:oddHBand="1" w:evenHBand="0" w:firstRowFirstColumn="0" w:firstRowLastColumn="0" w:lastRowFirstColumn="0" w:lastRowLastColumn="0"/>
              <w:rPr>
                <w:lang w:val="en-US" w:eastAsia="en-US" w:bidi="en-US"/>
              </w:rPr>
            </w:pPr>
          </w:p>
        </w:tc>
        <w:tc>
          <w:tcPr>
            <w:tcW w:w="616" w:type="pct"/>
            <w:hideMark/>
          </w:tcPr>
          <w:p w:rsidR="00365D03" w:rsidRPr="00A97B1B" w:rsidRDefault="00365D03" w:rsidP="00345D9B">
            <w:pPr>
              <w:jc w:val="both"/>
              <w:cnfStyle w:val="000000100000" w:firstRow="0" w:lastRow="0" w:firstColumn="0" w:lastColumn="0" w:oddVBand="0" w:evenVBand="0" w:oddHBand="1" w:evenHBand="0" w:firstRowFirstColumn="0" w:firstRowLastColumn="0" w:lastRowFirstColumn="0" w:lastRowLastColumn="0"/>
              <w:rPr>
                <w:lang w:val="en-US" w:eastAsia="en-US" w:bidi="en-US"/>
              </w:rPr>
            </w:pPr>
          </w:p>
        </w:tc>
        <w:tc>
          <w:tcPr>
            <w:tcW w:w="616" w:type="pct"/>
            <w:hideMark/>
          </w:tcPr>
          <w:p w:rsidR="00365D03" w:rsidRPr="00A97B1B" w:rsidRDefault="00365D03" w:rsidP="00593A6B">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A97B1B">
              <w:rPr>
                <w:b/>
                <w:bCs/>
              </w:rPr>
              <w:t>(R$ Mil)</w:t>
            </w:r>
          </w:p>
        </w:tc>
        <w:tc>
          <w:tcPr>
            <w:tcW w:w="617" w:type="pct"/>
            <w:hideMark/>
          </w:tcPr>
          <w:p w:rsidR="00365D03" w:rsidRPr="00A97B1B" w:rsidRDefault="00365D03" w:rsidP="00593A6B">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A97B1B">
              <w:rPr>
                <w:b/>
                <w:bCs/>
              </w:rPr>
              <w:t>(%)</w:t>
            </w:r>
          </w:p>
        </w:tc>
      </w:tr>
      <w:tr w:rsidR="00365D03" w:rsidRPr="003C47FF" w:rsidTr="00345D9B">
        <w:trPr>
          <w:trHeight w:val="283"/>
        </w:trPr>
        <w:tc>
          <w:tcPr>
            <w:cnfStyle w:val="001000000000" w:firstRow="0" w:lastRow="0" w:firstColumn="1" w:lastColumn="0" w:oddVBand="0" w:evenVBand="0" w:oddHBand="0" w:evenHBand="0" w:firstRowFirstColumn="0" w:firstRowLastColumn="0" w:lastRowFirstColumn="0" w:lastRowLastColumn="0"/>
            <w:tcW w:w="2414" w:type="pct"/>
            <w:hideMark/>
          </w:tcPr>
          <w:p w:rsidR="00365D03" w:rsidRPr="003C47FF" w:rsidRDefault="00365D03" w:rsidP="00345D9B">
            <w:pPr>
              <w:ind w:firstLine="284"/>
              <w:rPr>
                <w:bCs w:val="0"/>
                <w:lang w:eastAsia="en-US" w:bidi="en-US"/>
              </w:rPr>
            </w:pPr>
            <w:r w:rsidRPr="003C47FF">
              <w:rPr>
                <w:bCs w:val="0"/>
              </w:rPr>
              <w:t>Lucro/Prejuízo Consolidado do Exercício</w:t>
            </w:r>
          </w:p>
        </w:tc>
        <w:tc>
          <w:tcPr>
            <w:tcW w:w="737" w:type="pct"/>
            <w:vAlign w:val="center"/>
          </w:tcPr>
          <w:p w:rsidR="00365D03" w:rsidRDefault="00365D03" w:rsidP="00345D9B">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49.300</w:t>
            </w:r>
          </w:p>
        </w:tc>
        <w:tc>
          <w:tcPr>
            <w:tcW w:w="616" w:type="pct"/>
            <w:vAlign w:val="center"/>
            <w:hideMark/>
          </w:tcPr>
          <w:p w:rsidR="00365D03" w:rsidRDefault="00365D03" w:rsidP="00345D9B">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133.693</w:t>
            </w:r>
          </w:p>
        </w:tc>
        <w:tc>
          <w:tcPr>
            <w:tcW w:w="616" w:type="pct"/>
            <w:vAlign w:val="center"/>
            <w:hideMark/>
          </w:tcPr>
          <w:p w:rsidR="00365D03" w:rsidRDefault="00365D03" w:rsidP="00345D9B">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84.393</w:t>
            </w:r>
          </w:p>
        </w:tc>
        <w:tc>
          <w:tcPr>
            <w:tcW w:w="617" w:type="pct"/>
            <w:vAlign w:val="center"/>
            <w:hideMark/>
          </w:tcPr>
          <w:p w:rsidR="00365D03" w:rsidRDefault="00365D03" w:rsidP="00703F7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171,2</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4" w:type="pct"/>
            <w:hideMark/>
          </w:tcPr>
          <w:p w:rsidR="00365D03" w:rsidRPr="003C47FF" w:rsidRDefault="00365D03" w:rsidP="00345D9B">
            <w:pPr>
              <w:ind w:firstLine="284"/>
              <w:rPr>
                <w:b w:val="0"/>
                <w:bCs w:val="0"/>
                <w:lang w:eastAsia="en-US" w:bidi="en-US"/>
              </w:rPr>
            </w:pPr>
            <w:r w:rsidRPr="003C47FF">
              <w:rPr>
                <w:b w:val="0"/>
                <w:bCs w:val="0"/>
              </w:rPr>
              <w:t>(+/-) Imposto de Renda e Contribuição Social</w:t>
            </w:r>
          </w:p>
        </w:tc>
        <w:tc>
          <w:tcPr>
            <w:tcW w:w="737" w:type="pct"/>
            <w:vAlign w:val="center"/>
          </w:tcPr>
          <w:p w:rsidR="00365D03"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76.843</w:t>
            </w:r>
          </w:p>
        </w:tc>
        <w:tc>
          <w:tcPr>
            <w:tcW w:w="616" w:type="pct"/>
            <w:vAlign w:val="center"/>
            <w:hideMark/>
          </w:tcPr>
          <w:p w:rsidR="00365D03"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365D03">
              <w:rPr>
                <w:color w:val="000000"/>
              </w:rPr>
              <w:t>48.762</w:t>
            </w:r>
            <w:r>
              <w:rPr>
                <w:color w:val="000000"/>
              </w:rPr>
              <w:t>)</w:t>
            </w:r>
          </w:p>
        </w:tc>
        <w:tc>
          <w:tcPr>
            <w:tcW w:w="616" w:type="pct"/>
            <w:vAlign w:val="center"/>
            <w:hideMark/>
          </w:tcPr>
          <w:p w:rsidR="00365D03"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365D03">
              <w:rPr>
                <w:color w:val="000000"/>
              </w:rPr>
              <w:t>125.605</w:t>
            </w:r>
            <w:r>
              <w:rPr>
                <w:color w:val="000000"/>
              </w:rPr>
              <w:t>)</w:t>
            </w:r>
          </w:p>
        </w:tc>
        <w:tc>
          <w:tcPr>
            <w:tcW w:w="617" w:type="pct"/>
            <w:vAlign w:val="center"/>
            <w:hideMark/>
          </w:tcPr>
          <w:p w:rsidR="00365D03" w:rsidRDefault="009803AD" w:rsidP="00703F75">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w:t>
            </w:r>
            <w:r w:rsidR="00365D03">
              <w:rPr>
                <w:b/>
                <w:bCs/>
                <w:color w:val="000000"/>
              </w:rPr>
              <w:t>163,5</w:t>
            </w:r>
            <w:r>
              <w:rPr>
                <w:b/>
                <w:bCs/>
                <w:color w:val="000000"/>
              </w:rPr>
              <w:t>)</w:t>
            </w:r>
          </w:p>
        </w:tc>
      </w:tr>
      <w:tr w:rsidR="00365D03" w:rsidRPr="004C1CCC" w:rsidTr="00345D9B">
        <w:trPr>
          <w:trHeight w:val="283"/>
        </w:trPr>
        <w:tc>
          <w:tcPr>
            <w:cnfStyle w:val="001000000000" w:firstRow="0" w:lastRow="0" w:firstColumn="1" w:lastColumn="0" w:oddVBand="0" w:evenVBand="0" w:oddHBand="0" w:evenHBand="0" w:firstRowFirstColumn="0" w:firstRowLastColumn="0" w:lastRowFirstColumn="0" w:lastRowLastColumn="0"/>
            <w:tcW w:w="2414" w:type="pct"/>
            <w:hideMark/>
          </w:tcPr>
          <w:p w:rsidR="00365D03" w:rsidRPr="003C47FF" w:rsidRDefault="00365D03" w:rsidP="00345D9B">
            <w:pPr>
              <w:ind w:firstLine="284"/>
              <w:rPr>
                <w:b w:val="0"/>
                <w:bCs w:val="0"/>
                <w:lang w:eastAsia="en-US" w:bidi="en-US"/>
              </w:rPr>
            </w:pPr>
            <w:r w:rsidRPr="003C47FF">
              <w:rPr>
                <w:b w:val="0"/>
                <w:bCs w:val="0"/>
              </w:rPr>
              <w:t>(+/-) Resultado Financeiro</w:t>
            </w:r>
          </w:p>
        </w:tc>
        <w:tc>
          <w:tcPr>
            <w:tcW w:w="737" w:type="pct"/>
            <w:vAlign w:val="center"/>
          </w:tcPr>
          <w:p w:rsidR="00365D03"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109.369</w:t>
            </w:r>
          </w:p>
        </w:tc>
        <w:tc>
          <w:tcPr>
            <w:tcW w:w="616" w:type="pct"/>
            <w:vAlign w:val="center"/>
            <w:hideMark/>
          </w:tcPr>
          <w:p w:rsidR="00365D03" w:rsidRDefault="00365D03" w:rsidP="00345D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51.741</w:t>
            </w:r>
          </w:p>
        </w:tc>
        <w:tc>
          <w:tcPr>
            <w:tcW w:w="616" w:type="pct"/>
            <w:vAlign w:val="center"/>
            <w:hideMark/>
          </w:tcPr>
          <w:p w:rsidR="00365D03" w:rsidRDefault="00381803" w:rsidP="00345D9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365D03">
              <w:rPr>
                <w:color w:val="000000"/>
              </w:rPr>
              <w:t>57.628</w:t>
            </w:r>
            <w:r>
              <w:rPr>
                <w:color w:val="000000"/>
              </w:rPr>
              <w:t>)</w:t>
            </w:r>
          </w:p>
        </w:tc>
        <w:tc>
          <w:tcPr>
            <w:tcW w:w="617" w:type="pct"/>
            <w:vAlign w:val="center"/>
            <w:hideMark/>
          </w:tcPr>
          <w:p w:rsidR="00365D03" w:rsidRDefault="009803AD" w:rsidP="00703F7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w:t>
            </w:r>
            <w:r w:rsidR="00365D03">
              <w:rPr>
                <w:b/>
                <w:bCs/>
                <w:color w:val="000000"/>
              </w:rPr>
              <w:t>52,7</w:t>
            </w:r>
            <w:r>
              <w:rPr>
                <w:b/>
                <w:bCs/>
                <w:color w:val="000000"/>
              </w:rPr>
              <w:t>)</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4" w:type="pct"/>
            <w:hideMark/>
          </w:tcPr>
          <w:p w:rsidR="00365D03" w:rsidRPr="003C47FF" w:rsidRDefault="00365D03" w:rsidP="00345D9B">
            <w:pPr>
              <w:ind w:firstLine="284"/>
              <w:rPr>
                <w:b w:val="0"/>
                <w:bCs w:val="0"/>
                <w:lang w:eastAsia="en-US" w:bidi="en-US"/>
              </w:rPr>
            </w:pPr>
            <w:r w:rsidRPr="003C47FF">
              <w:rPr>
                <w:b w:val="0"/>
                <w:bCs w:val="0"/>
              </w:rPr>
              <w:t>(+/-) Depreciação/Amortização</w:t>
            </w:r>
          </w:p>
        </w:tc>
        <w:tc>
          <w:tcPr>
            <w:tcW w:w="737" w:type="pct"/>
            <w:vAlign w:val="center"/>
          </w:tcPr>
          <w:p w:rsidR="00365D03" w:rsidRDefault="00365D03" w:rsidP="00345D9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54.467</w:t>
            </w:r>
          </w:p>
        </w:tc>
        <w:tc>
          <w:tcPr>
            <w:tcW w:w="616" w:type="pct"/>
            <w:vAlign w:val="center"/>
            <w:hideMark/>
          </w:tcPr>
          <w:p w:rsidR="00365D03" w:rsidRDefault="00365D03" w:rsidP="001566BA">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53.61</w:t>
            </w:r>
            <w:r w:rsidR="001566BA">
              <w:rPr>
                <w:color w:val="000000"/>
              </w:rPr>
              <w:t>8</w:t>
            </w:r>
          </w:p>
        </w:tc>
        <w:tc>
          <w:tcPr>
            <w:tcW w:w="616" w:type="pct"/>
            <w:vAlign w:val="center"/>
            <w:hideMark/>
          </w:tcPr>
          <w:p w:rsidR="00365D03" w:rsidRDefault="00381803" w:rsidP="00345D9B">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1566BA">
              <w:rPr>
                <w:color w:val="000000"/>
              </w:rPr>
              <w:t>851</w:t>
            </w:r>
            <w:r>
              <w:rPr>
                <w:color w:val="000000"/>
              </w:rPr>
              <w:t>)</w:t>
            </w:r>
          </w:p>
        </w:tc>
        <w:tc>
          <w:tcPr>
            <w:tcW w:w="617" w:type="pct"/>
            <w:vAlign w:val="center"/>
            <w:hideMark/>
          </w:tcPr>
          <w:p w:rsidR="00365D03" w:rsidRDefault="009803AD" w:rsidP="00703F75">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w:t>
            </w:r>
            <w:r w:rsidR="00365D03">
              <w:rPr>
                <w:b/>
                <w:bCs/>
                <w:color w:val="000000"/>
              </w:rPr>
              <w:t>1,6</w:t>
            </w:r>
            <w:r>
              <w:rPr>
                <w:b/>
                <w:bCs/>
                <w:color w:val="000000"/>
              </w:rPr>
              <w:t>)</w:t>
            </w:r>
          </w:p>
        </w:tc>
      </w:tr>
      <w:tr w:rsidR="00365D03" w:rsidRPr="003C47FF" w:rsidTr="00345D9B">
        <w:trPr>
          <w:trHeight w:val="283"/>
        </w:trPr>
        <w:tc>
          <w:tcPr>
            <w:cnfStyle w:val="001000000000" w:firstRow="0" w:lastRow="0" w:firstColumn="1" w:lastColumn="0" w:oddVBand="0" w:evenVBand="0" w:oddHBand="0" w:evenHBand="0" w:firstRowFirstColumn="0" w:firstRowLastColumn="0" w:lastRowFirstColumn="0" w:lastRowLastColumn="0"/>
            <w:tcW w:w="2414" w:type="pct"/>
            <w:hideMark/>
          </w:tcPr>
          <w:p w:rsidR="00365D03" w:rsidRPr="003C47FF" w:rsidRDefault="00365D03" w:rsidP="00345D9B">
            <w:pPr>
              <w:ind w:firstLine="284"/>
              <w:rPr>
                <w:bCs w:val="0"/>
                <w:lang w:eastAsia="en-US" w:bidi="en-US"/>
              </w:rPr>
            </w:pPr>
            <w:r w:rsidRPr="003C47FF">
              <w:rPr>
                <w:bCs w:val="0"/>
              </w:rPr>
              <w:t>EBITDA</w:t>
            </w:r>
            <w:r>
              <w:rPr>
                <w:bCs w:val="0"/>
              </w:rPr>
              <w:t xml:space="preserve"> (LAJIDA)</w:t>
            </w:r>
          </w:p>
        </w:tc>
        <w:tc>
          <w:tcPr>
            <w:tcW w:w="737" w:type="pct"/>
            <w:vAlign w:val="center"/>
          </w:tcPr>
          <w:p w:rsidR="00365D03" w:rsidRDefault="00365D03" w:rsidP="00345D9B">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289.979</w:t>
            </w:r>
          </w:p>
        </w:tc>
        <w:tc>
          <w:tcPr>
            <w:tcW w:w="616" w:type="pct"/>
            <w:vAlign w:val="center"/>
            <w:hideMark/>
          </w:tcPr>
          <w:p w:rsidR="00365D03" w:rsidRDefault="00365D03" w:rsidP="00345D9B">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190.292</w:t>
            </w:r>
          </w:p>
        </w:tc>
        <w:tc>
          <w:tcPr>
            <w:tcW w:w="616" w:type="pct"/>
            <w:vAlign w:val="center"/>
            <w:hideMark/>
          </w:tcPr>
          <w:p w:rsidR="00365D03" w:rsidRDefault="00381803" w:rsidP="00345D9B">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w:t>
            </w:r>
            <w:r w:rsidR="00365D03">
              <w:rPr>
                <w:b/>
                <w:bCs/>
                <w:color w:val="000000"/>
              </w:rPr>
              <w:t>99.687</w:t>
            </w:r>
            <w:r>
              <w:rPr>
                <w:b/>
                <w:bCs/>
                <w:color w:val="000000"/>
              </w:rPr>
              <w:t>)</w:t>
            </w:r>
          </w:p>
        </w:tc>
        <w:tc>
          <w:tcPr>
            <w:tcW w:w="617" w:type="pct"/>
            <w:vAlign w:val="center"/>
            <w:hideMark/>
          </w:tcPr>
          <w:p w:rsidR="00365D03" w:rsidRDefault="009803AD" w:rsidP="00703F75">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w:t>
            </w:r>
            <w:r w:rsidR="00365D03">
              <w:rPr>
                <w:b/>
                <w:bCs/>
                <w:color w:val="000000"/>
              </w:rPr>
              <w:t>34,4</w:t>
            </w:r>
            <w:r>
              <w:rPr>
                <w:b/>
                <w:bCs/>
                <w:color w:val="000000"/>
              </w:rPr>
              <w:t>)</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4" w:type="pct"/>
            <w:hideMark/>
          </w:tcPr>
          <w:p w:rsidR="00365D03" w:rsidRPr="003C47FF" w:rsidRDefault="00365D03" w:rsidP="00345D9B">
            <w:pPr>
              <w:ind w:firstLine="284"/>
              <w:rPr>
                <w:bCs w:val="0"/>
                <w:lang w:eastAsia="en-US" w:bidi="en-US"/>
              </w:rPr>
            </w:pPr>
            <w:r w:rsidRPr="003C47FF">
              <w:rPr>
                <w:bCs w:val="0"/>
              </w:rPr>
              <w:t xml:space="preserve">Margem EBITDA </w:t>
            </w:r>
            <w:r>
              <w:rPr>
                <w:bCs w:val="0"/>
              </w:rPr>
              <w:t xml:space="preserve">(LAJIDA) </w:t>
            </w:r>
            <w:r w:rsidRPr="003C47FF">
              <w:rPr>
                <w:bCs w:val="0"/>
              </w:rPr>
              <w:t>%</w:t>
            </w:r>
          </w:p>
        </w:tc>
        <w:tc>
          <w:tcPr>
            <w:tcW w:w="737" w:type="pct"/>
            <w:vAlign w:val="center"/>
          </w:tcPr>
          <w:p w:rsidR="00365D03" w:rsidRDefault="00365D03" w:rsidP="00345D9B">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12,1%</w:t>
            </w:r>
          </w:p>
        </w:tc>
        <w:tc>
          <w:tcPr>
            <w:tcW w:w="616" w:type="pct"/>
            <w:vAlign w:val="center"/>
            <w:hideMark/>
          </w:tcPr>
          <w:p w:rsidR="00365D03" w:rsidRDefault="00365D03" w:rsidP="00345D9B">
            <w:pPr>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9,0%</w:t>
            </w:r>
          </w:p>
        </w:tc>
        <w:tc>
          <w:tcPr>
            <w:tcW w:w="616" w:type="pct"/>
            <w:hideMark/>
          </w:tcPr>
          <w:p w:rsidR="00365D03" w:rsidRPr="003C47FF" w:rsidRDefault="00365D03" w:rsidP="00345D9B">
            <w:pPr>
              <w:cnfStyle w:val="000000100000" w:firstRow="0" w:lastRow="0" w:firstColumn="0" w:lastColumn="0" w:oddVBand="0" w:evenVBand="0" w:oddHBand="1" w:evenHBand="0" w:firstRowFirstColumn="0" w:firstRowLastColumn="0" w:lastRowFirstColumn="0" w:lastRowLastColumn="0"/>
              <w:rPr>
                <w:b/>
              </w:rPr>
            </w:pPr>
            <w:r w:rsidRPr="003C47FF">
              <w:rPr>
                <w:b/>
              </w:rPr>
              <w:t> </w:t>
            </w:r>
          </w:p>
        </w:tc>
        <w:tc>
          <w:tcPr>
            <w:tcW w:w="617" w:type="pct"/>
            <w:hideMark/>
          </w:tcPr>
          <w:p w:rsidR="00365D03" w:rsidRPr="003C47FF" w:rsidRDefault="00365D03" w:rsidP="00345D9B">
            <w:pPr>
              <w:cnfStyle w:val="000000100000" w:firstRow="0" w:lastRow="0" w:firstColumn="0" w:lastColumn="0" w:oddVBand="0" w:evenVBand="0" w:oddHBand="1" w:evenHBand="0" w:firstRowFirstColumn="0" w:firstRowLastColumn="0" w:lastRowFirstColumn="0" w:lastRowLastColumn="0"/>
              <w:rPr>
                <w:b/>
              </w:rPr>
            </w:pPr>
            <w:r w:rsidRPr="003C47FF">
              <w:rPr>
                <w:b/>
              </w:rPr>
              <w:t> </w:t>
            </w:r>
          </w:p>
        </w:tc>
      </w:tr>
    </w:tbl>
    <w:p w:rsidR="00536197" w:rsidRPr="007E7E1D" w:rsidRDefault="00536197" w:rsidP="00536197">
      <w:pPr>
        <w:spacing w:before="240" w:after="240"/>
        <w:jc w:val="both"/>
        <w:rPr>
          <w:sz w:val="22"/>
          <w:szCs w:val="22"/>
        </w:rPr>
      </w:pPr>
      <w:r w:rsidRPr="005630AC">
        <w:rPr>
          <w:sz w:val="22"/>
          <w:szCs w:val="22"/>
        </w:rPr>
        <w:t xml:space="preserve">O EBITDA </w:t>
      </w:r>
      <w:r>
        <w:rPr>
          <w:sz w:val="22"/>
          <w:szCs w:val="22"/>
        </w:rPr>
        <w:t xml:space="preserve">(LAJIDA) </w:t>
      </w:r>
      <w:r w:rsidRPr="005630AC">
        <w:rPr>
          <w:sz w:val="22"/>
          <w:szCs w:val="22"/>
        </w:rPr>
        <w:t xml:space="preserve">(lucro antes de juros, impostos, depreciação e amortização) </w:t>
      </w:r>
      <w:r>
        <w:rPr>
          <w:sz w:val="22"/>
          <w:szCs w:val="22"/>
        </w:rPr>
        <w:t>reduziu</w:t>
      </w:r>
      <w:r w:rsidRPr="007E7E1D">
        <w:rPr>
          <w:sz w:val="22"/>
          <w:szCs w:val="22"/>
        </w:rPr>
        <w:t xml:space="preserve"> em R$ </w:t>
      </w:r>
      <w:r>
        <w:rPr>
          <w:sz w:val="22"/>
          <w:szCs w:val="22"/>
        </w:rPr>
        <w:t>99.68</w:t>
      </w:r>
      <w:r w:rsidR="00552982">
        <w:rPr>
          <w:sz w:val="22"/>
          <w:szCs w:val="22"/>
        </w:rPr>
        <w:t>7</w:t>
      </w:r>
      <w:r w:rsidRPr="007E7E1D">
        <w:rPr>
          <w:sz w:val="22"/>
          <w:szCs w:val="22"/>
        </w:rPr>
        <w:t xml:space="preserve"> mil em 201</w:t>
      </w:r>
      <w:r>
        <w:rPr>
          <w:sz w:val="22"/>
          <w:szCs w:val="22"/>
        </w:rPr>
        <w:t>6</w:t>
      </w:r>
      <w:r w:rsidRPr="007E7E1D">
        <w:rPr>
          <w:sz w:val="22"/>
          <w:szCs w:val="22"/>
        </w:rPr>
        <w:t xml:space="preserve">, quando comparado com o resultado de R$ </w:t>
      </w:r>
      <w:r>
        <w:rPr>
          <w:sz w:val="22"/>
          <w:szCs w:val="22"/>
        </w:rPr>
        <w:t>289.979</w:t>
      </w:r>
      <w:r w:rsidRPr="007E7E1D">
        <w:rPr>
          <w:sz w:val="22"/>
          <w:szCs w:val="22"/>
        </w:rPr>
        <w:t xml:space="preserve"> mil apurado em 201</w:t>
      </w:r>
      <w:r>
        <w:rPr>
          <w:sz w:val="22"/>
          <w:szCs w:val="22"/>
        </w:rPr>
        <w:t>5</w:t>
      </w:r>
      <w:r w:rsidRPr="007E7E1D">
        <w:rPr>
          <w:sz w:val="22"/>
          <w:szCs w:val="22"/>
        </w:rPr>
        <w:t xml:space="preserve">. </w:t>
      </w:r>
      <w:r>
        <w:rPr>
          <w:sz w:val="22"/>
          <w:szCs w:val="22"/>
        </w:rPr>
        <w:t xml:space="preserve">Por sua vez, a Margem EBITDA (LAJIDA) </w:t>
      </w:r>
      <w:r w:rsidRPr="007E7E1D">
        <w:rPr>
          <w:sz w:val="22"/>
          <w:szCs w:val="22"/>
        </w:rPr>
        <w:t xml:space="preserve">correspondeu a </w:t>
      </w:r>
      <w:r>
        <w:rPr>
          <w:sz w:val="22"/>
          <w:szCs w:val="22"/>
        </w:rPr>
        <w:t>9,0</w:t>
      </w:r>
      <w:r w:rsidRPr="007E7E1D">
        <w:rPr>
          <w:sz w:val="22"/>
          <w:szCs w:val="22"/>
        </w:rPr>
        <w:t>% no exercício, enquanto em 201</w:t>
      </w:r>
      <w:r>
        <w:rPr>
          <w:sz w:val="22"/>
          <w:szCs w:val="22"/>
        </w:rPr>
        <w:t>5</w:t>
      </w:r>
      <w:r w:rsidRPr="007E7E1D">
        <w:rPr>
          <w:sz w:val="22"/>
          <w:szCs w:val="22"/>
        </w:rPr>
        <w:t xml:space="preserve"> registrou-se </w:t>
      </w:r>
      <w:r>
        <w:rPr>
          <w:sz w:val="22"/>
          <w:szCs w:val="22"/>
        </w:rPr>
        <w:t>12,1</w:t>
      </w:r>
      <w:r w:rsidRPr="007E7E1D">
        <w:rPr>
          <w:sz w:val="22"/>
          <w:szCs w:val="22"/>
        </w:rPr>
        <w:t>%.</w:t>
      </w:r>
    </w:p>
    <w:p w:rsidR="00365D03" w:rsidRPr="004C1CCC" w:rsidRDefault="00365D03" w:rsidP="00365D03">
      <w:pPr>
        <w:spacing w:before="240" w:after="240"/>
        <w:rPr>
          <w:b/>
          <w:bCs/>
          <w:sz w:val="22"/>
          <w:szCs w:val="22"/>
        </w:rPr>
      </w:pPr>
      <w:r w:rsidRPr="004C1CCC">
        <w:rPr>
          <w:b/>
          <w:bCs/>
          <w:sz w:val="22"/>
          <w:szCs w:val="22"/>
        </w:rPr>
        <w:t>Endividamento</w:t>
      </w:r>
    </w:p>
    <w:p w:rsidR="00330568" w:rsidRPr="000336EC" w:rsidRDefault="00330568" w:rsidP="00330568">
      <w:pPr>
        <w:spacing w:before="240" w:after="240"/>
        <w:jc w:val="both"/>
        <w:rPr>
          <w:sz w:val="22"/>
          <w:szCs w:val="22"/>
        </w:rPr>
      </w:pPr>
      <w:r w:rsidRPr="000336EC">
        <w:rPr>
          <w:sz w:val="22"/>
          <w:szCs w:val="22"/>
        </w:rPr>
        <w:t xml:space="preserve">A seguir apresenta-se a composição da </w:t>
      </w:r>
      <w:r>
        <w:rPr>
          <w:sz w:val="22"/>
          <w:szCs w:val="22"/>
        </w:rPr>
        <w:t>Dívida T</w:t>
      </w:r>
      <w:r w:rsidRPr="000336EC">
        <w:rPr>
          <w:sz w:val="22"/>
          <w:szCs w:val="22"/>
        </w:rPr>
        <w:t xml:space="preserve">otal da Companhia </w:t>
      </w:r>
      <w:r>
        <w:rPr>
          <w:sz w:val="22"/>
          <w:szCs w:val="22"/>
        </w:rPr>
        <w:t xml:space="preserve">que </w:t>
      </w:r>
      <w:r w:rsidRPr="000336EC">
        <w:rPr>
          <w:sz w:val="22"/>
          <w:szCs w:val="22"/>
        </w:rPr>
        <w:t>manteve-se em patamar equivalente ao do exercício anterior, registrando uma redução de apenas 1,8%, causad</w:t>
      </w:r>
      <w:r>
        <w:rPr>
          <w:sz w:val="22"/>
          <w:szCs w:val="22"/>
        </w:rPr>
        <w:t>a</w:t>
      </w:r>
      <w:r w:rsidRPr="000336EC">
        <w:rPr>
          <w:sz w:val="22"/>
          <w:szCs w:val="22"/>
        </w:rPr>
        <w:t xml:space="preserve">, principalmente, pela 2ª </w:t>
      </w:r>
      <w:r>
        <w:rPr>
          <w:sz w:val="22"/>
          <w:szCs w:val="22"/>
        </w:rPr>
        <w:t>E</w:t>
      </w:r>
      <w:r w:rsidRPr="000336EC">
        <w:rPr>
          <w:sz w:val="22"/>
          <w:szCs w:val="22"/>
        </w:rPr>
        <w:t xml:space="preserve">missão de </w:t>
      </w:r>
      <w:r>
        <w:rPr>
          <w:sz w:val="22"/>
          <w:szCs w:val="22"/>
        </w:rPr>
        <w:t>D</w:t>
      </w:r>
      <w:r w:rsidRPr="000336EC">
        <w:rPr>
          <w:sz w:val="22"/>
          <w:szCs w:val="22"/>
        </w:rPr>
        <w:t xml:space="preserve">ebêntures não </w:t>
      </w:r>
      <w:r>
        <w:rPr>
          <w:sz w:val="22"/>
          <w:szCs w:val="22"/>
        </w:rPr>
        <w:t>C</w:t>
      </w:r>
      <w:r w:rsidRPr="000336EC">
        <w:rPr>
          <w:sz w:val="22"/>
          <w:szCs w:val="22"/>
        </w:rPr>
        <w:t xml:space="preserve">onversíveis em </w:t>
      </w:r>
      <w:r>
        <w:rPr>
          <w:sz w:val="22"/>
          <w:szCs w:val="22"/>
        </w:rPr>
        <w:t>A</w:t>
      </w:r>
      <w:r w:rsidRPr="000336EC">
        <w:rPr>
          <w:sz w:val="22"/>
          <w:szCs w:val="22"/>
        </w:rPr>
        <w:t>ções, no valor de R$ 71.</w:t>
      </w:r>
      <w:r w:rsidR="00E7719E">
        <w:rPr>
          <w:sz w:val="22"/>
          <w:szCs w:val="22"/>
        </w:rPr>
        <w:t>000</w:t>
      </w:r>
      <w:r w:rsidRPr="000336EC">
        <w:rPr>
          <w:sz w:val="22"/>
          <w:szCs w:val="22"/>
        </w:rPr>
        <w:t xml:space="preserve"> mil, no âmbito da controlada CEB Distribuição S.A., cujo </w:t>
      </w:r>
      <w:r>
        <w:rPr>
          <w:sz w:val="22"/>
          <w:szCs w:val="22"/>
        </w:rPr>
        <w:t>montante</w:t>
      </w:r>
      <w:r w:rsidRPr="000336EC">
        <w:rPr>
          <w:sz w:val="22"/>
          <w:szCs w:val="22"/>
        </w:rPr>
        <w:t xml:space="preserve"> foi próximo </w:t>
      </w:r>
      <w:r>
        <w:rPr>
          <w:sz w:val="22"/>
          <w:szCs w:val="22"/>
        </w:rPr>
        <w:t>d</w:t>
      </w:r>
      <w:r w:rsidRPr="000336EC">
        <w:rPr>
          <w:sz w:val="22"/>
          <w:szCs w:val="22"/>
        </w:rPr>
        <w:t xml:space="preserve">o total </w:t>
      </w:r>
      <w:r>
        <w:rPr>
          <w:sz w:val="22"/>
          <w:szCs w:val="22"/>
        </w:rPr>
        <w:t xml:space="preserve">das </w:t>
      </w:r>
      <w:r w:rsidRPr="000336EC">
        <w:rPr>
          <w:sz w:val="22"/>
          <w:szCs w:val="22"/>
        </w:rPr>
        <w:t>amortizações do ano de 2016.</w:t>
      </w:r>
    </w:p>
    <w:tbl>
      <w:tblPr>
        <w:tblStyle w:val="ListaClara-nfase11"/>
        <w:tblW w:w="5000" w:type="pct"/>
        <w:tblLook w:val="04A0" w:firstRow="1" w:lastRow="0" w:firstColumn="1" w:lastColumn="0" w:noHBand="0" w:noVBand="1"/>
      </w:tblPr>
      <w:tblGrid>
        <w:gridCol w:w="4944"/>
        <w:gridCol w:w="1298"/>
        <w:gridCol w:w="1298"/>
        <w:gridCol w:w="1298"/>
        <w:gridCol w:w="1300"/>
      </w:tblGrid>
      <w:tr w:rsidR="00365D03" w:rsidRPr="00595E0A" w:rsidTr="00345D9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pct"/>
            <w:shd w:val="clear" w:color="auto" w:fill="0070C0"/>
            <w:hideMark/>
          </w:tcPr>
          <w:p w:rsidR="00365D03" w:rsidRPr="00595E0A" w:rsidRDefault="00365D03" w:rsidP="00345D9B">
            <w:pPr>
              <w:jc w:val="center"/>
              <w:rPr>
                <w:bCs w:val="0"/>
                <w:lang w:eastAsia="en-US" w:bidi="en-US"/>
              </w:rPr>
            </w:pPr>
            <w:r w:rsidRPr="00595E0A">
              <w:rPr>
                <w:bCs w:val="0"/>
              </w:rPr>
              <w:t>(R$ Mil)</w:t>
            </w:r>
          </w:p>
        </w:tc>
        <w:tc>
          <w:tcPr>
            <w:tcW w:w="640" w:type="pct"/>
            <w:shd w:val="clear" w:color="auto" w:fill="0070C0"/>
          </w:tcPr>
          <w:p w:rsidR="00365D03" w:rsidRPr="00595E0A" w:rsidRDefault="00365D03" w:rsidP="00345D9B">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595E0A">
              <w:rPr>
                <w:bCs w:val="0"/>
              </w:rPr>
              <w:t>2015</w:t>
            </w:r>
          </w:p>
        </w:tc>
        <w:tc>
          <w:tcPr>
            <w:tcW w:w="640" w:type="pct"/>
            <w:shd w:val="clear" w:color="auto" w:fill="0070C0"/>
            <w:hideMark/>
          </w:tcPr>
          <w:p w:rsidR="00365D03" w:rsidRPr="00595E0A" w:rsidRDefault="00365D03" w:rsidP="00345D9B">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595E0A">
              <w:rPr>
                <w:bCs w:val="0"/>
              </w:rPr>
              <w:t>2016</w:t>
            </w:r>
          </w:p>
        </w:tc>
        <w:tc>
          <w:tcPr>
            <w:tcW w:w="1281" w:type="pct"/>
            <w:gridSpan w:val="2"/>
            <w:shd w:val="clear" w:color="auto" w:fill="0070C0"/>
            <w:hideMark/>
          </w:tcPr>
          <w:p w:rsidR="00365D03" w:rsidRPr="00595E0A" w:rsidRDefault="00365D03" w:rsidP="00345D9B">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595E0A">
              <w:rPr>
                <w:bCs w:val="0"/>
              </w:rPr>
              <w:t>Δ Ano</w:t>
            </w:r>
          </w:p>
        </w:tc>
      </w:tr>
      <w:tr w:rsidR="00365D03" w:rsidRPr="00595E0A"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595E0A" w:rsidRDefault="00365D03" w:rsidP="00345D9B">
            <w:pPr>
              <w:jc w:val="both"/>
              <w:rPr>
                <w:bCs w:val="0"/>
                <w:lang w:val="en-US" w:eastAsia="en-US" w:bidi="en-US"/>
              </w:rPr>
            </w:pPr>
          </w:p>
        </w:tc>
        <w:tc>
          <w:tcPr>
            <w:tcW w:w="640" w:type="pct"/>
          </w:tcPr>
          <w:p w:rsidR="00365D03" w:rsidRPr="00595E0A" w:rsidRDefault="00365D03" w:rsidP="00345D9B">
            <w:pPr>
              <w:jc w:val="both"/>
              <w:cnfStyle w:val="000000100000" w:firstRow="0" w:lastRow="0" w:firstColumn="0" w:lastColumn="0" w:oddVBand="0" w:evenVBand="0" w:oddHBand="1" w:evenHBand="0" w:firstRowFirstColumn="0" w:firstRowLastColumn="0" w:lastRowFirstColumn="0" w:lastRowLastColumn="0"/>
              <w:rPr>
                <w:b/>
                <w:lang w:val="en-US" w:eastAsia="en-US" w:bidi="en-US"/>
              </w:rPr>
            </w:pPr>
          </w:p>
        </w:tc>
        <w:tc>
          <w:tcPr>
            <w:tcW w:w="640" w:type="pct"/>
            <w:hideMark/>
          </w:tcPr>
          <w:p w:rsidR="00365D03" w:rsidRPr="00595E0A" w:rsidRDefault="00365D03" w:rsidP="00345D9B">
            <w:pPr>
              <w:jc w:val="both"/>
              <w:cnfStyle w:val="000000100000" w:firstRow="0" w:lastRow="0" w:firstColumn="0" w:lastColumn="0" w:oddVBand="0" w:evenVBand="0" w:oddHBand="1" w:evenHBand="0" w:firstRowFirstColumn="0" w:firstRowLastColumn="0" w:lastRowFirstColumn="0" w:lastRowLastColumn="0"/>
              <w:rPr>
                <w:b/>
                <w:lang w:val="en-US" w:eastAsia="en-US" w:bidi="en-US"/>
              </w:rPr>
            </w:pPr>
          </w:p>
        </w:tc>
        <w:tc>
          <w:tcPr>
            <w:tcW w:w="640" w:type="pct"/>
            <w:hideMark/>
          </w:tcPr>
          <w:p w:rsidR="00365D03" w:rsidRPr="00595E0A" w:rsidRDefault="00365D03" w:rsidP="00503B9D">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595E0A">
              <w:rPr>
                <w:b/>
                <w:bCs/>
              </w:rPr>
              <w:t>(R$ Mil)</w:t>
            </w:r>
          </w:p>
        </w:tc>
        <w:tc>
          <w:tcPr>
            <w:tcW w:w="641" w:type="pct"/>
            <w:hideMark/>
          </w:tcPr>
          <w:p w:rsidR="00365D03" w:rsidRPr="00595E0A" w:rsidRDefault="00365D03" w:rsidP="00503B9D">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595E0A">
              <w:rPr>
                <w:b/>
                <w:bCs/>
              </w:rPr>
              <w:t>(%)</w:t>
            </w:r>
          </w:p>
        </w:tc>
      </w:tr>
      <w:tr w:rsidR="00365D03" w:rsidRPr="00595E0A" w:rsidTr="00345D9B">
        <w:trPr>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365D03" w:rsidRDefault="00365D03" w:rsidP="00345D9B">
            <w:pPr>
              <w:ind w:firstLine="284"/>
              <w:rPr>
                <w:bCs w:val="0"/>
                <w:lang w:eastAsia="en-US" w:bidi="en-US"/>
              </w:rPr>
            </w:pPr>
            <w:r w:rsidRPr="00365D03">
              <w:rPr>
                <w:bCs w:val="0"/>
              </w:rPr>
              <w:t>Curto Prazo</w:t>
            </w:r>
          </w:p>
        </w:tc>
        <w:tc>
          <w:tcPr>
            <w:tcW w:w="640" w:type="pct"/>
          </w:tcPr>
          <w:p w:rsidR="00365D03" w:rsidRPr="00503B9D" w:rsidRDefault="00365D03" w:rsidP="00345D9B">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503B9D">
              <w:rPr>
                <w:b/>
              </w:rPr>
              <w:t>71.893</w:t>
            </w:r>
          </w:p>
        </w:tc>
        <w:tc>
          <w:tcPr>
            <w:tcW w:w="640" w:type="pct"/>
            <w:hideMark/>
          </w:tcPr>
          <w:p w:rsidR="00365D03" w:rsidRPr="00503B9D" w:rsidRDefault="00365D03" w:rsidP="00345D9B">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503B9D">
              <w:rPr>
                <w:b/>
              </w:rPr>
              <w:t>96.989</w:t>
            </w:r>
          </w:p>
        </w:tc>
        <w:tc>
          <w:tcPr>
            <w:tcW w:w="640" w:type="pct"/>
            <w:hideMark/>
          </w:tcPr>
          <w:p w:rsidR="00365D03" w:rsidRPr="00503B9D" w:rsidRDefault="00365D03" w:rsidP="00345D9B">
            <w:pPr>
              <w:jc w:val="right"/>
              <w:cnfStyle w:val="000000000000" w:firstRow="0" w:lastRow="0" w:firstColumn="0" w:lastColumn="0" w:oddVBand="0" w:evenVBand="0" w:oddHBand="0" w:evenHBand="0" w:firstRowFirstColumn="0" w:firstRowLastColumn="0" w:lastRowFirstColumn="0" w:lastRowLastColumn="0"/>
              <w:rPr>
                <w:b/>
                <w:color w:val="000000"/>
              </w:rPr>
            </w:pPr>
            <w:r w:rsidRPr="00503B9D">
              <w:rPr>
                <w:b/>
                <w:color w:val="000000"/>
              </w:rPr>
              <w:t>25.096</w:t>
            </w:r>
          </w:p>
        </w:tc>
        <w:tc>
          <w:tcPr>
            <w:tcW w:w="641" w:type="pct"/>
            <w:hideMark/>
          </w:tcPr>
          <w:p w:rsidR="00365D03" w:rsidRPr="00503B9D" w:rsidRDefault="00365D03" w:rsidP="00330568">
            <w:pPr>
              <w:jc w:val="right"/>
              <w:cnfStyle w:val="000000000000" w:firstRow="0" w:lastRow="0" w:firstColumn="0" w:lastColumn="0" w:oddVBand="0" w:evenVBand="0" w:oddHBand="0" w:evenHBand="0" w:firstRowFirstColumn="0" w:firstRowLastColumn="0" w:lastRowFirstColumn="0" w:lastRowLastColumn="0"/>
              <w:rPr>
                <w:b/>
                <w:color w:val="000000"/>
              </w:rPr>
            </w:pPr>
            <w:r w:rsidRPr="00503B9D">
              <w:rPr>
                <w:b/>
                <w:color w:val="000000"/>
              </w:rPr>
              <w:t>34,9</w:t>
            </w:r>
          </w:p>
        </w:tc>
      </w:tr>
      <w:tr w:rsidR="00365D03" w:rsidRPr="00595E0A"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365D03" w:rsidRDefault="00365D03" w:rsidP="00345D9B">
            <w:pPr>
              <w:ind w:firstLine="284"/>
              <w:rPr>
                <w:bCs w:val="0"/>
                <w:lang w:eastAsia="en-US" w:bidi="en-US"/>
              </w:rPr>
            </w:pPr>
            <w:r w:rsidRPr="00365D03">
              <w:rPr>
                <w:bCs w:val="0"/>
              </w:rPr>
              <w:t>Longo Prazo</w:t>
            </w:r>
          </w:p>
        </w:tc>
        <w:tc>
          <w:tcPr>
            <w:tcW w:w="640" w:type="pct"/>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eastAsia="en-US" w:bidi="en-US"/>
              </w:rPr>
            </w:pPr>
            <w:r w:rsidRPr="00503B9D">
              <w:rPr>
                <w:b/>
              </w:rPr>
              <w:t>336.190</w:t>
            </w:r>
          </w:p>
        </w:tc>
        <w:tc>
          <w:tcPr>
            <w:tcW w:w="640" w:type="pct"/>
            <w:hideMark/>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eastAsia="en-US" w:bidi="en-US"/>
              </w:rPr>
            </w:pPr>
            <w:r w:rsidRPr="00503B9D">
              <w:rPr>
                <w:b/>
              </w:rPr>
              <w:t>303.905</w:t>
            </w:r>
          </w:p>
        </w:tc>
        <w:tc>
          <w:tcPr>
            <w:tcW w:w="640" w:type="pct"/>
            <w:hideMark/>
          </w:tcPr>
          <w:p w:rsidR="00365D03" w:rsidRPr="00503B9D" w:rsidRDefault="009803AD"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w:t>
            </w:r>
            <w:r w:rsidR="00365D03" w:rsidRPr="00503B9D">
              <w:rPr>
                <w:b/>
                <w:color w:val="000000"/>
              </w:rPr>
              <w:t>32.285</w:t>
            </w:r>
            <w:r>
              <w:rPr>
                <w:b/>
                <w:color w:val="000000"/>
              </w:rPr>
              <w:t>)</w:t>
            </w:r>
          </w:p>
        </w:tc>
        <w:tc>
          <w:tcPr>
            <w:tcW w:w="641" w:type="pct"/>
            <w:hideMark/>
          </w:tcPr>
          <w:p w:rsidR="00365D03" w:rsidRPr="00503B9D" w:rsidRDefault="009803AD" w:rsidP="00330568">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w:t>
            </w:r>
            <w:r w:rsidR="00365D03" w:rsidRPr="00503B9D">
              <w:rPr>
                <w:b/>
                <w:color w:val="000000"/>
              </w:rPr>
              <w:t>9,6</w:t>
            </w:r>
            <w:r>
              <w:rPr>
                <w:b/>
                <w:color w:val="000000"/>
              </w:rPr>
              <w:t>)</w:t>
            </w:r>
          </w:p>
        </w:tc>
      </w:tr>
      <w:tr w:rsidR="00365D03" w:rsidRPr="00595E0A" w:rsidTr="00345D9B">
        <w:trPr>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365D03" w:rsidRDefault="00365D03" w:rsidP="00345D9B">
            <w:pPr>
              <w:ind w:firstLine="284"/>
              <w:rPr>
                <w:bCs w:val="0"/>
                <w:lang w:eastAsia="en-US" w:bidi="en-US"/>
              </w:rPr>
            </w:pPr>
            <w:r w:rsidRPr="00365D03">
              <w:rPr>
                <w:bCs w:val="0"/>
              </w:rPr>
              <w:t>Dívida Total</w:t>
            </w:r>
          </w:p>
        </w:tc>
        <w:tc>
          <w:tcPr>
            <w:tcW w:w="640" w:type="pct"/>
          </w:tcPr>
          <w:p w:rsidR="00365D03" w:rsidRPr="00503B9D" w:rsidRDefault="00365D03" w:rsidP="00345D9B">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503B9D">
              <w:rPr>
                <w:b/>
              </w:rPr>
              <w:t>408.083</w:t>
            </w:r>
          </w:p>
        </w:tc>
        <w:tc>
          <w:tcPr>
            <w:tcW w:w="640" w:type="pct"/>
            <w:hideMark/>
          </w:tcPr>
          <w:p w:rsidR="00365D03" w:rsidRPr="00503B9D" w:rsidRDefault="00365D03" w:rsidP="00345D9B">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503B9D">
              <w:rPr>
                <w:b/>
              </w:rPr>
              <w:t>400.894</w:t>
            </w:r>
          </w:p>
        </w:tc>
        <w:tc>
          <w:tcPr>
            <w:tcW w:w="640" w:type="pct"/>
            <w:hideMark/>
          </w:tcPr>
          <w:p w:rsidR="00365D03" w:rsidRPr="00503B9D" w:rsidRDefault="009803AD" w:rsidP="00345D9B">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w:t>
            </w:r>
            <w:r w:rsidR="00365D03" w:rsidRPr="00503B9D">
              <w:rPr>
                <w:b/>
                <w:color w:val="000000"/>
              </w:rPr>
              <w:t>7.189</w:t>
            </w:r>
            <w:r>
              <w:rPr>
                <w:b/>
                <w:color w:val="000000"/>
              </w:rPr>
              <w:t>)</w:t>
            </w:r>
          </w:p>
        </w:tc>
        <w:tc>
          <w:tcPr>
            <w:tcW w:w="641" w:type="pct"/>
            <w:hideMark/>
          </w:tcPr>
          <w:p w:rsidR="00365D03" w:rsidRPr="00503B9D" w:rsidRDefault="009803AD" w:rsidP="00330568">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w:t>
            </w:r>
            <w:r w:rsidR="00365D03" w:rsidRPr="00503B9D">
              <w:rPr>
                <w:b/>
                <w:color w:val="000000"/>
              </w:rPr>
              <w:t>1,8</w:t>
            </w:r>
            <w:r>
              <w:rPr>
                <w:b/>
                <w:color w:val="000000"/>
              </w:rPr>
              <w:t>)</w:t>
            </w:r>
          </w:p>
        </w:tc>
      </w:tr>
      <w:tr w:rsidR="00365D03" w:rsidRPr="00595E0A"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365D03" w:rsidRDefault="00365D03" w:rsidP="00345D9B">
            <w:pPr>
              <w:ind w:firstLine="284"/>
              <w:rPr>
                <w:bCs w:val="0"/>
                <w:lang w:eastAsia="en-US" w:bidi="en-US"/>
              </w:rPr>
            </w:pPr>
            <w:r w:rsidRPr="00365D03">
              <w:rPr>
                <w:bCs w:val="0"/>
              </w:rPr>
              <w:t>(-) Caixa Disponível</w:t>
            </w:r>
          </w:p>
        </w:tc>
        <w:tc>
          <w:tcPr>
            <w:tcW w:w="640" w:type="pct"/>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val="en-US" w:eastAsia="en-US" w:bidi="en-US"/>
              </w:rPr>
            </w:pPr>
            <w:r w:rsidRPr="00503B9D">
              <w:rPr>
                <w:b/>
                <w:lang w:val="en-US" w:eastAsia="en-US" w:bidi="en-US"/>
              </w:rPr>
              <w:t>78.043</w:t>
            </w:r>
          </w:p>
        </w:tc>
        <w:tc>
          <w:tcPr>
            <w:tcW w:w="640" w:type="pct"/>
            <w:hideMark/>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val="en-US" w:eastAsia="en-US" w:bidi="en-US"/>
              </w:rPr>
            </w:pPr>
            <w:r w:rsidRPr="00503B9D">
              <w:rPr>
                <w:b/>
                <w:lang w:val="en-US" w:eastAsia="en-US" w:bidi="en-US"/>
              </w:rPr>
              <w:t>86.041</w:t>
            </w:r>
          </w:p>
        </w:tc>
        <w:tc>
          <w:tcPr>
            <w:tcW w:w="640" w:type="pct"/>
            <w:hideMark/>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sidRPr="00503B9D">
              <w:rPr>
                <w:b/>
                <w:color w:val="000000"/>
              </w:rPr>
              <w:t>7.998</w:t>
            </w:r>
          </w:p>
        </w:tc>
        <w:tc>
          <w:tcPr>
            <w:tcW w:w="641" w:type="pct"/>
            <w:hideMark/>
          </w:tcPr>
          <w:p w:rsidR="00365D03" w:rsidRPr="00503B9D" w:rsidRDefault="00365D03" w:rsidP="00330568">
            <w:pPr>
              <w:jc w:val="right"/>
              <w:cnfStyle w:val="000000100000" w:firstRow="0" w:lastRow="0" w:firstColumn="0" w:lastColumn="0" w:oddVBand="0" w:evenVBand="0" w:oddHBand="1" w:evenHBand="0" w:firstRowFirstColumn="0" w:firstRowLastColumn="0" w:lastRowFirstColumn="0" w:lastRowLastColumn="0"/>
              <w:rPr>
                <w:b/>
                <w:color w:val="000000"/>
              </w:rPr>
            </w:pPr>
            <w:r w:rsidRPr="00503B9D">
              <w:rPr>
                <w:b/>
                <w:color w:val="000000"/>
              </w:rPr>
              <w:t>10,2</w:t>
            </w:r>
          </w:p>
        </w:tc>
      </w:tr>
      <w:tr w:rsidR="00365D03" w:rsidRPr="00595E0A" w:rsidTr="00345D9B">
        <w:trPr>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365D03" w:rsidRDefault="00365D03" w:rsidP="00345D9B">
            <w:pPr>
              <w:ind w:firstLine="284"/>
              <w:rPr>
                <w:bCs w:val="0"/>
                <w:lang w:eastAsia="en-US" w:bidi="en-US"/>
              </w:rPr>
            </w:pPr>
            <w:r w:rsidRPr="00365D03">
              <w:rPr>
                <w:bCs w:val="0"/>
              </w:rPr>
              <w:t>= Dívida Líquida</w:t>
            </w:r>
          </w:p>
        </w:tc>
        <w:tc>
          <w:tcPr>
            <w:tcW w:w="640" w:type="pct"/>
          </w:tcPr>
          <w:p w:rsidR="00365D03" w:rsidRPr="00503B9D" w:rsidRDefault="00365D03" w:rsidP="00345D9B">
            <w:pPr>
              <w:jc w:val="right"/>
              <w:cnfStyle w:val="000000000000" w:firstRow="0" w:lastRow="0" w:firstColumn="0" w:lastColumn="0" w:oddVBand="0" w:evenVBand="0" w:oddHBand="0" w:evenHBand="0" w:firstRowFirstColumn="0" w:firstRowLastColumn="0" w:lastRowFirstColumn="0" w:lastRowLastColumn="0"/>
              <w:rPr>
                <w:b/>
                <w:lang w:val="en-US" w:eastAsia="en-US" w:bidi="en-US"/>
              </w:rPr>
            </w:pPr>
            <w:r w:rsidRPr="00503B9D">
              <w:rPr>
                <w:b/>
                <w:lang w:val="en-US" w:eastAsia="en-US" w:bidi="en-US"/>
              </w:rPr>
              <w:t>330.040</w:t>
            </w:r>
          </w:p>
        </w:tc>
        <w:tc>
          <w:tcPr>
            <w:tcW w:w="640" w:type="pct"/>
            <w:hideMark/>
          </w:tcPr>
          <w:p w:rsidR="00365D03" w:rsidRPr="00503B9D" w:rsidRDefault="00365D03" w:rsidP="00345D9B">
            <w:pPr>
              <w:jc w:val="right"/>
              <w:cnfStyle w:val="000000000000" w:firstRow="0" w:lastRow="0" w:firstColumn="0" w:lastColumn="0" w:oddVBand="0" w:evenVBand="0" w:oddHBand="0" w:evenHBand="0" w:firstRowFirstColumn="0" w:firstRowLastColumn="0" w:lastRowFirstColumn="0" w:lastRowLastColumn="0"/>
              <w:rPr>
                <w:b/>
                <w:lang w:val="en-US" w:eastAsia="en-US" w:bidi="en-US"/>
              </w:rPr>
            </w:pPr>
            <w:r w:rsidRPr="00503B9D">
              <w:rPr>
                <w:b/>
                <w:lang w:val="en-US" w:eastAsia="en-US" w:bidi="en-US"/>
              </w:rPr>
              <w:t>314.853</w:t>
            </w:r>
          </w:p>
        </w:tc>
        <w:tc>
          <w:tcPr>
            <w:tcW w:w="640" w:type="pct"/>
            <w:hideMark/>
          </w:tcPr>
          <w:p w:rsidR="00365D03" w:rsidRPr="00503B9D" w:rsidRDefault="009803AD" w:rsidP="00345D9B">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w:t>
            </w:r>
            <w:r w:rsidR="00365D03" w:rsidRPr="00503B9D">
              <w:rPr>
                <w:b/>
                <w:color w:val="000000"/>
              </w:rPr>
              <w:t>15.187</w:t>
            </w:r>
            <w:r>
              <w:rPr>
                <w:b/>
                <w:color w:val="000000"/>
              </w:rPr>
              <w:t>)</w:t>
            </w:r>
          </w:p>
        </w:tc>
        <w:tc>
          <w:tcPr>
            <w:tcW w:w="641" w:type="pct"/>
            <w:hideMark/>
          </w:tcPr>
          <w:p w:rsidR="00365D03" w:rsidRPr="00503B9D" w:rsidRDefault="009803AD" w:rsidP="00330568">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w:t>
            </w:r>
            <w:r w:rsidR="00365D03" w:rsidRPr="00503B9D">
              <w:rPr>
                <w:b/>
                <w:color w:val="000000"/>
              </w:rPr>
              <w:t>4,6</w:t>
            </w:r>
            <w:r>
              <w:rPr>
                <w:b/>
                <w:color w:val="000000"/>
              </w:rPr>
              <w:t>)</w:t>
            </w:r>
          </w:p>
        </w:tc>
      </w:tr>
      <w:tr w:rsidR="00365D03" w:rsidRPr="00595E0A"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365D03" w:rsidRDefault="00365D03" w:rsidP="00345D9B">
            <w:pPr>
              <w:ind w:firstLine="284"/>
              <w:rPr>
                <w:bCs w:val="0"/>
                <w:lang w:eastAsia="en-US" w:bidi="en-US"/>
              </w:rPr>
            </w:pPr>
            <w:r w:rsidRPr="00365D03">
              <w:rPr>
                <w:bCs w:val="0"/>
              </w:rPr>
              <w:t>Dívida Líquida/EBITDA (LAJIDA)</w:t>
            </w:r>
          </w:p>
        </w:tc>
        <w:tc>
          <w:tcPr>
            <w:tcW w:w="640" w:type="pct"/>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val="en-US" w:eastAsia="en-US" w:bidi="en-US"/>
              </w:rPr>
            </w:pPr>
            <w:r w:rsidRPr="00503B9D">
              <w:rPr>
                <w:b/>
                <w:lang w:val="en-US" w:eastAsia="en-US" w:bidi="en-US"/>
              </w:rPr>
              <w:t>1,1</w:t>
            </w:r>
          </w:p>
        </w:tc>
        <w:tc>
          <w:tcPr>
            <w:tcW w:w="640" w:type="pct"/>
            <w:hideMark/>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val="en-US" w:eastAsia="en-US" w:bidi="en-US"/>
              </w:rPr>
            </w:pPr>
            <w:r w:rsidRPr="00503B9D">
              <w:rPr>
                <w:b/>
                <w:lang w:val="en-US" w:eastAsia="en-US" w:bidi="en-US"/>
              </w:rPr>
              <w:t>1,7</w:t>
            </w:r>
          </w:p>
        </w:tc>
        <w:tc>
          <w:tcPr>
            <w:tcW w:w="640" w:type="pct"/>
            <w:hideMark/>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val="en-US" w:eastAsia="en-US" w:bidi="en-US"/>
              </w:rPr>
            </w:pPr>
          </w:p>
        </w:tc>
        <w:tc>
          <w:tcPr>
            <w:tcW w:w="641" w:type="pct"/>
            <w:hideMark/>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lang w:val="en-US" w:eastAsia="en-US" w:bidi="en-US"/>
              </w:rPr>
            </w:pPr>
          </w:p>
        </w:tc>
      </w:tr>
    </w:tbl>
    <w:p w:rsidR="00F62C5A" w:rsidRDefault="00F62C5A" w:rsidP="00365D03">
      <w:pPr>
        <w:spacing w:before="240" w:after="240"/>
        <w:rPr>
          <w:b/>
          <w:bCs/>
          <w:sz w:val="22"/>
          <w:szCs w:val="22"/>
        </w:rPr>
      </w:pPr>
    </w:p>
    <w:p w:rsidR="00F62C5A" w:rsidRDefault="00F62C5A">
      <w:pPr>
        <w:rPr>
          <w:b/>
          <w:bCs/>
          <w:sz w:val="22"/>
          <w:szCs w:val="22"/>
        </w:rPr>
      </w:pPr>
      <w:r>
        <w:rPr>
          <w:b/>
          <w:bCs/>
          <w:sz w:val="22"/>
          <w:szCs w:val="22"/>
        </w:rPr>
        <w:br w:type="page"/>
      </w:r>
    </w:p>
    <w:p w:rsidR="00365D03" w:rsidRPr="004C1CCC" w:rsidRDefault="00365D03" w:rsidP="00365D03">
      <w:pPr>
        <w:spacing w:before="240" w:after="240"/>
        <w:rPr>
          <w:b/>
          <w:bCs/>
          <w:sz w:val="22"/>
          <w:szCs w:val="22"/>
        </w:rPr>
      </w:pPr>
      <w:r w:rsidRPr="004C1CCC">
        <w:rPr>
          <w:b/>
          <w:bCs/>
          <w:sz w:val="22"/>
          <w:szCs w:val="22"/>
        </w:rPr>
        <w:lastRenderedPageBreak/>
        <w:t>Cronograma de Amortização da Dívida</w:t>
      </w:r>
    </w:p>
    <w:p w:rsidR="00365D03" w:rsidRPr="004C1CCC" w:rsidRDefault="00365D03" w:rsidP="00365D03">
      <w:pPr>
        <w:spacing w:before="240" w:after="240"/>
        <w:jc w:val="both"/>
        <w:rPr>
          <w:sz w:val="22"/>
          <w:szCs w:val="22"/>
        </w:rPr>
      </w:pPr>
      <w:r w:rsidRPr="004C1CCC">
        <w:rPr>
          <w:sz w:val="22"/>
          <w:szCs w:val="22"/>
        </w:rPr>
        <w:t xml:space="preserve">A previsão de amortização da </w:t>
      </w:r>
      <w:r w:rsidR="00330568">
        <w:rPr>
          <w:sz w:val="22"/>
          <w:szCs w:val="22"/>
        </w:rPr>
        <w:t>D</w:t>
      </w:r>
      <w:r w:rsidRPr="004C1CCC">
        <w:rPr>
          <w:sz w:val="22"/>
          <w:szCs w:val="22"/>
        </w:rPr>
        <w:t xml:space="preserve">ívida </w:t>
      </w:r>
      <w:r w:rsidR="00330568">
        <w:rPr>
          <w:sz w:val="22"/>
          <w:szCs w:val="22"/>
        </w:rPr>
        <w:t>To</w:t>
      </w:r>
      <w:r w:rsidRPr="004C1CCC">
        <w:rPr>
          <w:sz w:val="22"/>
          <w:szCs w:val="22"/>
        </w:rPr>
        <w:t>tal da Companhia pode ser assim demonstrada:</w:t>
      </w:r>
    </w:p>
    <w:tbl>
      <w:tblPr>
        <w:tblStyle w:val="ListaClara-nfase11"/>
        <w:tblW w:w="5000" w:type="pct"/>
        <w:tblLook w:val="04A0" w:firstRow="1" w:lastRow="0" w:firstColumn="1" w:lastColumn="0" w:noHBand="0" w:noVBand="1"/>
      </w:tblPr>
      <w:tblGrid>
        <w:gridCol w:w="2693"/>
        <w:gridCol w:w="1489"/>
        <w:gridCol w:w="1489"/>
        <w:gridCol w:w="1489"/>
        <w:gridCol w:w="1489"/>
        <w:gridCol w:w="1489"/>
      </w:tblGrid>
      <w:tr w:rsidR="00365D03" w:rsidRPr="00E227C8" w:rsidTr="0033056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07" w:type="dxa"/>
            <w:shd w:val="clear" w:color="auto" w:fill="0070C0"/>
            <w:hideMark/>
          </w:tcPr>
          <w:p w:rsidR="00365D03" w:rsidRPr="00E227C8" w:rsidRDefault="00365D03" w:rsidP="00345D9B">
            <w:pPr>
              <w:jc w:val="center"/>
              <w:rPr>
                <w:bCs w:val="0"/>
                <w:lang w:eastAsia="en-US" w:bidi="en-US"/>
              </w:rPr>
            </w:pPr>
            <w:r w:rsidRPr="00E227C8">
              <w:rPr>
                <w:bCs w:val="0"/>
              </w:rPr>
              <w:t>(R$ Mil)</w:t>
            </w:r>
          </w:p>
        </w:tc>
        <w:tc>
          <w:tcPr>
            <w:tcW w:w="1276" w:type="dxa"/>
            <w:shd w:val="clear" w:color="auto" w:fill="0070C0"/>
            <w:hideMark/>
          </w:tcPr>
          <w:p w:rsidR="00365D03" w:rsidRPr="00E227C8" w:rsidRDefault="00365D03" w:rsidP="00503B9D">
            <w:pPr>
              <w:jc w:val="right"/>
              <w:cnfStyle w:val="100000000000" w:firstRow="1" w:lastRow="0" w:firstColumn="0" w:lastColumn="0" w:oddVBand="0" w:evenVBand="0" w:oddHBand="0" w:evenHBand="0" w:firstRowFirstColumn="0" w:firstRowLastColumn="0" w:lastRowFirstColumn="0" w:lastRowLastColumn="0"/>
              <w:rPr>
                <w:bCs w:val="0"/>
                <w:lang w:eastAsia="en-US" w:bidi="en-US"/>
              </w:rPr>
            </w:pPr>
            <w:r w:rsidRPr="00E227C8">
              <w:rPr>
                <w:bCs w:val="0"/>
              </w:rPr>
              <w:t>2017</w:t>
            </w:r>
          </w:p>
        </w:tc>
        <w:tc>
          <w:tcPr>
            <w:tcW w:w="1276" w:type="dxa"/>
            <w:shd w:val="clear" w:color="auto" w:fill="0070C0"/>
            <w:hideMark/>
          </w:tcPr>
          <w:p w:rsidR="00365D03" w:rsidRPr="00E227C8" w:rsidRDefault="00365D03" w:rsidP="00503B9D">
            <w:pPr>
              <w:jc w:val="right"/>
              <w:cnfStyle w:val="100000000000" w:firstRow="1" w:lastRow="0" w:firstColumn="0" w:lastColumn="0" w:oddVBand="0" w:evenVBand="0" w:oddHBand="0" w:evenHBand="0" w:firstRowFirstColumn="0" w:firstRowLastColumn="0" w:lastRowFirstColumn="0" w:lastRowLastColumn="0"/>
              <w:rPr>
                <w:bCs w:val="0"/>
                <w:lang w:eastAsia="en-US" w:bidi="en-US"/>
              </w:rPr>
            </w:pPr>
            <w:r w:rsidRPr="00E227C8">
              <w:rPr>
                <w:bCs w:val="0"/>
              </w:rPr>
              <w:t>2018</w:t>
            </w:r>
          </w:p>
        </w:tc>
        <w:tc>
          <w:tcPr>
            <w:tcW w:w="1276" w:type="dxa"/>
            <w:shd w:val="clear" w:color="auto" w:fill="0070C0"/>
            <w:hideMark/>
          </w:tcPr>
          <w:p w:rsidR="00365D03" w:rsidRPr="00E227C8" w:rsidRDefault="00365D03" w:rsidP="00503B9D">
            <w:pPr>
              <w:jc w:val="right"/>
              <w:cnfStyle w:val="100000000000" w:firstRow="1" w:lastRow="0" w:firstColumn="0" w:lastColumn="0" w:oddVBand="0" w:evenVBand="0" w:oddHBand="0" w:evenHBand="0" w:firstRowFirstColumn="0" w:firstRowLastColumn="0" w:lastRowFirstColumn="0" w:lastRowLastColumn="0"/>
              <w:rPr>
                <w:bCs w:val="0"/>
                <w:lang w:eastAsia="en-US" w:bidi="en-US"/>
              </w:rPr>
            </w:pPr>
            <w:r w:rsidRPr="00E227C8">
              <w:rPr>
                <w:bCs w:val="0"/>
              </w:rPr>
              <w:t>2019</w:t>
            </w:r>
          </w:p>
        </w:tc>
        <w:tc>
          <w:tcPr>
            <w:tcW w:w="1276" w:type="dxa"/>
            <w:shd w:val="clear" w:color="auto" w:fill="0070C0"/>
            <w:vAlign w:val="center"/>
            <w:hideMark/>
          </w:tcPr>
          <w:p w:rsidR="00330568" w:rsidRDefault="00365D03" w:rsidP="00330568">
            <w:pPr>
              <w:jc w:val="right"/>
              <w:cnfStyle w:val="100000000000" w:firstRow="1" w:lastRow="0" w:firstColumn="0" w:lastColumn="0" w:oddVBand="0" w:evenVBand="0" w:oddHBand="0" w:evenHBand="0" w:firstRowFirstColumn="0" w:firstRowLastColumn="0" w:lastRowFirstColumn="0" w:lastRowLastColumn="0"/>
              <w:rPr>
                <w:bCs w:val="0"/>
              </w:rPr>
            </w:pPr>
            <w:r w:rsidRPr="00E227C8">
              <w:rPr>
                <w:bCs w:val="0"/>
              </w:rPr>
              <w:t>2020</w:t>
            </w:r>
          </w:p>
          <w:p w:rsidR="00365D03" w:rsidRPr="00E227C8" w:rsidRDefault="00330568" w:rsidP="00330568">
            <w:pPr>
              <w:jc w:val="right"/>
              <w:cnfStyle w:val="100000000000" w:firstRow="1" w:lastRow="0" w:firstColumn="0" w:lastColumn="0" w:oddVBand="0" w:evenVBand="0" w:oddHBand="0" w:evenHBand="0" w:firstRowFirstColumn="0" w:firstRowLastColumn="0" w:lastRowFirstColumn="0" w:lastRowLastColumn="0"/>
              <w:rPr>
                <w:bCs w:val="0"/>
                <w:lang w:eastAsia="en-US" w:bidi="en-US"/>
              </w:rPr>
            </w:pPr>
            <w:r>
              <w:rPr>
                <w:bCs w:val="0"/>
              </w:rPr>
              <w:t>Em Diante</w:t>
            </w:r>
          </w:p>
        </w:tc>
        <w:tc>
          <w:tcPr>
            <w:tcW w:w="1276" w:type="dxa"/>
            <w:shd w:val="clear" w:color="auto" w:fill="0070C0"/>
            <w:hideMark/>
          </w:tcPr>
          <w:p w:rsidR="00365D03" w:rsidRPr="00E227C8" w:rsidRDefault="00365D03" w:rsidP="00503B9D">
            <w:pPr>
              <w:jc w:val="right"/>
              <w:cnfStyle w:val="100000000000" w:firstRow="1" w:lastRow="0" w:firstColumn="0" w:lastColumn="0" w:oddVBand="0" w:evenVBand="0" w:oddHBand="0" w:evenHBand="0" w:firstRowFirstColumn="0" w:firstRowLastColumn="0" w:lastRowFirstColumn="0" w:lastRowLastColumn="0"/>
              <w:rPr>
                <w:bCs w:val="0"/>
                <w:lang w:eastAsia="en-US" w:bidi="en-US"/>
              </w:rPr>
            </w:pPr>
            <w:r w:rsidRPr="00E227C8">
              <w:rPr>
                <w:bCs w:val="0"/>
              </w:rPr>
              <w:t>Total</w:t>
            </w:r>
          </w:p>
        </w:tc>
      </w:tr>
      <w:tr w:rsidR="00365D03" w:rsidRPr="004C1CCC" w:rsidTr="0033056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07" w:type="dxa"/>
            <w:hideMark/>
          </w:tcPr>
          <w:p w:rsidR="00365D03" w:rsidRPr="00365D03" w:rsidRDefault="00365D03" w:rsidP="00345D9B">
            <w:pPr>
              <w:rPr>
                <w:bCs w:val="0"/>
                <w:lang w:eastAsia="en-US" w:bidi="en-US"/>
              </w:rPr>
            </w:pPr>
            <w:r w:rsidRPr="00365D03">
              <w:rPr>
                <w:bCs w:val="0"/>
              </w:rPr>
              <w:t>Moeda Nacional</w:t>
            </w:r>
          </w:p>
        </w:tc>
        <w:tc>
          <w:tcPr>
            <w:tcW w:w="1276" w:type="dxa"/>
            <w:hideMark/>
          </w:tcPr>
          <w:p w:rsidR="00365D03" w:rsidRPr="00B53824" w:rsidRDefault="00DF71B2"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96.989</w:t>
            </w:r>
          </w:p>
        </w:tc>
        <w:tc>
          <w:tcPr>
            <w:tcW w:w="1276" w:type="dxa"/>
            <w:hideMark/>
          </w:tcPr>
          <w:p w:rsidR="00365D03" w:rsidRPr="00B53824" w:rsidRDefault="00DF71B2"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105.714</w:t>
            </w:r>
          </w:p>
        </w:tc>
        <w:tc>
          <w:tcPr>
            <w:tcW w:w="1276" w:type="dxa"/>
            <w:hideMark/>
          </w:tcPr>
          <w:p w:rsidR="00365D03" w:rsidRPr="00B53824" w:rsidRDefault="00DF71B2"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102.271</w:t>
            </w:r>
          </w:p>
        </w:tc>
        <w:tc>
          <w:tcPr>
            <w:tcW w:w="1276" w:type="dxa"/>
            <w:hideMark/>
          </w:tcPr>
          <w:p w:rsidR="00365D03" w:rsidRPr="00B53824" w:rsidRDefault="00365D03"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sidRPr="00B53824">
              <w:rPr>
                <w:b/>
                <w:color w:val="000000"/>
              </w:rPr>
              <w:t>95.920</w:t>
            </w:r>
          </w:p>
        </w:tc>
        <w:tc>
          <w:tcPr>
            <w:tcW w:w="1276" w:type="dxa"/>
            <w:hideMark/>
          </w:tcPr>
          <w:p w:rsidR="00365D03" w:rsidRPr="00B53824" w:rsidRDefault="00365D03" w:rsidP="00345D9B">
            <w:pPr>
              <w:jc w:val="right"/>
              <w:cnfStyle w:val="000000100000" w:firstRow="0" w:lastRow="0" w:firstColumn="0" w:lastColumn="0" w:oddVBand="0" w:evenVBand="0" w:oddHBand="1" w:evenHBand="0" w:firstRowFirstColumn="0" w:firstRowLastColumn="0" w:lastRowFirstColumn="0" w:lastRowLastColumn="0"/>
              <w:rPr>
                <w:b/>
                <w:color w:val="000000"/>
              </w:rPr>
            </w:pPr>
            <w:r w:rsidRPr="00B53824">
              <w:rPr>
                <w:b/>
                <w:color w:val="000000"/>
              </w:rPr>
              <w:t>400.894</w:t>
            </w:r>
          </w:p>
        </w:tc>
      </w:tr>
    </w:tbl>
    <w:p w:rsidR="00365D03" w:rsidRPr="004C1CCC" w:rsidRDefault="00365D03" w:rsidP="00365D03">
      <w:pPr>
        <w:spacing w:before="240" w:after="240"/>
        <w:rPr>
          <w:b/>
          <w:bCs/>
          <w:sz w:val="22"/>
          <w:szCs w:val="22"/>
        </w:rPr>
      </w:pPr>
      <w:r w:rsidRPr="004C1CCC">
        <w:rPr>
          <w:b/>
          <w:bCs/>
          <w:sz w:val="22"/>
          <w:szCs w:val="22"/>
        </w:rPr>
        <w:t>Movimentação dos Empréstimos</w:t>
      </w:r>
      <w:r w:rsidR="00E7719E">
        <w:rPr>
          <w:b/>
          <w:bCs/>
          <w:sz w:val="22"/>
          <w:szCs w:val="22"/>
        </w:rPr>
        <w:t>, Financiamentos e Debêntures</w:t>
      </w:r>
    </w:p>
    <w:p w:rsidR="00365D03" w:rsidRPr="004C1CCC" w:rsidRDefault="00365D03" w:rsidP="00365D03">
      <w:pPr>
        <w:spacing w:before="240" w:after="240"/>
        <w:jc w:val="both"/>
        <w:rPr>
          <w:sz w:val="22"/>
          <w:szCs w:val="22"/>
        </w:rPr>
      </w:pPr>
      <w:r w:rsidRPr="004C1CCC">
        <w:rPr>
          <w:sz w:val="22"/>
          <w:szCs w:val="22"/>
        </w:rPr>
        <w:t>O quadro seguinte sintetiza a movimentação da dívida no exercício de 201</w:t>
      </w:r>
      <w:r>
        <w:rPr>
          <w:sz w:val="22"/>
          <w:szCs w:val="22"/>
        </w:rPr>
        <w:t>6</w:t>
      </w:r>
      <w:r w:rsidRPr="004C1CCC">
        <w:rPr>
          <w:sz w:val="22"/>
          <w:szCs w:val="22"/>
        </w:rPr>
        <w:t>:</w:t>
      </w:r>
    </w:p>
    <w:tbl>
      <w:tblPr>
        <w:tblStyle w:val="ListaClara-nfase11"/>
        <w:tblW w:w="5000" w:type="pct"/>
        <w:tblLook w:val="04A0" w:firstRow="1" w:lastRow="0" w:firstColumn="1" w:lastColumn="0" w:noHBand="0" w:noVBand="1"/>
      </w:tblPr>
      <w:tblGrid>
        <w:gridCol w:w="8840"/>
        <w:gridCol w:w="1298"/>
      </w:tblGrid>
      <w:tr w:rsidR="00365D03" w:rsidRPr="00F37CB3" w:rsidTr="00365D0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360" w:type="pct"/>
            <w:shd w:val="clear" w:color="auto" w:fill="0070C0"/>
            <w:hideMark/>
          </w:tcPr>
          <w:p w:rsidR="00365D03" w:rsidRPr="00F37CB3" w:rsidRDefault="00365D03" w:rsidP="00345D9B">
            <w:pPr>
              <w:ind w:firstLine="284"/>
              <w:jc w:val="center"/>
              <w:rPr>
                <w:bCs w:val="0"/>
                <w:lang w:eastAsia="en-US" w:bidi="en-US"/>
              </w:rPr>
            </w:pPr>
            <w:r w:rsidRPr="00F37CB3">
              <w:rPr>
                <w:bCs w:val="0"/>
              </w:rPr>
              <w:t>(R$ Mil)</w:t>
            </w:r>
          </w:p>
        </w:tc>
        <w:tc>
          <w:tcPr>
            <w:tcW w:w="640" w:type="pct"/>
            <w:shd w:val="clear" w:color="auto" w:fill="0070C0"/>
            <w:hideMark/>
          </w:tcPr>
          <w:p w:rsidR="00365D03" w:rsidRPr="00F37CB3" w:rsidRDefault="00365D03" w:rsidP="00345D9B">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F37CB3">
              <w:rPr>
                <w:bCs w:val="0"/>
              </w:rPr>
              <w:t>31/12/2016</w:t>
            </w:r>
          </w:p>
        </w:tc>
      </w:tr>
      <w:tr w:rsidR="00365D03" w:rsidRPr="00F37CB3"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60" w:type="pct"/>
            <w:hideMark/>
          </w:tcPr>
          <w:p w:rsidR="00365D03" w:rsidRPr="00F37CB3" w:rsidRDefault="00365D03" w:rsidP="00345D9B">
            <w:pPr>
              <w:ind w:firstLine="284"/>
              <w:rPr>
                <w:bCs w:val="0"/>
                <w:lang w:eastAsia="en-US" w:bidi="en-US"/>
              </w:rPr>
            </w:pPr>
            <w:r w:rsidRPr="00F37CB3">
              <w:rPr>
                <w:bCs w:val="0"/>
              </w:rPr>
              <w:t>Saldo Inicial em 31/12/201</w:t>
            </w:r>
            <w:r>
              <w:rPr>
                <w:bCs w:val="0"/>
              </w:rPr>
              <w:t>5</w:t>
            </w:r>
          </w:p>
        </w:tc>
        <w:tc>
          <w:tcPr>
            <w:tcW w:w="640" w:type="pct"/>
            <w:hideMark/>
          </w:tcPr>
          <w:p w:rsidR="00365D03" w:rsidRPr="00F37CB3" w:rsidRDefault="00365D03" w:rsidP="00345D9B">
            <w:pPr>
              <w:jc w:val="right"/>
              <w:cnfStyle w:val="000000100000" w:firstRow="0" w:lastRow="0" w:firstColumn="0" w:lastColumn="0" w:oddVBand="0" w:evenVBand="0" w:oddHBand="1" w:evenHBand="0" w:firstRowFirstColumn="0" w:firstRowLastColumn="0" w:lastRowFirstColumn="0" w:lastRowLastColumn="0"/>
              <w:rPr>
                <w:b/>
                <w:bCs/>
                <w:color w:val="000000"/>
              </w:rPr>
            </w:pPr>
            <w:r w:rsidRPr="00F37CB3">
              <w:rPr>
                <w:b/>
                <w:bCs/>
                <w:color w:val="000000"/>
              </w:rPr>
              <w:t>408.083</w:t>
            </w:r>
          </w:p>
        </w:tc>
      </w:tr>
      <w:tr w:rsidR="00365D03" w:rsidRPr="004C1CCC" w:rsidTr="00345D9B">
        <w:trPr>
          <w:trHeight w:val="283"/>
        </w:trPr>
        <w:tc>
          <w:tcPr>
            <w:cnfStyle w:val="001000000000" w:firstRow="0" w:lastRow="0" w:firstColumn="1" w:lastColumn="0" w:oddVBand="0" w:evenVBand="0" w:oddHBand="0" w:evenHBand="0" w:firstRowFirstColumn="0" w:firstRowLastColumn="0" w:lastRowFirstColumn="0" w:lastRowLastColumn="0"/>
            <w:tcW w:w="4360" w:type="pct"/>
            <w:hideMark/>
          </w:tcPr>
          <w:p w:rsidR="00365D03" w:rsidRPr="00503B9D" w:rsidRDefault="00365D03" w:rsidP="00345D9B">
            <w:pPr>
              <w:ind w:firstLine="284"/>
              <w:jc w:val="both"/>
              <w:rPr>
                <w:bCs w:val="0"/>
                <w:lang w:eastAsia="en-US" w:bidi="en-US"/>
              </w:rPr>
            </w:pPr>
            <w:r w:rsidRPr="00503B9D">
              <w:rPr>
                <w:bCs w:val="0"/>
              </w:rPr>
              <w:t xml:space="preserve">Empréstimos e Financiamentos/Debêntures Obtidos </w:t>
            </w:r>
          </w:p>
        </w:tc>
        <w:tc>
          <w:tcPr>
            <w:tcW w:w="640" w:type="pct"/>
            <w:hideMark/>
          </w:tcPr>
          <w:p w:rsidR="00365D03" w:rsidRPr="00503B9D" w:rsidRDefault="00365D03" w:rsidP="00E7719E">
            <w:pPr>
              <w:jc w:val="right"/>
              <w:cnfStyle w:val="000000000000" w:firstRow="0" w:lastRow="0" w:firstColumn="0" w:lastColumn="0" w:oddVBand="0" w:evenVBand="0" w:oddHBand="0" w:evenHBand="0" w:firstRowFirstColumn="0" w:firstRowLastColumn="0" w:lastRowFirstColumn="0" w:lastRowLastColumn="0"/>
              <w:rPr>
                <w:b/>
                <w:color w:val="000000"/>
              </w:rPr>
            </w:pPr>
            <w:r w:rsidRPr="00503B9D">
              <w:rPr>
                <w:b/>
                <w:bCs/>
                <w:color w:val="000000"/>
              </w:rPr>
              <w:t>71.</w:t>
            </w:r>
            <w:r w:rsidR="00E7719E">
              <w:rPr>
                <w:b/>
                <w:bCs/>
                <w:color w:val="000000"/>
              </w:rPr>
              <w:t>000</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60" w:type="pct"/>
            <w:hideMark/>
          </w:tcPr>
          <w:p w:rsidR="00365D03" w:rsidRPr="00503B9D" w:rsidRDefault="00365D03" w:rsidP="00345D9B">
            <w:pPr>
              <w:ind w:firstLine="284"/>
              <w:jc w:val="both"/>
              <w:rPr>
                <w:bCs w:val="0"/>
                <w:lang w:eastAsia="en-US" w:bidi="en-US"/>
              </w:rPr>
            </w:pPr>
            <w:r w:rsidRPr="00503B9D">
              <w:rPr>
                <w:bCs w:val="0"/>
              </w:rPr>
              <w:t>Encargos Incorridos no Período</w:t>
            </w:r>
          </w:p>
        </w:tc>
        <w:tc>
          <w:tcPr>
            <w:tcW w:w="640" w:type="pct"/>
            <w:hideMark/>
          </w:tcPr>
          <w:p w:rsidR="00365D03" w:rsidRPr="00503B9D" w:rsidRDefault="00365D03" w:rsidP="00E7719E">
            <w:pPr>
              <w:jc w:val="right"/>
              <w:cnfStyle w:val="000000100000" w:firstRow="0" w:lastRow="0" w:firstColumn="0" w:lastColumn="0" w:oddVBand="0" w:evenVBand="0" w:oddHBand="1" w:evenHBand="0" w:firstRowFirstColumn="0" w:firstRowLastColumn="0" w:lastRowFirstColumn="0" w:lastRowLastColumn="0"/>
              <w:rPr>
                <w:b/>
                <w:color w:val="000000"/>
              </w:rPr>
            </w:pPr>
            <w:r w:rsidRPr="00503B9D">
              <w:rPr>
                <w:b/>
                <w:color w:val="000000"/>
              </w:rPr>
              <w:t>6</w:t>
            </w:r>
            <w:r w:rsidR="00E7719E">
              <w:rPr>
                <w:b/>
                <w:color w:val="000000"/>
              </w:rPr>
              <w:t>7.079</w:t>
            </w:r>
          </w:p>
        </w:tc>
      </w:tr>
      <w:tr w:rsidR="00365D03" w:rsidRPr="004C1CCC" w:rsidTr="00345D9B">
        <w:trPr>
          <w:trHeight w:val="283"/>
        </w:trPr>
        <w:tc>
          <w:tcPr>
            <w:cnfStyle w:val="001000000000" w:firstRow="0" w:lastRow="0" w:firstColumn="1" w:lastColumn="0" w:oddVBand="0" w:evenVBand="0" w:oddHBand="0" w:evenHBand="0" w:firstRowFirstColumn="0" w:firstRowLastColumn="0" w:lastRowFirstColumn="0" w:lastRowLastColumn="0"/>
            <w:tcW w:w="4360" w:type="pct"/>
            <w:hideMark/>
          </w:tcPr>
          <w:p w:rsidR="00365D03" w:rsidRPr="00503B9D" w:rsidRDefault="00365D03" w:rsidP="00345D9B">
            <w:pPr>
              <w:ind w:firstLine="284"/>
              <w:jc w:val="both"/>
              <w:rPr>
                <w:bCs w:val="0"/>
                <w:lang w:eastAsia="en-US" w:bidi="en-US"/>
              </w:rPr>
            </w:pPr>
            <w:r w:rsidRPr="00503B9D">
              <w:rPr>
                <w:bCs w:val="0"/>
              </w:rPr>
              <w:t xml:space="preserve">Encargos Financeiros Pagos </w:t>
            </w:r>
          </w:p>
        </w:tc>
        <w:tc>
          <w:tcPr>
            <w:tcW w:w="640" w:type="pct"/>
            <w:hideMark/>
          </w:tcPr>
          <w:p w:rsidR="00365D03" w:rsidRPr="00503B9D" w:rsidRDefault="009803AD" w:rsidP="00E7719E">
            <w:pPr>
              <w:jc w:val="right"/>
              <w:cnfStyle w:val="000000000000" w:firstRow="0" w:lastRow="0" w:firstColumn="0" w:lastColumn="0" w:oddVBand="0" w:evenVBand="0" w:oddHBand="0" w:evenHBand="0" w:firstRowFirstColumn="0" w:firstRowLastColumn="0" w:lastRowFirstColumn="0" w:lastRowLastColumn="0"/>
              <w:rPr>
                <w:b/>
                <w:color w:val="000000"/>
              </w:rPr>
            </w:pPr>
            <w:r>
              <w:rPr>
                <w:b/>
                <w:bCs/>
                <w:color w:val="000000"/>
              </w:rPr>
              <w:t>(</w:t>
            </w:r>
            <w:r w:rsidR="00365D03" w:rsidRPr="00503B9D">
              <w:rPr>
                <w:b/>
                <w:bCs/>
                <w:color w:val="000000"/>
              </w:rPr>
              <w:t>66.</w:t>
            </w:r>
            <w:r w:rsidR="00E7719E">
              <w:rPr>
                <w:b/>
                <w:bCs/>
                <w:color w:val="000000"/>
              </w:rPr>
              <w:t>094</w:t>
            </w:r>
            <w:r>
              <w:rPr>
                <w:b/>
                <w:bCs/>
                <w:color w:val="000000"/>
              </w:rPr>
              <w:t>)</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60" w:type="pct"/>
            <w:hideMark/>
          </w:tcPr>
          <w:p w:rsidR="00365D03" w:rsidRPr="00503B9D" w:rsidRDefault="00365D03" w:rsidP="00345D9B">
            <w:pPr>
              <w:ind w:firstLine="284"/>
              <w:jc w:val="both"/>
              <w:rPr>
                <w:bCs w:val="0"/>
                <w:lang w:eastAsia="en-US" w:bidi="en-US"/>
              </w:rPr>
            </w:pPr>
            <w:r w:rsidRPr="00503B9D">
              <w:rPr>
                <w:bCs w:val="0"/>
              </w:rPr>
              <w:t xml:space="preserve">Amortizações de Principal </w:t>
            </w:r>
          </w:p>
        </w:tc>
        <w:tc>
          <w:tcPr>
            <w:tcW w:w="640" w:type="pct"/>
            <w:hideMark/>
          </w:tcPr>
          <w:p w:rsidR="00365D03" w:rsidRPr="00503B9D" w:rsidRDefault="009803AD" w:rsidP="00E7719E">
            <w:pPr>
              <w:jc w:val="right"/>
              <w:cnfStyle w:val="000000100000" w:firstRow="0" w:lastRow="0" w:firstColumn="0" w:lastColumn="0" w:oddVBand="0" w:evenVBand="0" w:oddHBand="1" w:evenHBand="0" w:firstRowFirstColumn="0" w:firstRowLastColumn="0" w:lastRowFirstColumn="0" w:lastRowLastColumn="0"/>
              <w:rPr>
                <w:b/>
                <w:color w:val="000000"/>
              </w:rPr>
            </w:pPr>
            <w:r>
              <w:rPr>
                <w:b/>
                <w:bCs/>
                <w:color w:val="000000"/>
              </w:rPr>
              <w:t>(</w:t>
            </w:r>
            <w:r w:rsidR="00365D03" w:rsidRPr="00503B9D">
              <w:rPr>
                <w:b/>
                <w:bCs/>
                <w:color w:val="000000"/>
              </w:rPr>
              <w:t>7</w:t>
            </w:r>
            <w:r w:rsidR="00E7719E">
              <w:rPr>
                <w:b/>
                <w:bCs/>
                <w:color w:val="000000"/>
              </w:rPr>
              <w:t>5.883</w:t>
            </w:r>
            <w:r>
              <w:rPr>
                <w:b/>
                <w:bCs/>
                <w:color w:val="000000"/>
              </w:rPr>
              <w:t>)</w:t>
            </w:r>
          </w:p>
        </w:tc>
      </w:tr>
      <w:tr w:rsidR="00E7719E" w:rsidRPr="00F37CB3" w:rsidTr="00345D9B">
        <w:trPr>
          <w:trHeight w:val="283"/>
        </w:trPr>
        <w:tc>
          <w:tcPr>
            <w:cnfStyle w:val="001000000000" w:firstRow="0" w:lastRow="0" w:firstColumn="1" w:lastColumn="0" w:oddVBand="0" w:evenVBand="0" w:oddHBand="0" w:evenHBand="0" w:firstRowFirstColumn="0" w:firstRowLastColumn="0" w:lastRowFirstColumn="0" w:lastRowLastColumn="0"/>
            <w:tcW w:w="4360" w:type="pct"/>
            <w:hideMark/>
          </w:tcPr>
          <w:p w:rsidR="00E7719E" w:rsidRPr="00503B9D" w:rsidRDefault="00E7719E" w:rsidP="00345D9B">
            <w:pPr>
              <w:ind w:firstLine="284"/>
              <w:rPr>
                <w:bCs w:val="0"/>
              </w:rPr>
            </w:pPr>
            <w:r>
              <w:rPr>
                <w:bCs w:val="0"/>
              </w:rPr>
              <w:t>Deságio, Variação Monetária e Custo da Transação</w:t>
            </w:r>
          </w:p>
        </w:tc>
        <w:tc>
          <w:tcPr>
            <w:tcW w:w="640" w:type="pct"/>
            <w:hideMark/>
          </w:tcPr>
          <w:p w:rsidR="00E7719E" w:rsidRPr="00503B9D" w:rsidRDefault="00E7719E" w:rsidP="00345D9B">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(3.721)</w:t>
            </w:r>
          </w:p>
        </w:tc>
      </w:tr>
      <w:tr w:rsidR="00365D03" w:rsidRPr="00F37CB3" w:rsidTr="00345D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60" w:type="pct"/>
            <w:hideMark/>
          </w:tcPr>
          <w:p w:rsidR="00365D03" w:rsidRPr="00503B9D" w:rsidRDefault="00365D03" w:rsidP="00345D9B">
            <w:pPr>
              <w:ind w:firstLine="284"/>
              <w:rPr>
                <w:bCs w:val="0"/>
                <w:lang w:eastAsia="en-US" w:bidi="en-US"/>
              </w:rPr>
            </w:pPr>
            <w:r w:rsidRPr="00503B9D">
              <w:rPr>
                <w:bCs w:val="0"/>
              </w:rPr>
              <w:t>Saldo Final em 31/12/2016</w:t>
            </w:r>
          </w:p>
        </w:tc>
        <w:tc>
          <w:tcPr>
            <w:tcW w:w="640" w:type="pct"/>
            <w:hideMark/>
          </w:tcPr>
          <w:p w:rsidR="00365D03" w:rsidRPr="00503B9D" w:rsidRDefault="00365D03" w:rsidP="00345D9B">
            <w:pPr>
              <w:jc w:val="right"/>
              <w:cnfStyle w:val="000000100000" w:firstRow="0" w:lastRow="0" w:firstColumn="0" w:lastColumn="0" w:oddVBand="0" w:evenVBand="0" w:oddHBand="1" w:evenHBand="0" w:firstRowFirstColumn="0" w:firstRowLastColumn="0" w:lastRowFirstColumn="0" w:lastRowLastColumn="0"/>
              <w:rPr>
                <w:b/>
                <w:bCs/>
                <w:color w:val="000000"/>
              </w:rPr>
            </w:pPr>
            <w:r w:rsidRPr="00503B9D">
              <w:rPr>
                <w:b/>
                <w:bCs/>
                <w:color w:val="000000"/>
              </w:rPr>
              <w:t>400.894</w:t>
            </w:r>
          </w:p>
        </w:tc>
      </w:tr>
    </w:tbl>
    <w:p w:rsidR="00365D03" w:rsidRPr="004C1CCC" w:rsidRDefault="00365D03" w:rsidP="00365D03">
      <w:pPr>
        <w:spacing w:before="240" w:after="240"/>
        <w:rPr>
          <w:b/>
          <w:bCs/>
          <w:sz w:val="22"/>
          <w:szCs w:val="22"/>
        </w:rPr>
      </w:pPr>
      <w:r w:rsidRPr="004C1CCC">
        <w:rPr>
          <w:b/>
          <w:bCs/>
          <w:sz w:val="22"/>
          <w:szCs w:val="22"/>
        </w:rPr>
        <w:t>CAPEX</w:t>
      </w:r>
    </w:p>
    <w:tbl>
      <w:tblPr>
        <w:tblStyle w:val="ListaClara-nfase11"/>
        <w:tblW w:w="5000" w:type="pct"/>
        <w:tblLook w:val="04A0" w:firstRow="1" w:lastRow="0" w:firstColumn="1" w:lastColumn="0" w:noHBand="0" w:noVBand="1"/>
      </w:tblPr>
      <w:tblGrid>
        <w:gridCol w:w="4944"/>
        <w:gridCol w:w="1298"/>
        <w:gridCol w:w="1298"/>
        <w:gridCol w:w="1298"/>
        <w:gridCol w:w="1300"/>
      </w:tblGrid>
      <w:tr w:rsidR="00365D03" w:rsidRPr="00877BBB" w:rsidTr="00B92CE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pct"/>
            <w:shd w:val="clear" w:color="auto" w:fill="0070C0"/>
            <w:hideMark/>
          </w:tcPr>
          <w:p w:rsidR="00365D03" w:rsidRPr="00877BBB" w:rsidRDefault="00365D03" w:rsidP="00345D9B">
            <w:pPr>
              <w:jc w:val="center"/>
              <w:rPr>
                <w:bCs w:val="0"/>
                <w:lang w:eastAsia="en-US" w:bidi="en-US"/>
              </w:rPr>
            </w:pPr>
            <w:r w:rsidRPr="00877BBB">
              <w:rPr>
                <w:bCs w:val="0"/>
              </w:rPr>
              <w:t>(R$ Mil)</w:t>
            </w:r>
          </w:p>
        </w:tc>
        <w:tc>
          <w:tcPr>
            <w:tcW w:w="640" w:type="pct"/>
            <w:shd w:val="clear" w:color="auto" w:fill="0070C0"/>
          </w:tcPr>
          <w:p w:rsidR="00365D03" w:rsidRPr="00877BBB" w:rsidRDefault="00365D03" w:rsidP="00345D9B">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877BBB">
              <w:rPr>
                <w:bCs w:val="0"/>
              </w:rPr>
              <w:t>2015</w:t>
            </w:r>
          </w:p>
        </w:tc>
        <w:tc>
          <w:tcPr>
            <w:tcW w:w="640" w:type="pct"/>
            <w:shd w:val="clear" w:color="auto" w:fill="0070C0"/>
            <w:hideMark/>
          </w:tcPr>
          <w:p w:rsidR="00365D03" w:rsidRPr="00877BBB" w:rsidRDefault="00365D03" w:rsidP="00345D9B">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877BBB">
              <w:rPr>
                <w:bCs w:val="0"/>
              </w:rPr>
              <w:t>2016</w:t>
            </w:r>
          </w:p>
        </w:tc>
        <w:tc>
          <w:tcPr>
            <w:tcW w:w="1281" w:type="pct"/>
            <w:gridSpan w:val="2"/>
            <w:shd w:val="clear" w:color="auto" w:fill="0070C0"/>
            <w:hideMark/>
          </w:tcPr>
          <w:p w:rsidR="00365D03" w:rsidRPr="00877BBB" w:rsidRDefault="00365D03" w:rsidP="00345D9B">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877BBB">
              <w:rPr>
                <w:bCs w:val="0"/>
              </w:rPr>
              <w:t>Δ Ano</w:t>
            </w:r>
          </w:p>
        </w:tc>
      </w:tr>
      <w:tr w:rsidR="00365D03" w:rsidRPr="004C1CCC" w:rsidTr="00B92CE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4C1CCC" w:rsidRDefault="00365D03" w:rsidP="00345D9B">
            <w:pPr>
              <w:jc w:val="both"/>
              <w:rPr>
                <w:b w:val="0"/>
                <w:bCs w:val="0"/>
                <w:lang w:val="en-US" w:eastAsia="en-US" w:bidi="en-US"/>
              </w:rPr>
            </w:pPr>
          </w:p>
        </w:tc>
        <w:tc>
          <w:tcPr>
            <w:tcW w:w="640" w:type="pct"/>
          </w:tcPr>
          <w:p w:rsidR="00365D03" w:rsidRPr="004C1CCC" w:rsidRDefault="00365D03" w:rsidP="00345D9B">
            <w:pPr>
              <w:jc w:val="both"/>
              <w:cnfStyle w:val="000000100000" w:firstRow="0" w:lastRow="0" w:firstColumn="0" w:lastColumn="0" w:oddVBand="0" w:evenVBand="0" w:oddHBand="1" w:evenHBand="0" w:firstRowFirstColumn="0" w:firstRowLastColumn="0" w:lastRowFirstColumn="0" w:lastRowLastColumn="0"/>
              <w:rPr>
                <w:lang w:val="en-US" w:eastAsia="en-US" w:bidi="en-US"/>
              </w:rPr>
            </w:pPr>
          </w:p>
        </w:tc>
        <w:tc>
          <w:tcPr>
            <w:tcW w:w="640" w:type="pct"/>
            <w:hideMark/>
          </w:tcPr>
          <w:p w:rsidR="00365D03" w:rsidRPr="004C1CCC" w:rsidRDefault="00365D03" w:rsidP="00345D9B">
            <w:pPr>
              <w:jc w:val="both"/>
              <w:cnfStyle w:val="000000100000" w:firstRow="0" w:lastRow="0" w:firstColumn="0" w:lastColumn="0" w:oddVBand="0" w:evenVBand="0" w:oddHBand="1" w:evenHBand="0" w:firstRowFirstColumn="0" w:firstRowLastColumn="0" w:lastRowFirstColumn="0" w:lastRowLastColumn="0"/>
              <w:rPr>
                <w:lang w:val="en-US" w:eastAsia="en-US" w:bidi="en-US"/>
              </w:rPr>
            </w:pPr>
          </w:p>
        </w:tc>
        <w:tc>
          <w:tcPr>
            <w:tcW w:w="640" w:type="pct"/>
            <w:hideMark/>
          </w:tcPr>
          <w:p w:rsidR="00365D03" w:rsidRPr="004C1CCC" w:rsidRDefault="00365D03" w:rsidP="00503B9D">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4C1CCC">
              <w:rPr>
                <w:b/>
                <w:bCs/>
              </w:rPr>
              <w:t>(R$ Mil)</w:t>
            </w:r>
          </w:p>
        </w:tc>
        <w:tc>
          <w:tcPr>
            <w:tcW w:w="641" w:type="pct"/>
            <w:hideMark/>
          </w:tcPr>
          <w:p w:rsidR="00365D03" w:rsidRPr="004C1CCC" w:rsidRDefault="00365D03" w:rsidP="00503B9D">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4C1CCC">
              <w:rPr>
                <w:b/>
                <w:bCs/>
              </w:rPr>
              <w:t>(%)</w:t>
            </w:r>
          </w:p>
        </w:tc>
      </w:tr>
      <w:tr w:rsidR="00365D03" w:rsidRPr="004C1CCC" w:rsidTr="00B92CEF">
        <w:trPr>
          <w:trHeight w:val="283"/>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365D03" w:rsidRDefault="00365D03" w:rsidP="00345D9B">
            <w:pPr>
              <w:ind w:firstLine="284"/>
              <w:rPr>
                <w:bCs w:val="0"/>
                <w:lang w:eastAsia="en-US" w:bidi="en-US"/>
              </w:rPr>
            </w:pPr>
            <w:r w:rsidRPr="00365D03">
              <w:rPr>
                <w:bCs w:val="0"/>
              </w:rPr>
              <w:t>CAPEX</w:t>
            </w:r>
          </w:p>
        </w:tc>
        <w:tc>
          <w:tcPr>
            <w:tcW w:w="640" w:type="pct"/>
          </w:tcPr>
          <w:p w:rsidR="00365D03" w:rsidRPr="00B53824" w:rsidRDefault="00365D03" w:rsidP="00345D9B">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78.676</w:t>
            </w:r>
          </w:p>
        </w:tc>
        <w:tc>
          <w:tcPr>
            <w:tcW w:w="640" w:type="pct"/>
            <w:hideMark/>
          </w:tcPr>
          <w:p w:rsidR="00365D03" w:rsidRPr="00B53824" w:rsidRDefault="00365D03" w:rsidP="00345D9B">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88.341</w:t>
            </w:r>
          </w:p>
        </w:tc>
        <w:tc>
          <w:tcPr>
            <w:tcW w:w="640" w:type="pct"/>
            <w:hideMark/>
          </w:tcPr>
          <w:p w:rsidR="00365D03" w:rsidRPr="00B53824" w:rsidRDefault="00365D03" w:rsidP="00503B9D">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9.665</w:t>
            </w:r>
          </w:p>
        </w:tc>
        <w:tc>
          <w:tcPr>
            <w:tcW w:w="641" w:type="pct"/>
            <w:hideMark/>
          </w:tcPr>
          <w:p w:rsidR="00365D03" w:rsidRPr="00B53824" w:rsidRDefault="00365D03" w:rsidP="00330568">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12,3</w:t>
            </w:r>
          </w:p>
        </w:tc>
      </w:tr>
    </w:tbl>
    <w:p w:rsidR="00B92CEF" w:rsidRDefault="00B92CEF" w:rsidP="00B92CEF">
      <w:pPr>
        <w:jc w:val="both"/>
        <w:rPr>
          <w:sz w:val="22"/>
          <w:szCs w:val="22"/>
        </w:rPr>
      </w:pPr>
    </w:p>
    <w:p w:rsidR="00B92CEF" w:rsidRDefault="00B92CEF" w:rsidP="00B92CEF">
      <w:pPr>
        <w:jc w:val="both"/>
        <w:rPr>
          <w:sz w:val="22"/>
          <w:szCs w:val="22"/>
        </w:rPr>
      </w:pPr>
      <w:r w:rsidRPr="000336EC">
        <w:rPr>
          <w:sz w:val="22"/>
          <w:szCs w:val="22"/>
        </w:rPr>
        <w:t>Em 2016, os investimentos foram de R$ 88.341 mil (R$ 78.676 mil em 2015), apresentando um aumento de 12,3%. Os recursos investidos em 2016 foram  destinados, principalmente, às obras de expansão do sistema</w:t>
      </w:r>
      <w:r>
        <w:rPr>
          <w:sz w:val="22"/>
          <w:szCs w:val="22"/>
        </w:rPr>
        <w:t xml:space="preserve"> e</w:t>
      </w:r>
      <w:r w:rsidRPr="000336EC">
        <w:rPr>
          <w:sz w:val="22"/>
          <w:szCs w:val="22"/>
        </w:rPr>
        <w:t xml:space="preserve"> à modernização e manutenção da rede de distribuição</w:t>
      </w:r>
      <w:r>
        <w:rPr>
          <w:sz w:val="22"/>
          <w:szCs w:val="22"/>
        </w:rPr>
        <w:t xml:space="preserve">, no valor de R$ 58.695 mil; à aquisição de </w:t>
      </w:r>
      <w:r w:rsidRPr="00B92CEF">
        <w:rPr>
          <w:i/>
          <w:sz w:val="22"/>
          <w:szCs w:val="22"/>
        </w:rPr>
        <w:t>software</w:t>
      </w:r>
      <w:r>
        <w:rPr>
          <w:sz w:val="22"/>
          <w:szCs w:val="22"/>
        </w:rPr>
        <w:t xml:space="preserve"> com registro de R$ 19.846 mil no Intangível; e R$ 9.800 mil relativos aos imobilizados não vinculados à concessão.</w:t>
      </w:r>
    </w:p>
    <w:p w:rsidR="00365D03" w:rsidRPr="004C1CCC" w:rsidRDefault="00365D03" w:rsidP="00365D03">
      <w:pPr>
        <w:spacing w:before="240" w:after="240"/>
        <w:rPr>
          <w:b/>
          <w:bCs/>
          <w:sz w:val="22"/>
          <w:szCs w:val="22"/>
        </w:rPr>
      </w:pPr>
      <w:r w:rsidRPr="004C1CCC">
        <w:rPr>
          <w:b/>
          <w:bCs/>
          <w:sz w:val="22"/>
          <w:szCs w:val="22"/>
        </w:rPr>
        <w:t>Distribuição do Valor Adicionado</w:t>
      </w:r>
    </w:p>
    <w:tbl>
      <w:tblPr>
        <w:tblStyle w:val="ListaClara-nfase11"/>
        <w:tblW w:w="5000" w:type="pct"/>
        <w:tblLook w:val="04A0" w:firstRow="1" w:lastRow="0" w:firstColumn="1" w:lastColumn="0" w:noHBand="0" w:noVBand="1"/>
      </w:tblPr>
      <w:tblGrid>
        <w:gridCol w:w="4944"/>
        <w:gridCol w:w="1298"/>
        <w:gridCol w:w="1298"/>
        <w:gridCol w:w="1298"/>
        <w:gridCol w:w="1300"/>
      </w:tblGrid>
      <w:tr w:rsidR="00365D03" w:rsidRPr="00E227C8" w:rsidTr="00B5382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8" w:type="pct"/>
            <w:shd w:val="clear" w:color="auto" w:fill="0070C0"/>
            <w:vAlign w:val="center"/>
            <w:hideMark/>
          </w:tcPr>
          <w:p w:rsidR="00365D03" w:rsidRPr="00E227C8" w:rsidRDefault="00365D03" w:rsidP="00B53824">
            <w:pPr>
              <w:jc w:val="center"/>
              <w:rPr>
                <w:bCs w:val="0"/>
                <w:lang w:eastAsia="en-US" w:bidi="en-US"/>
              </w:rPr>
            </w:pPr>
            <w:r w:rsidRPr="00E227C8">
              <w:rPr>
                <w:bCs w:val="0"/>
              </w:rPr>
              <w:t>(R$ Mil)</w:t>
            </w:r>
          </w:p>
        </w:tc>
        <w:tc>
          <w:tcPr>
            <w:tcW w:w="640" w:type="pct"/>
            <w:shd w:val="clear" w:color="auto" w:fill="0070C0"/>
            <w:vAlign w:val="center"/>
          </w:tcPr>
          <w:p w:rsidR="00365D03" w:rsidRPr="00E227C8"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rPr>
            </w:pPr>
            <w:r w:rsidRPr="00E227C8">
              <w:rPr>
                <w:bCs w:val="0"/>
              </w:rPr>
              <w:t>2015</w:t>
            </w:r>
          </w:p>
          <w:p w:rsidR="00365D03" w:rsidRPr="00AA43C5"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sz w:val="16"/>
                <w:szCs w:val="16"/>
                <w:lang w:eastAsia="en-US" w:bidi="en-US"/>
              </w:rPr>
            </w:pPr>
            <w:r w:rsidRPr="00AA43C5">
              <w:rPr>
                <w:bCs w:val="0"/>
                <w:sz w:val="16"/>
                <w:szCs w:val="16"/>
              </w:rPr>
              <w:t>Reapresentado</w:t>
            </w:r>
          </w:p>
        </w:tc>
        <w:tc>
          <w:tcPr>
            <w:tcW w:w="640" w:type="pct"/>
            <w:shd w:val="clear" w:color="auto" w:fill="0070C0"/>
            <w:vAlign w:val="center"/>
            <w:hideMark/>
          </w:tcPr>
          <w:p w:rsidR="00365D03" w:rsidRPr="00E227C8"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E227C8">
              <w:rPr>
                <w:bCs w:val="0"/>
              </w:rPr>
              <w:t>2016</w:t>
            </w:r>
          </w:p>
        </w:tc>
        <w:tc>
          <w:tcPr>
            <w:tcW w:w="1281" w:type="pct"/>
            <w:gridSpan w:val="2"/>
            <w:shd w:val="clear" w:color="auto" w:fill="0070C0"/>
            <w:vAlign w:val="center"/>
            <w:hideMark/>
          </w:tcPr>
          <w:p w:rsidR="00365D03" w:rsidRPr="00E227C8" w:rsidRDefault="00365D03" w:rsidP="00B53824">
            <w:pPr>
              <w:jc w:val="center"/>
              <w:cnfStyle w:val="100000000000" w:firstRow="1" w:lastRow="0" w:firstColumn="0" w:lastColumn="0" w:oddVBand="0" w:evenVBand="0" w:oddHBand="0" w:evenHBand="0" w:firstRowFirstColumn="0" w:firstRowLastColumn="0" w:lastRowFirstColumn="0" w:lastRowLastColumn="0"/>
              <w:rPr>
                <w:bCs w:val="0"/>
                <w:lang w:eastAsia="en-US" w:bidi="en-US"/>
              </w:rPr>
            </w:pPr>
            <w:r w:rsidRPr="00E227C8">
              <w:rPr>
                <w:bCs w:val="0"/>
              </w:rPr>
              <w:t>Δ Ano</w:t>
            </w:r>
          </w:p>
        </w:tc>
      </w:tr>
      <w:tr w:rsidR="00365D03" w:rsidRPr="004C1CCC" w:rsidTr="00345D9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4C1CCC" w:rsidRDefault="00365D03" w:rsidP="00345D9B">
            <w:pPr>
              <w:jc w:val="both"/>
              <w:rPr>
                <w:b w:val="0"/>
                <w:bCs w:val="0"/>
                <w:lang w:val="en-US" w:eastAsia="en-US" w:bidi="en-US"/>
              </w:rPr>
            </w:pPr>
          </w:p>
        </w:tc>
        <w:tc>
          <w:tcPr>
            <w:tcW w:w="640" w:type="pct"/>
          </w:tcPr>
          <w:p w:rsidR="00365D03" w:rsidRPr="004C1CCC" w:rsidRDefault="00365D03" w:rsidP="00345D9B">
            <w:pPr>
              <w:jc w:val="both"/>
              <w:cnfStyle w:val="000000100000" w:firstRow="0" w:lastRow="0" w:firstColumn="0" w:lastColumn="0" w:oddVBand="0" w:evenVBand="0" w:oddHBand="1" w:evenHBand="0" w:firstRowFirstColumn="0" w:firstRowLastColumn="0" w:lastRowFirstColumn="0" w:lastRowLastColumn="0"/>
              <w:rPr>
                <w:lang w:val="en-US" w:eastAsia="en-US" w:bidi="en-US"/>
              </w:rPr>
            </w:pPr>
          </w:p>
        </w:tc>
        <w:tc>
          <w:tcPr>
            <w:tcW w:w="640" w:type="pct"/>
            <w:hideMark/>
          </w:tcPr>
          <w:p w:rsidR="00365D03" w:rsidRPr="004C1CCC" w:rsidRDefault="00365D03" w:rsidP="00345D9B">
            <w:pPr>
              <w:jc w:val="both"/>
              <w:cnfStyle w:val="000000100000" w:firstRow="0" w:lastRow="0" w:firstColumn="0" w:lastColumn="0" w:oddVBand="0" w:evenVBand="0" w:oddHBand="1" w:evenHBand="0" w:firstRowFirstColumn="0" w:firstRowLastColumn="0" w:lastRowFirstColumn="0" w:lastRowLastColumn="0"/>
              <w:rPr>
                <w:lang w:val="en-US" w:eastAsia="en-US" w:bidi="en-US"/>
              </w:rPr>
            </w:pPr>
          </w:p>
        </w:tc>
        <w:tc>
          <w:tcPr>
            <w:tcW w:w="640" w:type="pct"/>
            <w:hideMark/>
          </w:tcPr>
          <w:p w:rsidR="00365D03" w:rsidRPr="004C1CCC" w:rsidRDefault="00365D03" w:rsidP="00503B9D">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4C1CCC">
              <w:rPr>
                <w:b/>
                <w:bCs/>
              </w:rPr>
              <w:t>(R$ Mil)</w:t>
            </w:r>
          </w:p>
        </w:tc>
        <w:tc>
          <w:tcPr>
            <w:tcW w:w="641" w:type="pct"/>
            <w:hideMark/>
          </w:tcPr>
          <w:p w:rsidR="00365D03" w:rsidRPr="004C1CCC" w:rsidRDefault="00365D03" w:rsidP="00503B9D">
            <w:pPr>
              <w:jc w:val="right"/>
              <w:cnfStyle w:val="000000100000" w:firstRow="0" w:lastRow="0" w:firstColumn="0" w:lastColumn="0" w:oddVBand="0" w:evenVBand="0" w:oddHBand="1" w:evenHBand="0" w:firstRowFirstColumn="0" w:firstRowLastColumn="0" w:lastRowFirstColumn="0" w:lastRowLastColumn="0"/>
              <w:rPr>
                <w:b/>
                <w:bCs/>
                <w:lang w:eastAsia="en-US" w:bidi="en-US"/>
              </w:rPr>
            </w:pPr>
            <w:r w:rsidRPr="004C1CCC">
              <w:rPr>
                <w:b/>
                <w:bCs/>
              </w:rPr>
              <w:t>(%)</w:t>
            </w:r>
          </w:p>
        </w:tc>
      </w:tr>
      <w:tr w:rsidR="00365D03" w:rsidRPr="004C1CCC" w:rsidTr="00345D9B">
        <w:trPr>
          <w:trHeight w:val="312"/>
        </w:trPr>
        <w:tc>
          <w:tcPr>
            <w:cnfStyle w:val="001000000000" w:firstRow="0" w:lastRow="0" w:firstColumn="1" w:lastColumn="0" w:oddVBand="0" w:evenVBand="0" w:oddHBand="0" w:evenHBand="0" w:firstRowFirstColumn="0" w:firstRowLastColumn="0" w:lastRowFirstColumn="0" w:lastRowLastColumn="0"/>
            <w:tcW w:w="2438" w:type="pct"/>
            <w:hideMark/>
          </w:tcPr>
          <w:p w:rsidR="00365D03" w:rsidRPr="004C1CCC" w:rsidRDefault="00365D03" w:rsidP="00345D9B">
            <w:pPr>
              <w:ind w:firstLine="284"/>
              <w:rPr>
                <w:bCs w:val="0"/>
                <w:lang w:eastAsia="en-US" w:bidi="en-US"/>
              </w:rPr>
            </w:pPr>
            <w:r w:rsidRPr="004C1CCC">
              <w:rPr>
                <w:bCs w:val="0"/>
              </w:rPr>
              <w:t>Distribuição do Valor Adicionado</w:t>
            </w:r>
          </w:p>
        </w:tc>
        <w:tc>
          <w:tcPr>
            <w:tcW w:w="640" w:type="pct"/>
          </w:tcPr>
          <w:p w:rsidR="00365D03" w:rsidRPr="00B53824" w:rsidRDefault="00365D03" w:rsidP="00345D9B">
            <w:pPr>
              <w:jc w:val="right"/>
              <w:cnfStyle w:val="000000000000" w:firstRow="0" w:lastRow="0" w:firstColumn="0" w:lastColumn="0" w:oddVBand="0" w:evenVBand="0" w:oddHBand="0" w:evenHBand="0" w:firstRowFirstColumn="0" w:firstRowLastColumn="0" w:lastRowFirstColumn="0" w:lastRowLastColumn="0"/>
              <w:rPr>
                <w:b/>
                <w:lang w:eastAsia="en-US" w:bidi="en-US"/>
              </w:rPr>
            </w:pPr>
            <w:r w:rsidRPr="00B53824">
              <w:rPr>
                <w:b/>
              </w:rPr>
              <w:t>2.030.681</w:t>
            </w:r>
          </w:p>
        </w:tc>
        <w:tc>
          <w:tcPr>
            <w:tcW w:w="640" w:type="pct"/>
            <w:hideMark/>
          </w:tcPr>
          <w:p w:rsidR="00365D03" w:rsidRPr="00B53824" w:rsidRDefault="00365D03" w:rsidP="00345D9B">
            <w:pPr>
              <w:jc w:val="right"/>
              <w:cnfStyle w:val="000000000000" w:firstRow="0" w:lastRow="0" w:firstColumn="0" w:lastColumn="0" w:oddVBand="0" w:evenVBand="0" w:oddHBand="0" w:evenHBand="0" w:firstRowFirstColumn="0" w:firstRowLastColumn="0" w:lastRowFirstColumn="0" w:lastRowLastColumn="0"/>
              <w:rPr>
                <w:b/>
                <w:lang w:val="en-US" w:eastAsia="en-US" w:bidi="en-US"/>
              </w:rPr>
            </w:pPr>
            <w:r w:rsidRPr="00B53824">
              <w:rPr>
                <w:b/>
                <w:lang w:val="en-US" w:eastAsia="en-US" w:bidi="en-US"/>
              </w:rPr>
              <w:t>1.910.499</w:t>
            </w:r>
          </w:p>
        </w:tc>
        <w:tc>
          <w:tcPr>
            <w:tcW w:w="640" w:type="pct"/>
            <w:hideMark/>
          </w:tcPr>
          <w:p w:rsidR="00365D03" w:rsidRPr="00B53824" w:rsidRDefault="00365D03" w:rsidP="00345D9B">
            <w:pPr>
              <w:jc w:val="right"/>
              <w:cnfStyle w:val="000000000000" w:firstRow="0" w:lastRow="0" w:firstColumn="0" w:lastColumn="0" w:oddVBand="0" w:evenVBand="0" w:oddHBand="0" w:evenHBand="0" w:firstRowFirstColumn="0" w:firstRowLastColumn="0" w:lastRowFirstColumn="0" w:lastRowLastColumn="0"/>
              <w:rPr>
                <w:b/>
                <w:color w:val="000000"/>
              </w:rPr>
            </w:pPr>
            <w:r w:rsidRPr="00B53824">
              <w:rPr>
                <w:b/>
                <w:color w:val="000000"/>
              </w:rPr>
              <w:t>(120.182)</w:t>
            </w:r>
          </w:p>
        </w:tc>
        <w:tc>
          <w:tcPr>
            <w:tcW w:w="641" w:type="pct"/>
            <w:hideMark/>
          </w:tcPr>
          <w:p w:rsidR="00365D03" w:rsidRPr="00B53824" w:rsidRDefault="00365D03" w:rsidP="00330568">
            <w:pPr>
              <w:jc w:val="right"/>
              <w:cnfStyle w:val="000000000000" w:firstRow="0" w:lastRow="0" w:firstColumn="0" w:lastColumn="0" w:oddVBand="0" w:evenVBand="0" w:oddHBand="0" w:evenHBand="0" w:firstRowFirstColumn="0" w:firstRowLastColumn="0" w:lastRowFirstColumn="0" w:lastRowLastColumn="0"/>
              <w:rPr>
                <w:b/>
                <w:color w:val="000000"/>
              </w:rPr>
            </w:pPr>
            <w:r w:rsidRPr="00B53824">
              <w:rPr>
                <w:b/>
                <w:color w:val="000000"/>
              </w:rPr>
              <w:t>(5,9)</w:t>
            </w:r>
          </w:p>
        </w:tc>
      </w:tr>
    </w:tbl>
    <w:p w:rsidR="00441F3D" w:rsidRPr="000336EC" w:rsidRDefault="00365D03" w:rsidP="00441F3D">
      <w:pPr>
        <w:spacing w:before="240" w:after="240"/>
        <w:jc w:val="both"/>
        <w:rPr>
          <w:sz w:val="22"/>
          <w:szCs w:val="22"/>
        </w:rPr>
      </w:pPr>
      <w:r w:rsidRPr="00441F3D">
        <w:rPr>
          <w:sz w:val="22"/>
          <w:szCs w:val="22"/>
        </w:rPr>
        <w:t xml:space="preserve">Em 2016, o </w:t>
      </w:r>
      <w:r w:rsidR="00B53824" w:rsidRPr="00441F3D">
        <w:rPr>
          <w:sz w:val="22"/>
          <w:szCs w:val="22"/>
        </w:rPr>
        <w:t>V</w:t>
      </w:r>
      <w:r w:rsidRPr="00441F3D">
        <w:rPr>
          <w:sz w:val="22"/>
          <w:szCs w:val="22"/>
        </w:rPr>
        <w:t xml:space="preserve">alor </w:t>
      </w:r>
      <w:r w:rsidR="00B53824" w:rsidRPr="00441F3D">
        <w:rPr>
          <w:sz w:val="22"/>
          <w:szCs w:val="22"/>
        </w:rPr>
        <w:t>A</w:t>
      </w:r>
      <w:r w:rsidRPr="00441F3D">
        <w:rPr>
          <w:sz w:val="22"/>
          <w:szCs w:val="22"/>
        </w:rPr>
        <w:t xml:space="preserve">dicionado </w:t>
      </w:r>
      <w:r w:rsidR="00B53824" w:rsidRPr="00441F3D">
        <w:rPr>
          <w:sz w:val="22"/>
          <w:szCs w:val="22"/>
        </w:rPr>
        <w:t>D</w:t>
      </w:r>
      <w:r w:rsidRPr="00441F3D">
        <w:rPr>
          <w:sz w:val="22"/>
          <w:szCs w:val="22"/>
        </w:rPr>
        <w:t xml:space="preserve">istribuído </w:t>
      </w:r>
      <w:r w:rsidR="00655AA7" w:rsidRPr="00441F3D">
        <w:rPr>
          <w:sz w:val="22"/>
          <w:szCs w:val="22"/>
        </w:rPr>
        <w:t>alcançou R$ 1.910.499 mil, com redução de</w:t>
      </w:r>
      <w:r w:rsidRPr="00441F3D">
        <w:rPr>
          <w:sz w:val="22"/>
          <w:szCs w:val="22"/>
        </w:rPr>
        <w:t xml:space="preserve"> 5,9</w:t>
      </w:r>
      <w:r w:rsidR="00B53824" w:rsidRPr="00441F3D">
        <w:rPr>
          <w:sz w:val="22"/>
          <w:szCs w:val="22"/>
        </w:rPr>
        <w:t>%</w:t>
      </w:r>
      <w:r w:rsidRPr="00441F3D">
        <w:rPr>
          <w:sz w:val="22"/>
          <w:szCs w:val="22"/>
        </w:rPr>
        <w:t xml:space="preserve"> em comparação com </w:t>
      </w:r>
      <w:r w:rsidR="00655AA7" w:rsidRPr="00441F3D">
        <w:rPr>
          <w:sz w:val="22"/>
          <w:szCs w:val="22"/>
        </w:rPr>
        <w:t>a distribuição d</w:t>
      </w:r>
      <w:r w:rsidRPr="00441F3D">
        <w:rPr>
          <w:sz w:val="22"/>
          <w:szCs w:val="22"/>
        </w:rPr>
        <w:t>o ano ant</w:t>
      </w:r>
      <w:r w:rsidR="00655AA7" w:rsidRPr="00441F3D">
        <w:rPr>
          <w:sz w:val="22"/>
          <w:szCs w:val="22"/>
        </w:rPr>
        <w:t>erior.</w:t>
      </w:r>
      <w:r w:rsidR="00441F3D" w:rsidRPr="00441F3D">
        <w:rPr>
          <w:sz w:val="22"/>
          <w:szCs w:val="22"/>
        </w:rPr>
        <w:t xml:space="preserve"> Deste valor, </w:t>
      </w:r>
      <w:r w:rsidR="000A6169" w:rsidRPr="00441F3D">
        <w:rPr>
          <w:sz w:val="22"/>
          <w:szCs w:val="22"/>
        </w:rPr>
        <w:t xml:space="preserve">R$ 231.065 mil </w:t>
      </w:r>
      <w:r w:rsidR="00441F3D" w:rsidRPr="00441F3D">
        <w:rPr>
          <w:sz w:val="22"/>
          <w:szCs w:val="22"/>
        </w:rPr>
        <w:t xml:space="preserve"> foram destinados aos Empregados (</w:t>
      </w:r>
      <w:r w:rsidR="000A6169" w:rsidRPr="00441F3D">
        <w:rPr>
          <w:sz w:val="22"/>
          <w:szCs w:val="22"/>
        </w:rPr>
        <w:t>12,1%</w:t>
      </w:r>
      <w:r w:rsidR="00441F3D" w:rsidRPr="00441F3D">
        <w:rPr>
          <w:sz w:val="22"/>
          <w:szCs w:val="22"/>
        </w:rPr>
        <w:t xml:space="preserve">); </w:t>
      </w:r>
      <w:r w:rsidR="000A6169" w:rsidRPr="00441F3D">
        <w:rPr>
          <w:sz w:val="22"/>
          <w:szCs w:val="22"/>
        </w:rPr>
        <w:t>R$ 1.</w:t>
      </w:r>
      <w:r w:rsidR="000A6169">
        <w:rPr>
          <w:sz w:val="22"/>
          <w:szCs w:val="22"/>
        </w:rPr>
        <w:t>271.084 mil</w:t>
      </w:r>
      <w:r w:rsidR="00441F3D" w:rsidRPr="00441F3D">
        <w:rPr>
          <w:sz w:val="22"/>
          <w:szCs w:val="22"/>
        </w:rPr>
        <w:t xml:space="preserve"> a Impostos, Taxas e Contribuições (</w:t>
      </w:r>
      <w:r w:rsidR="000A6169" w:rsidRPr="00441F3D">
        <w:rPr>
          <w:sz w:val="22"/>
          <w:szCs w:val="22"/>
        </w:rPr>
        <w:t>66,5%</w:t>
      </w:r>
      <w:r w:rsidR="00441F3D">
        <w:rPr>
          <w:sz w:val="22"/>
          <w:szCs w:val="22"/>
        </w:rPr>
        <w:t xml:space="preserve">); </w:t>
      </w:r>
      <w:r w:rsidR="000A6169">
        <w:rPr>
          <w:sz w:val="22"/>
          <w:szCs w:val="22"/>
        </w:rPr>
        <w:t>R$ 274.661 mil</w:t>
      </w:r>
      <w:r w:rsidR="00441F3D">
        <w:rPr>
          <w:sz w:val="22"/>
          <w:szCs w:val="22"/>
        </w:rPr>
        <w:t xml:space="preserve">  à Remuneração de Capital de Terceiros (</w:t>
      </w:r>
      <w:r w:rsidR="000A6169">
        <w:rPr>
          <w:sz w:val="22"/>
          <w:szCs w:val="22"/>
        </w:rPr>
        <w:t>14,4%</w:t>
      </w:r>
      <w:r w:rsidR="00441F3D">
        <w:rPr>
          <w:sz w:val="22"/>
          <w:szCs w:val="22"/>
        </w:rPr>
        <w:t xml:space="preserve">); e </w:t>
      </w:r>
      <w:r w:rsidR="000A6169">
        <w:rPr>
          <w:sz w:val="22"/>
          <w:szCs w:val="22"/>
        </w:rPr>
        <w:t>R$ 133.689 mil</w:t>
      </w:r>
      <w:r w:rsidR="00441F3D">
        <w:rPr>
          <w:sz w:val="22"/>
          <w:szCs w:val="22"/>
        </w:rPr>
        <w:t xml:space="preserve"> à Remuneração de Capital Próprio (</w:t>
      </w:r>
      <w:r w:rsidR="000A6169">
        <w:rPr>
          <w:sz w:val="22"/>
          <w:szCs w:val="22"/>
        </w:rPr>
        <w:t>7,0%</w:t>
      </w:r>
      <w:r w:rsidR="00441F3D">
        <w:rPr>
          <w:sz w:val="22"/>
          <w:szCs w:val="22"/>
        </w:rPr>
        <w:t>).</w:t>
      </w:r>
    </w:p>
    <w:p w:rsidR="009324A9" w:rsidRPr="002A2EE2" w:rsidRDefault="00AB5C23" w:rsidP="00FA2F3A">
      <w:pPr>
        <w:pStyle w:val="Ttulo3"/>
        <w:numPr>
          <w:ilvl w:val="0"/>
          <w:numId w:val="10"/>
        </w:numPr>
      </w:pPr>
      <w:bookmarkStart w:id="9" w:name="_Toc478141842"/>
      <w:r w:rsidRPr="002A2EE2">
        <w:t>GESTÃO DE PESSOAS</w:t>
      </w:r>
      <w:bookmarkEnd w:id="9"/>
    </w:p>
    <w:p w:rsidR="00503B9D" w:rsidRPr="002A2EE2" w:rsidRDefault="00503B9D" w:rsidP="00503B9D">
      <w:pPr>
        <w:spacing w:before="240" w:after="240"/>
        <w:jc w:val="both"/>
        <w:rPr>
          <w:sz w:val="22"/>
          <w:szCs w:val="22"/>
        </w:rPr>
      </w:pPr>
      <w:r w:rsidRPr="002A2EE2">
        <w:rPr>
          <w:sz w:val="22"/>
          <w:szCs w:val="22"/>
        </w:rPr>
        <w:t>A CEB tem como cultura organizacional a valorização do ser humano, a meritocracia e o incentivo ao autodesenvolvimento, tendo como princípios a integridade e o comprometimento pessoal e das equipes, visando sempre o fiel cumprimento de sua Missão.</w:t>
      </w:r>
    </w:p>
    <w:p w:rsidR="00503B9D" w:rsidRDefault="00503B9D" w:rsidP="00503B9D">
      <w:pPr>
        <w:spacing w:before="240" w:after="240"/>
        <w:jc w:val="both"/>
        <w:rPr>
          <w:sz w:val="22"/>
          <w:szCs w:val="22"/>
        </w:rPr>
      </w:pPr>
      <w:r w:rsidRPr="002A2EE2">
        <w:rPr>
          <w:sz w:val="22"/>
          <w:szCs w:val="22"/>
        </w:rPr>
        <w:t>Os principais projetos executados pela gestão dos recursos humanos em 201</w:t>
      </w:r>
      <w:r>
        <w:rPr>
          <w:sz w:val="22"/>
          <w:szCs w:val="22"/>
        </w:rPr>
        <w:t>6</w:t>
      </w:r>
      <w:r w:rsidRPr="002A2EE2">
        <w:rPr>
          <w:sz w:val="22"/>
          <w:szCs w:val="22"/>
        </w:rPr>
        <w:t xml:space="preserve"> foram voltados para capacitação</w:t>
      </w:r>
      <w:r>
        <w:rPr>
          <w:sz w:val="22"/>
          <w:szCs w:val="22"/>
        </w:rPr>
        <w:t xml:space="preserve"> técnica</w:t>
      </w:r>
      <w:r w:rsidRPr="002A2EE2">
        <w:rPr>
          <w:sz w:val="22"/>
          <w:szCs w:val="22"/>
        </w:rPr>
        <w:t>, saúde e segurança no trabalho dos empregados, qualidade de vida e valorização do</w:t>
      </w:r>
      <w:r>
        <w:rPr>
          <w:sz w:val="22"/>
          <w:szCs w:val="22"/>
        </w:rPr>
        <w:t xml:space="preserve"> ser </w:t>
      </w:r>
      <w:r w:rsidRPr="002A2EE2">
        <w:rPr>
          <w:sz w:val="22"/>
          <w:szCs w:val="22"/>
        </w:rPr>
        <w:t xml:space="preserve">humano, além do </w:t>
      </w:r>
      <w:r w:rsidRPr="002A2EE2">
        <w:rPr>
          <w:sz w:val="22"/>
          <w:szCs w:val="22"/>
        </w:rPr>
        <w:lastRenderedPageBreak/>
        <w:t>fiel cumprimento dos dispositivos constitucionais, legislatórios, previdenciários, tributários e normativos da Companhia.</w:t>
      </w:r>
    </w:p>
    <w:p w:rsidR="00503B9D" w:rsidRDefault="00503B9D" w:rsidP="00503B9D">
      <w:pPr>
        <w:spacing w:before="240" w:after="240"/>
        <w:jc w:val="both"/>
        <w:rPr>
          <w:sz w:val="22"/>
          <w:szCs w:val="22"/>
        </w:rPr>
      </w:pPr>
      <w:r>
        <w:rPr>
          <w:sz w:val="22"/>
          <w:szCs w:val="22"/>
        </w:rPr>
        <w:t>Na CEB Distribuição S.</w:t>
      </w:r>
      <w:r w:rsidRPr="007F4653">
        <w:rPr>
          <w:sz w:val="22"/>
          <w:szCs w:val="22"/>
        </w:rPr>
        <w:t>A</w:t>
      </w:r>
      <w:r>
        <w:rPr>
          <w:sz w:val="22"/>
          <w:szCs w:val="22"/>
        </w:rPr>
        <w:t>.</w:t>
      </w:r>
      <w:r w:rsidRPr="007F4653">
        <w:rPr>
          <w:sz w:val="22"/>
          <w:szCs w:val="22"/>
        </w:rPr>
        <w:t xml:space="preserve"> foram realizados</w:t>
      </w:r>
      <w:r>
        <w:rPr>
          <w:sz w:val="22"/>
          <w:szCs w:val="22"/>
        </w:rPr>
        <w:t xml:space="preserve"> em 2016</w:t>
      </w:r>
      <w:r w:rsidRPr="007F4653">
        <w:rPr>
          <w:sz w:val="22"/>
          <w:szCs w:val="22"/>
        </w:rPr>
        <w:t xml:space="preserve"> treinamentos para o desenvolvimento do quadro de colaboradores da Companhia</w:t>
      </w:r>
      <w:r>
        <w:rPr>
          <w:sz w:val="22"/>
          <w:szCs w:val="22"/>
        </w:rPr>
        <w:t xml:space="preserve">, totalizando </w:t>
      </w:r>
      <w:r w:rsidRPr="007F4653">
        <w:rPr>
          <w:sz w:val="22"/>
          <w:szCs w:val="22"/>
        </w:rPr>
        <w:t xml:space="preserve">57.716 aluno/hora. </w:t>
      </w:r>
      <w:r>
        <w:rPr>
          <w:sz w:val="22"/>
          <w:szCs w:val="22"/>
        </w:rPr>
        <w:t>Os principais cursos realizados foram: Reciclagem em NR-10; Formação em NR-33;</w:t>
      </w:r>
      <w:r w:rsidRPr="007F4653">
        <w:rPr>
          <w:sz w:val="22"/>
          <w:szCs w:val="22"/>
        </w:rPr>
        <w:t xml:space="preserve"> Formação de </w:t>
      </w:r>
      <w:r>
        <w:rPr>
          <w:sz w:val="22"/>
          <w:szCs w:val="22"/>
        </w:rPr>
        <w:t>E</w:t>
      </w:r>
      <w:r w:rsidRPr="007F4653">
        <w:rPr>
          <w:sz w:val="22"/>
          <w:szCs w:val="22"/>
        </w:rPr>
        <w:t>letricistas</w:t>
      </w:r>
      <w:r>
        <w:rPr>
          <w:sz w:val="22"/>
          <w:szCs w:val="22"/>
        </w:rPr>
        <w:t xml:space="preserve">; </w:t>
      </w:r>
      <w:r w:rsidRPr="007F4653">
        <w:rPr>
          <w:sz w:val="22"/>
          <w:szCs w:val="22"/>
        </w:rPr>
        <w:t>Gestão Ambiental</w:t>
      </w:r>
      <w:r>
        <w:rPr>
          <w:sz w:val="22"/>
          <w:szCs w:val="22"/>
        </w:rPr>
        <w:t xml:space="preserve">; </w:t>
      </w:r>
      <w:r w:rsidRPr="007F4653">
        <w:rPr>
          <w:sz w:val="22"/>
          <w:szCs w:val="22"/>
        </w:rPr>
        <w:t>Curso I.S.O. 9001/2015</w:t>
      </w:r>
      <w:r>
        <w:rPr>
          <w:sz w:val="22"/>
          <w:szCs w:val="22"/>
        </w:rPr>
        <w:t>;</w:t>
      </w:r>
      <w:r w:rsidRPr="007F4653">
        <w:rPr>
          <w:sz w:val="22"/>
          <w:szCs w:val="22"/>
        </w:rPr>
        <w:t xml:space="preserve"> Norma Técnica NTD 6.01</w:t>
      </w:r>
      <w:r>
        <w:rPr>
          <w:sz w:val="22"/>
          <w:szCs w:val="22"/>
        </w:rPr>
        <w:t>;</w:t>
      </w:r>
      <w:r w:rsidRPr="007F4653">
        <w:rPr>
          <w:sz w:val="22"/>
          <w:szCs w:val="22"/>
        </w:rPr>
        <w:t xml:space="preserve"> Lei nº 13.303/2016</w:t>
      </w:r>
      <w:r>
        <w:rPr>
          <w:sz w:val="22"/>
          <w:szCs w:val="22"/>
        </w:rPr>
        <w:t>;</w:t>
      </w:r>
      <w:r w:rsidRPr="007F4653">
        <w:rPr>
          <w:sz w:val="22"/>
          <w:szCs w:val="22"/>
        </w:rPr>
        <w:t xml:space="preserve"> e</w:t>
      </w:r>
      <w:r>
        <w:rPr>
          <w:sz w:val="22"/>
          <w:szCs w:val="22"/>
        </w:rPr>
        <w:t>,</w:t>
      </w:r>
      <w:r w:rsidRPr="007F4653">
        <w:rPr>
          <w:sz w:val="22"/>
          <w:szCs w:val="22"/>
        </w:rPr>
        <w:t xml:space="preserve"> para os gestores de contratos</w:t>
      </w:r>
      <w:r>
        <w:rPr>
          <w:sz w:val="22"/>
          <w:szCs w:val="22"/>
        </w:rPr>
        <w:t>,</w:t>
      </w:r>
      <w:r w:rsidRPr="007F4653">
        <w:rPr>
          <w:sz w:val="22"/>
          <w:szCs w:val="22"/>
        </w:rPr>
        <w:t xml:space="preserve"> foi </w:t>
      </w:r>
      <w:r>
        <w:rPr>
          <w:sz w:val="22"/>
          <w:szCs w:val="22"/>
        </w:rPr>
        <w:t>oferecido</w:t>
      </w:r>
      <w:r w:rsidRPr="007F4653">
        <w:rPr>
          <w:sz w:val="22"/>
          <w:szCs w:val="22"/>
        </w:rPr>
        <w:t xml:space="preserve"> o treinamento </w:t>
      </w:r>
      <w:r>
        <w:rPr>
          <w:sz w:val="22"/>
          <w:szCs w:val="22"/>
        </w:rPr>
        <w:t xml:space="preserve">de aperfeiçoamento </w:t>
      </w:r>
      <w:r w:rsidRPr="007F4653">
        <w:rPr>
          <w:sz w:val="22"/>
          <w:szCs w:val="22"/>
        </w:rPr>
        <w:t>no aplicativo Planilha de Preços Globais de Serviços (PPGS).</w:t>
      </w:r>
    </w:p>
    <w:p w:rsidR="00503B9D" w:rsidRDefault="00503B9D" w:rsidP="00503B9D">
      <w:pPr>
        <w:spacing w:before="240" w:after="240"/>
        <w:jc w:val="both"/>
        <w:rPr>
          <w:sz w:val="22"/>
          <w:szCs w:val="22"/>
        </w:rPr>
      </w:pPr>
      <w:r w:rsidRPr="007F4653">
        <w:rPr>
          <w:sz w:val="22"/>
          <w:szCs w:val="22"/>
        </w:rPr>
        <w:t>No exercício</w:t>
      </w:r>
      <w:r>
        <w:rPr>
          <w:sz w:val="22"/>
          <w:szCs w:val="22"/>
        </w:rPr>
        <w:t>,</w:t>
      </w:r>
      <w:r w:rsidRPr="007F4653">
        <w:rPr>
          <w:sz w:val="22"/>
          <w:szCs w:val="22"/>
        </w:rPr>
        <w:t xml:space="preserve"> aconteceram </w:t>
      </w:r>
      <w:r>
        <w:rPr>
          <w:sz w:val="22"/>
          <w:szCs w:val="22"/>
        </w:rPr>
        <w:t xml:space="preserve">116 </w:t>
      </w:r>
      <w:r w:rsidRPr="007F4653">
        <w:rPr>
          <w:sz w:val="22"/>
          <w:szCs w:val="22"/>
        </w:rPr>
        <w:t xml:space="preserve">contratações em função da primarização dos serviços de corte e religação </w:t>
      </w:r>
      <w:r>
        <w:rPr>
          <w:sz w:val="22"/>
          <w:szCs w:val="22"/>
        </w:rPr>
        <w:t>de energia. Por outro lado, ocorreram</w:t>
      </w:r>
      <w:r w:rsidRPr="007F4653">
        <w:rPr>
          <w:sz w:val="22"/>
          <w:szCs w:val="22"/>
        </w:rPr>
        <w:t xml:space="preserve"> 40 desligamentos, dos quais</w:t>
      </w:r>
      <w:r>
        <w:rPr>
          <w:sz w:val="22"/>
          <w:szCs w:val="22"/>
        </w:rPr>
        <w:t>,</w:t>
      </w:r>
      <w:r w:rsidRPr="007F4653">
        <w:rPr>
          <w:sz w:val="22"/>
          <w:szCs w:val="22"/>
        </w:rPr>
        <w:t xml:space="preserve"> </w:t>
      </w:r>
      <w:r w:rsidR="00670A06">
        <w:rPr>
          <w:sz w:val="22"/>
          <w:szCs w:val="22"/>
        </w:rPr>
        <w:t>29</w:t>
      </w:r>
      <w:r w:rsidRPr="007F4653">
        <w:rPr>
          <w:sz w:val="22"/>
          <w:szCs w:val="22"/>
        </w:rPr>
        <w:t xml:space="preserve"> foram realizados em atendimento à política de aposentadoria vigente</w:t>
      </w:r>
      <w:r>
        <w:rPr>
          <w:sz w:val="22"/>
          <w:szCs w:val="22"/>
        </w:rPr>
        <w:t>.</w:t>
      </w:r>
    </w:p>
    <w:p w:rsidR="00503B9D" w:rsidRDefault="00503B9D" w:rsidP="00503B9D">
      <w:pPr>
        <w:spacing w:before="240" w:after="240"/>
        <w:jc w:val="both"/>
        <w:rPr>
          <w:sz w:val="22"/>
          <w:szCs w:val="22"/>
        </w:rPr>
      </w:pPr>
      <w:r w:rsidRPr="005B07DB">
        <w:rPr>
          <w:sz w:val="22"/>
          <w:szCs w:val="22"/>
        </w:rPr>
        <w:t>Atualmente, o quadro de pessoal do Grupo CEB é composto por 1</w:t>
      </w:r>
      <w:r w:rsidR="002015BB">
        <w:rPr>
          <w:sz w:val="22"/>
          <w:szCs w:val="22"/>
        </w:rPr>
        <w:t>.091</w:t>
      </w:r>
      <w:r w:rsidRPr="005B07DB">
        <w:rPr>
          <w:sz w:val="22"/>
          <w:szCs w:val="22"/>
        </w:rPr>
        <w:t xml:space="preserve"> empregados e colaboradores, conforme demonstra o quadro seguinte:</w:t>
      </w:r>
    </w:p>
    <w:tbl>
      <w:tblPr>
        <w:tblW w:w="4995" w:type="pct"/>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ook w:val="04A0" w:firstRow="1" w:lastRow="0" w:firstColumn="1" w:lastColumn="0" w:noHBand="0" w:noVBand="1"/>
      </w:tblPr>
      <w:tblGrid>
        <w:gridCol w:w="2255"/>
        <w:gridCol w:w="1216"/>
        <w:gridCol w:w="1426"/>
        <w:gridCol w:w="1215"/>
        <w:gridCol w:w="1215"/>
        <w:gridCol w:w="1586"/>
        <w:gridCol w:w="1215"/>
      </w:tblGrid>
      <w:tr w:rsidR="00A663D6" w:rsidRPr="007F4653" w:rsidTr="002113C5">
        <w:trPr>
          <w:trHeight w:val="170"/>
        </w:trPr>
        <w:tc>
          <w:tcPr>
            <w:tcW w:w="1113"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A663D6" w:rsidRPr="005B07DB" w:rsidRDefault="00A663D6" w:rsidP="002113C5">
            <w:pPr>
              <w:jc w:val="center"/>
              <w:rPr>
                <w:b/>
                <w:bCs/>
                <w:color w:val="FFFFFF" w:themeColor="background1"/>
                <w:lang w:eastAsia="en-US" w:bidi="en-US"/>
              </w:rPr>
            </w:pPr>
            <w:r w:rsidRPr="005B07DB">
              <w:rPr>
                <w:b/>
                <w:bCs/>
                <w:color w:val="FFFFFF" w:themeColor="background1"/>
              </w:rPr>
              <w:t>(R$ Mil)</w:t>
            </w:r>
          </w:p>
        </w:tc>
        <w:tc>
          <w:tcPr>
            <w:tcW w:w="600"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A663D6" w:rsidRPr="005B07DB" w:rsidRDefault="00A663D6" w:rsidP="002113C5">
            <w:pPr>
              <w:jc w:val="center"/>
              <w:rPr>
                <w:b/>
                <w:bCs/>
                <w:color w:val="FFFFFF" w:themeColor="background1"/>
              </w:rPr>
            </w:pPr>
            <w:r w:rsidRPr="005B07DB">
              <w:rPr>
                <w:b/>
                <w:bCs/>
                <w:color w:val="FFFFFF" w:themeColor="background1"/>
              </w:rPr>
              <w:t xml:space="preserve">CEB </w:t>
            </w:r>
          </w:p>
        </w:tc>
        <w:tc>
          <w:tcPr>
            <w:tcW w:w="704"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A663D6" w:rsidRPr="005B07DB" w:rsidRDefault="00A663D6" w:rsidP="002113C5">
            <w:pPr>
              <w:jc w:val="center"/>
              <w:rPr>
                <w:b/>
                <w:bCs/>
                <w:color w:val="FFFFFF" w:themeColor="background1"/>
              </w:rPr>
            </w:pPr>
            <w:r w:rsidRPr="005B07DB">
              <w:rPr>
                <w:b/>
                <w:bCs/>
                <w:color w:val="FFFFFF" w:themeColor="background1"/>
              </w:rPr>
              <w:t>CEB</w:t>
            </w:r>
          </w:p>
          <w:p w:rsidR="00A663D6" w:rsidRPr="005B07DB" w:rsidRDefault="00A663D6" w:rsidP="002113C5">
            <w:pPr>
              <w:jc w:val="center"/>
              <w:rPr>
                <w:b/>
                <w:bCs/>
                <w:color w:val="FFFFFF" w:themeColor="background1"/>
                <w:lang w:eastAsia="en-US" w:bidi="en-US"/>
              </w:rPr>
            </w:pPr>
            <w:r w:rsidRPr="005B07DB">
              <w:rPr>
                <w:b/>
                <w:bCs/>
                <w:color w:val="FFFFFF" w:themeColor="background1"/>
              </w:rPr>
              <w:t xml:space="preserve">Distribuição </w:t>
            </w:r>
          </w:p>
        </w:tc>
        <w:tc>
          <w:tcPr>
            <w:tcW w:w="600"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A663D6" w:rsidRPr="005B07DB" w:rsidRDefault="00A663D6" w:rsidP="002113C5">
            <w:pPr>
              <w:jc w:val="center"/>
              <w:rPr>
                <w:b/>
                <w:bCs/>
                <w:color w:val="FFFFFF" w:themeColor="background1"/>
              </w:rPr>
            </w:pPr>
            <w:r w:rsidRPr="005B07DB">
              <w:rPr>
                <w:b/>
                <w:bCs/>
                <w:color w:val="FFFFFF" w:themeColor="background1"/>
              </w:rPr>
              <w:t>CEB</w:t>
            </w:r>
          </w:p>
          <w:p w:rsidR="00A663D6" w:rsidRPr="005B07DB" w:rsidRDefault="00A663D6" w:rsidP="002113C5">
            <w:pPr>
              <w:jc w:val="center"/>
              <w:rPr>
                <w:b/>
                <w:bCs/>
                <w:color w:val="FFFFFF" w:themeColor="background1"/>
                <w:lang w:eastAsia="en-US" w:bidi="en-US"/>
              </w:rPr>
            </w:pPr>
            <w:r w:rsidRPr="005B07DB">
              <w:rPr>
                <w:b/>
                <w:bCs/>
                <w:color w:val="FFFFFF" w:themeColor="background1"/>
              </w:rPr>
              <w:t>Geração</w:t>
            </w:r>
          </w:p>
        </w:tc>
        <w:tc>
          <w:tcPr>
            <w:tcW w:w="600"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A663D6" w:rsidRPr="005B07DB" w:rsidRDefault="00A663D6" w:rsidP="002113C5">
            <w:pPr>
              <w:jc w:val="center"/>
              <w:rPr>
                <w:b/>
                <w:bCs/>
                <w:color w:val="FFFFFF" w:themeColor="background1"/>
              </w:rPr>
            </w:pPr>
            <w:r w:rsidRPr="005B07DB">
              <w:rPr>
                <w:b/>
                <w:bCs/>
                <w:color w:val="FFFFFF" w:themeColor="background1"/>
              </w:rPr>
              <w:t>CEB</w:t>
            </w:r>
          </w:p>
          <w:p w:rsidR="00A663D6" w:rsidRPr="005B07DB" w:rsidRDefault="00A663D6" w:rsidP="002113C5">
            <w:pPr>
              <w:jc w:val="center"/>
              <w:rPr>
                <w:b/>
                <w:bCs/>
                <w:color w:val="FFFFFF" w:themeColor="background1"/>
                <w:lang w:eastAsia="en-US" w:bidi="en-US"/>
              </w:rPr>
            </w:pPr>
            <w:r w:rsidRPr="005B07DB">
              <w:rPr>
                <w:b/>
                <w:bCs/>
                <w:color w:val="FFFFFF" w:themeColor="background1"/>
              </w:rPr>
              <w:t>Lajeado</w:t>
            </w:r>
          </w:p>
        </w:tc>
        <w:tc>
          <w:tcPr>
            <w:tcW w:w="783"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A663D6" w:rsidRPr="005B07DB" w:rsidRDefault="00A663D6" w:rsidP="002113C5">
            <w:pPr>
              <w:jc w:val="center"/>
              <w:rPr>
                <w:b/>
                <w:bCs/>
                <w:color w:val="FFFFFF" w:themeColor="background1"/>
              </w:rPr>
            </w:pPr>
            <w:r w:rsidRPr="005B07DB">
              <w:rPr>
                <w:b/>
                <w:bCs/>
                <w:color w:val="FFFFFF" w:themeColor="background1"/>
              </w:rPr>
              <w:t>CEB</w:t>
            </w:r>
          </w:p>
          <w:p w:rsidR="00A663D6" w:rsidRPr="005B07DB" w:rsidRDefault="00A663D6" w:rsidP="002113C5">
            <w:pPr>
              <w:jc w:val="center"/>
              <w:rPr>
                <w:b/>
                <w:bCs/>
                <w:color w:val="FFFFFF" w:themeColor="background1"/>
                <w:lang w:eastAsia="en-US" w:bidi="en-US"/>
              </w:rPr>
            </w:pPr>
            <w:r w:rsidRPr="005B07DB">
              <w:rPr>
                <w:b/>
                <w:bCs/>
                <w:color w:val="FFFFFF" w:themeColor="background1"/>
              </w:rPr>
              <w:t>Participações</w:t>
            </w:r>
          </w:p>
        </w:tc>
        <w:tc>
          <w:tcPr>
            <w:tcW w:w="600" w:type="pct"/>
            <w:tcBorders>
              <w:top w:val="single" w:sz="8" w:space="0" w:color="DDDDDD"/>
              <w:left w:val="single" w:sz="8" w:space="0" w:color="DDDDDD"/>
              <w:bottom w:val="single" w:sz="18" w:space="0" w:color="DDDDDD"/>
              <w:right w:val="single" w:sz="8" w:space="0" w:color="DDDDDD"/>
            </w:tcBorders>
            <w:shd w:val="clear" w:color="auto" w:fill="0070C0"/>
            <w:vAlign w:val="center"/>
            <w:hideMark/>
          </w:tcPr>
          <w:p w:rsidR="00A663D6" w:rsidRPr="005B07DB" w:rsidRDefault="00A663D6" w:rsidP="002113C5">
            <w:pPr>
              <w:jc w:val="center"/>
              <w:rPr>
                <w:b/>
                <w:bCs/>
                <w:color w:val="FFFFFF" w:themeColor="background1"/>
                <w:lang w:eastAsia="en-US" w:bidi="en-US"/>
              </w:rPr>
            </w:pPr>
            <w:r w:rsidRPr="005B07DB">
              <w:rPr>
                <w:b/>
                <w:bCs/>
                <w:color w:val="FFFFFF" w:themeColor="background1"/>
              </w:rPr>
              <w:t>Total</w:t>
            </w:r>
          </w:p>
        </w:tc>
      </w:tr>
      <w:tr w:rsidR="00A663D6" w:rsidRPr="007F4653" w:rsidTr="002113C5">
        <w:trPr>
          <w:trHeight w:val="170"/>
        </w:trPr>
        <w:tc>
          <w:tcPr>
            <w:tcW w:w="1113"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ind w:firstLine="142"/>
              <w:rPr>
                <w:b/>
                <w:bCs/>
                <w:lang w:eastAsia="en-US" w:bidi="en-US"/>
              </w:rPr>
            </w:pPr>
            <w:r w:rsidRPr="005B07DB">
              <w:rPr>
                <w:b/>
                <w:bCs/>
              </w:rPr>
              <w:t>Efetivos</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4</w:t>
            </w:r>
          </w:p>
        </w:tc>
        <w:tc>
          <w:tcPr>
            <w:tcW w:w="704"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rPr>
              <w:t>982</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2</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2</w:t>
            </w:r>
          </w:p>
        </w:tc>
        <w:tc>
          <w:tcPr>
            <w:tcW w:w="78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3</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061AA6" w:rsidP="002113C5">
            <w:pPr>
              <w:jc w:val="right"/>
              <w:rPr>
                <w:b/>
                <w:bCs/>
                <w:lang w:eastAsia="en-US" w:bidi="en-US"/>
              </w:rPr>
            </w:pPr>
            <w:r w:rsidRPr="005B07DB">
              <w:rPr>
                <w:b/>
                <w:bCs/>
              </w:rPr>
              <w:fldChar w:fldCharType="begin"/>
            </w:r>
            <w:r w:rsidR="00A663D6" w:rsidRPr="005B07DB">
              <w:rPr>
                <w:b/>
                <w:bCs/>
              </w:rPr>
              <w:instrText xml:space="preserve"> =SUM(LEFT) </w:instrText>
            </w:r>
            <w:r w:rsidRPr="005B07DB">
              <w:rPr>
                <w:b/>
                <w:bCs/>
              </w:rPr>
              <w:fldChar w:fldCharType="separate"/>
            </w:r>
            <w:r w:rsidR="00A663D6" w:rsidRPr="005B07DB">
              <w:rPr>
                <w:b/>
                <w:bCs/>
                <w:noProof/>
              </w:rPr>
              <w:t>993</w:t>
            </w:r>
            <w:r w:rsidRPr="005B07DB">
              <w:rPr>
                <w:b/>
                <w:bCs/>
              </w:rPr>
              <w:fldChar w:fldCharType="end"/>
            </w:r>
          </w:p>
        </w:tc>
      </w:tr>
      <w:tr w:rsidR="00A663D6" w:rsidRPr="007F4653" w:rsidTr="002113C5">
        <w:trPr>
          <w:trHeight w:val="170"/>
        </w:trPr>
        <w:tc>
          <w:tcPr>
            <w:tcW w:w="1113"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ind w:firstLine="142"/>
              <w:rPr>
                <w:b/>
                <w:bCs/>
                <w:lang w:eastAsia="en-US" w:bidi="en-US"/>
              </w:rPr>
            </w:pPr>
            <w:r w:rsidRPr="005B07DB">
              <w:rPr>
                <w:b/>
                <w:bCs/>
              </w:rPr>
              <w:t>Requisitados</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rPr>
              <w:t>38</w:t>
            </w:r>
          </w:p>
        </w:tc>
        <w:tc>
          <w:tcPr>
            <w:tcW w:w="704"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lang w:eastAsia="en-US" w:bidi="en-U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rPr>
              <w:t>6</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rPr>
              <w:t>2</w:t>
            </w:r>
          </w:p>
        </w:tc>
        <w:tc>
          <w:tcPr>
            <w:tcW w:w="783"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rPr>
              <w:t>1</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061AA6" w:rsidP="002113C5">
            <w:pPr>
              <w:jc w:val="right"/>
              <w:rPr>
                <w:b/>
                <w:bCs/>
                <w:lang w:eastAsia="en-US" w:bidi="en-US"/>
              </w:rPr>
            </w:pPr>
            <w:r w:rsidRPr="005B07DB">
              <w:rPr>
                <w:b/>
                <w:bCs/>
              </w:rPr>
              <w:fldChar w:fldCharType="begin"/>
            </w:r>
            <w:r w:rsidR="00A663D6" w:rsidRPr="005B07DB">
              <w:rPr>
                <w:b/>
                <w:bCs/>
              </w:rPr>
              <w:instrText xml:space="preserve"> =SUM(left) </w:instrText>
            </w:r>
            <w:r w:rsidRPr="005B07DB">
              <w:rPr>
                <w:b/>
                <w:bCs/>
              </w:rPr>
              <w:fldChar w:fldCharType="separate"/>
            </w:r>
            <w:r w:rsidR="00A663D6" w:rsidRPr="005B07DB">
              <w:rPr>
                <w:b/>
                <w:bCs/>
                <w:noProof/>
              </w:rPr>
              <w:t>4</w:t>
            </w:r>
            <w:r w:rsidRPr="005B07DB">
              <w:rPr>
                <w:b/>
                <w:bCs/>
              </w:rPr>
              <w:fldChar w:fldCharType="end"/>
            </w:r>
            <w:r w:rsidR="00A663D6" w:rsidRPr="005B07DB">
              <w:rPr>
                <w:b/>
                <w:bCs/>
              </w:rPr>
              <w:t>7</w:t>
            </w:r>
          </w:p>
        </w:tc>
      </w:tr>
      <w:tr w:rsidR="00670A06" w:rsidRPr="007F4653" w:rsidTr="002113C5">
        <w:trPr>
          <w:trHeight w:val="170"/>
        </w:trPr>
        <w:tc>
          <w:tcPr>
            <w:tcW w:w="1113"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670A06" w:rsidRPr="005B07DB" w:rsidRDefault="00670A06" w:rsidP="00456962">
            <w:pPr>
              <w:ind w:firstLine="142"/>
              <w:rPr>
                <w:b/>
                <w:bCs/>
              </w:rPr>
            </w:pPr>
            <w:r>
              <w:rPr>
                <w:b/>
                <w:bCs/>
              </w:rPr>
              <w:t>Cedidos</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670A06" w:rsidRPr="005B07DB" w:rsidRDefault="00670A06" w:rsidP="002113C5">
            <w:pPr>
              <w:jc w:val="right"/>
              <w:rPr>
                <w:b/>
                <w:bCs/>
              </w:rPr>
            </w:pPr>
            <w:r>
              <w:rPr>
                <w:b/>
                <w:bCs/>
              </w:rPr>
              <w:t>0</w:t>
            </w:r>
          </w:p>
        </w:tc>
        <w:tc>
          <w:tcPr>
            <w:tcW w:w="704"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670A06" w:rsidRPr="005B07DB" w:rsidRDefault="00670A06" w:rsidP="002113C5">
            <w:pPr>
              <w:jc w:val="right"/>
              <w:rPr>
                <w:b/>
                <w:bCs/>
                <w:lang w:eastAsia="en-US" w:bidi="en-US"/>
              </w:rPr>
            </w:pPr>
            <w:r>
              <w:rPr>
                <w:b/>
                <w:bCs/>
                <w:lang w:eastAsia="en-US" w:bidi="en-US"/>
              </w:rPr>
              <w:t>(69)</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670A06" w:rsidRPr="005B07DB" w:rsidRDefault="00670A06" w:rsidP="002113C5">
            <w:pPr>
              <w:jc w:val="right"/>
              <w:rPr>
                <w:b/>
                <w:bCs/>
              </w:rPr>
            </w:pPr>
            <w:r>
              <w:rPr>
                <w:b/>
                <w:bC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670A06" w:rsidRPr="005B07DB" w:rsidRDefault="00670A06" w:rsidP="002113C5">
            <w:pPr>
              <w:jc w:val="right"/>
              <w:rPr>
                <w:b/>
                <w:bCs/>
              </w:rPr>
            </w:pPr>
            <w:r>
              <w:rPr>
                <w:b/>
                <w:bCs/>
              </w:rPr>
              <w:t>0</w:t>
            </w:r>
          </w:p>
        </w:tc>
        <w:tc>
          <w:tcPr>
            <w:tcW w:w="783"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670A06" w:rsidRPr="005B07DB" w:rsidRDefault="00670A06" w:rsidP="002113C5">
            <w:pPr>
              <w:jc w:val="right"/>
              <w:rPr>
                <w:b/>
                <w:bCs/>
              </w:rPr>
            </w:pPr>
            <w:r>
              <w:rPr>
                <w:b/>
                <w:bC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670A06" w:rsidRPr="005B07DB" w:rsidRDefault="00670A06" w:rsidP="002113C5">
            <w:pPr>
              <w:jc w:val="right"/>
              <w:rPr>
                <w:b/>
                <w:bCs/>
              </w:rPr>
            </w:pPr>
            <w:r>
              <w:rPr>
                <w:b/>
                <w:bCs/>
              </w:rPr>
              <w:t>(69)</w:t>
            </w:r>
          </w:p>
        </w:tc>
      </w:tr>
      <w:tr w:rsidR="00A663D6" w:rsidRPr="007F4653" w:rsidTr="002113C5">
        <w:trPr>
          <w:trHeight w:val="170"/>
        </w:trPr>
        <w:tc>
          <w:tcPr>
            <w:tcW w:w="1113"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ind w:firstLine="142"/>
              <w:rPr>
                <w:b/>
                <w:bCs/>
                <w:lang w:eastAsia="en-US" w:bidi="en-US"/>
              </w:rPr>
            </w:pPr>
            <w:r w:rsidRPr="005B07DB">
              <w:rPr>
                <w:b/>
                <w:bCs/>
              </w:rPr>
              <w:t>Comissionados</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rPr>
              <w:t>6</w:t>
            </w:r>
          </w:p>
        </w:tc>
        <w:tc>
          <w:tcPr>
            <w:tcW w:w="704"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rPr>
              <w:t>23</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lang w:eastAsia="en-US" w:bidi="en-U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lang w:eastAsia="en-US" w:bidi="en-US"/>
              </w:rPr>
              <w:t>3</w:t>
            </w:r>
          </w:p>
        </w:tc>
        <w:tc>
          <w:tcPr>
            <w:tcW w:w="783"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lang w:eastAsia="en-US" w:bidi="en-US"/>
              </w:rPr>
              <w:t>3</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lang w:eastAsia="en-US" w:bidi="en-US"/>
              </w:rPr>
              <w:t>35</w:t>
            </w:r>
          </w:p>
        </w:tc>
      </w:tr>
      <w:tr w:rsidR="00A663D6" w:rsidRPr="007F4653" w:rsidTr="002113C5">
        <w:trPr>
          <w:trHeight w:val="170"/>
        </w:trPr>
        <w:tc>
          <w:tcPr>
            <w:tcW w:w="1113"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ind w:firstLine="142"/>
              <w:rPr>
                <w:b/>
                <w:bCs/>
                <w:lang w:eastAsia="en-US" w:bidi="en-US"/>
              </w:rPr>
            </w:pPr>
            <w:r w:rsidRPr="005B07DB">
              <w:rPr>
                <w:b/>
                <w:bCs/>
              </w:rPr>
              <w:t>Jovens Aprendizes</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tcPr>
          <w:p w:rsidR="00A663D6" w:rsidRPr="005B07DB" w:rsidRDefault="00A663D6" w:rsidP="002113C5">
            <w:pPr>
              <w:jc w:val="right"/>
              <w:rPr>
                <w:b/>
                <w:bCs/>
                <w:lang w:eastAsia="en-US" w:bidi="en-US"/>
              </w:rPr>
            </w:pPr>
            <w:r w:rsidRPr="005B07DB">
              <w:rPr>
                <w:b/>
                <w:bCs/>
                <w:lang w:eastAsia="en-US" w:bidi="en-US"/>
              </w:rPr>
              <w:t>0</w:t>
            </w:r>
          </w:p>
        </w:tc>
        <w:tc>
          <w:tcPr>
            <w:tcW w:w="704"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lang w:eastAsia="en-US" w:bidi="en-US"/>
              </w:rPr>
              <w:t>30</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tcPr>
          <w:p w:rsidR="00A663D6" w:rsidRPr="005B07DB" w:rsidRDefault="00A663D6" w:rsidP="002113C5">
            <w:pPr>
              <w:jc w:val="right"/>
              <w:rPr>
                <w:b/>
                <w:bCs/>
                <w:lang w:eastAsia="en-US" w:bidi="en-US"/>
              </w:rPr>
            </w:pPr>
            <w:r w:rsidRPr="005B07DB">
              <w:rPr>
                <w:b/>
                <w:bCs/>
                <w:lang w:eastAsia="en-US" w:bidi="en-U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tcPr>
          <w:p w:rsidR="00A663D6" w:rsidRPr="005B07DB" w:rsidRDefault="00A663D6" w:rsidP="002113C5">
            <w:pPr>
              <w:jc w:val="right"/>
              <w:rPr>
                <w:b/>
                <w:bCs/>
                <w:lang w:eastAsia="en-US" w:bidi="en-US"/>
              </w:rPr>
            </w:pPr>
            <w:r w:rsidRPr="005B07DB">
              <w:rPr>
                <w:b/>
                <w:bCs/>
                <w:lang w:eastAsia="en-US" w:bidi="en-US"/>
              </w:rPr>
              <w:t>0</w:t>
            </w:r>
          </w:p>
        </w:tc>
        <w:tc>
          <w:tcPr>
            <w:tcW w:w="783" w:type="pct"/>
            <w:tcBorders>
              <w:top w:val="single" w:sz="8" w:space="0" w:color="DDDDDD"/>
              <w:left w:val="single" w:sz="8" w:space="0" w:color="DDDDDD"/>
              <w:bottom w:val="single" w:sz="8" w:space="0" w:color="DDDDDD"/>
              <w:right w:val="single" w:sz="8" w:space="0" w:color="DDDDDD"/>
            </w:tcBorders>
            <w:shd w:val="clear" w:color="auto" w:fill="auto"/>
            <w:vAlign w:val="center"/>
          </w:tcPr>
          <w:p w:rsidR="00A663D6" w:rsidRPr="005B07DB" w:rsidRDefault="00A663D6" w:rsidP="002113C5">
            <w:pPr>
              <w:jc w:val="right"/>
              <w:rPr>
                <w:b/>
                <w:bCs/>
                <w:lang w:eastAsia="en-US" w:bidi="en-US"/>
              </w:rPr>
            </w:pPr>
            <w:r w:rsidRPr="005B07DB">
              <w:rPr>
                <w:b/>
                <w:bCs/>
                <w:lang w:eastAsia="en-US" w:bidi="en-U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lang w:eastAsia="en-US" w:bidi="en-US"/>
              </w:rPr>
              <w:t>30</w:t>
            </w:r>
          </w:p>
        </w:tc>
      </w:tr>
      <w:tr w:rsidR="00A663D6" w:rsidRPr="007F4653" w:rsidTr="002113C5">
        <w:trPr>
          <w:trHeight w:val="170"/>
        </w:trPr>
        <w:tc>
          <w:tcPr>
            <w:tcW w:w="1113"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ind w:firstLine="142"/>
              <w:rPr>
                <w:b/>
                <w:bCs/>
                <w:lang w:eastAsia="en-US" w:bidi="en-US"/>
              </w:rPr>
            </w:pPr>
            <w:r w:rsidRPr="005B07DB">
              <w:rPr>
                <w:b/>
                <w:bCs/>
              </w:rPr>
              <w:t>Estagiários</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20</w:t>
            </w:r>
          </w:p>
        </w:tc>
        <w:tc>
          <w:tcPr>
            <w:tcW w:w="704"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lang w:eastAsia="en-US" w:bidi="en-US"/>
              </w:rPr>
              <w:t>35</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0</w:t>
            </w:r>
          </w:p>
        </w:tc>
        <w:tc>
          <w:tcPr>
            <w:tcW w:w="783" w:type="pct"/>
            <w:tcBorders>
              <w:top w:val="single" w:sz="8" w:space="0" w:color="DDDDDD"/>
              <w:left w:val="single" w:sz="8" w:space="0" w:color="DDDDDD"/>
              <w:bottom w:val="single" w:sz="8" w:space="0" w:color="DDDDDD"/>
              <w:right w:val="single" w:sz="8" w:space="0" w:color="DDDDDD"/>
            </w:tcBorders>
            <w:shd w:val="clear" w:color="auto" w:fill="F6F6F6"/>
            <w:vAlign w:val="center"/>
          </w:tcPr>
          <w:p w:rsidR="00A663D6" w:rsidRPr="005B07DB" w:rsidRDefault="00A663D6" w:rsidP="002113C5">
            <w:pPr>
              <w:jc w:val="right"/>
              <w:rPr>
                <w:b/>
                <w:bCs/>
                <w:lang w:eastAsia="en-US" w:bidi="en-US"/>
              </w:rPr>
            </w:pPr>
            <w:r w:rsidRPr="005B07DB">
              <w:rPr>
                <w:b/>
                <w:bCs/>
                <w:lang w:eastAsia="en-US" w:bidi="en-US"/>
              </w:rPr>
              <w:t>0</w:t>
            </w:r>
          </w:p>
        </w:tc>
        <w:tc>
          <w:tcPr>
            <w:tcW w:w="600" w:type="pct"/>
            <w:tcBorders>
              <w:top w:val="single" w:sz="8" w:space="0" w:color="DDDDDD"/>
              <w:left w:val="single" w:sz="8" w:space="0" w:color="DDDDDD"/>
              <w:bottom w:val="single" w:sz="8" w:space="0" w:color="DDDDDD"/>
              <w:right w:val="single" w:sz="8" w:space="0" w:color="DDDDDD"/>
            </w:tcBorders>
            <w:shd w:val="clear" w:color="auto" w:fill="F6F6F6"/>
            <w:vAlign w:val="center"/>
            <w:hideMark/>
          </w:tcPr>
          <w:p w:rsidR="00A663D6" w:rsidRPr="005B07DB" w:rsidRDefault="00A663D6" w:rsidP="002113C5">
            <w:pPr>
              <w:jc w:val="right"/>
              <w:rPr>
                <w:b/>
                <w:bCs/>
                <w:lang w:eastAsia="en-US" w:bidi="en-US"/>
              </w:rPr>
            </w:pPr>
            <w:r w:rsidRPr="005B07DB">
              <w:rPr>
                <w:b/>
                <w:bCs/>
              </w:rPr>
              <w:t>55</w:t>
            </w:r>
          </w:p>
        </w:tc>
      </w:tr>
      <w:tr w:rsidR="00A663D6" w:rsidRPr="002A2EE2" w:rsidTr="002113C5">
        <w:trPr>
          <w:trHeight w:val="170"/>
        </w:trPr>
        <w:tc>
          <w:tcPr>
            <w:tcW w:w="1113"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ind w:firstLine="142"/>
              <w:rPr>
                <w:b/>
                <w:bCs/>
                <w:lang w:eastAsia="en-US" w:bidi="en-US"/>
              </w:rPr>
            </w:pPr>
            <w:r w:rsidRPr="005B07DB">
              <w:rPr>
                <w:b/>
                <w:bCs/>
              </w:rPr>
              <w:t>Total</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lang w:eastAsia="en-US" w:bidi="en-US"/>
              </w:rPr>
              <w:t>68</w:t>
            </w:r>
          </w:p>
        </w:tc>
        <w:tc>
          <w:tcPr>
            <w:tcW w:w="704"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061AA6" w:rsidP="00670A06">
            <w:pPr>
              <w:jc w:val="right"/>
              <w:rPr>
                <w:b/>
                <w:bCs/>
                <w:lang w:eastAsia="en-US" w:bidi="en-US"/>
              </w:rPr>
            </w:pPr>
            <w:r w:rsidRPr="005B07DB">
              <w:rPr>
                <w:b/>
                <w:bCs/>
              </w:rPr>
              <w:fldChar w:fldCharType="begin"/>
            </w:r>
            <w:r w:rsidR="00A663D6" w:rsidRPr="005B07DB">
              <w:rPr>
                <w:b/>
                <w:bCs/>
              </w:rPr>
              <w:instrText xml:space="preserve"> =SUM(ABOVE) </w:instrText>
            </w:r>
            <w:r w:rsidRPr="005B07DB">
              <w:rPr>
                <w:b/>
                <w:bCs/>
              </w:rPr>
              <w:fldChar w:fldCharType="separate"/>
            </w:r>
            <w:r w:rsidR="00A663D6" w:rsidRPr="005B07DB">
              <w:rPr>
                <w:b/>
                <w:bCs/>
                <w:noProof/>
              </w:rPr>
              <w:t>1</w:t>
            </w:r>
            <w:r w:rsidR="00670A06">
              <w:rPr>
                <w:b/>
                <w:bCs/>
                <w:noProof/>
              </w:rPr>
              <w:t>.</w:t>
            </w:r>
            <w:r w:rsidR="00A663D6" w:rsidRPr="005B07DB">
              <w:rPr>
                <w:b/>
                <w:bCs/>
                <w:noProof/>
              </w:rPr>
              <w:t>0</w:t>
            </w:r>
            <w:r w:rsidRPr="005B07DB">
              <w:rPr>
                <w:b/>
                <w:bCs/>
              </w:rPr>
              <w:fldChar w:fldCharType="end"/>
            </w:r>
            <w:r w:rsidR="00670A06">
              <w:rPr>
                <w:b/>
                <w:bCs/>
              </w:rPr>
              <w:t>01</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061AA6" w:rsidP="002113C5">
            <w:pPr>
              <w:jc w:val="right"/>
              <w:rPr>
                <w:b/>
                <w:bCs/>
                <w:lang w:eastAsia="en-US" w:bidi="en-US"/>
              </w:rPr>
            </w:pPr>
            <w:r w:rsidRPr="005B07DB">
              <w:rPr>
                <w:b/>
                <w:bCs/>
              </w:rPr>
              <w:fldChar w:fldCharType="begin"/>
            </w:r>
            <w:r w:rsidR="00A663D6" w:rsidRPr="005B07DB">
              <w:rPr>
                <w:b/>
                <w:bCs/>
              </w:rPr>
              <w:instrText xml:space="preserve"> =SUM(above) </w:instrText>
            </w:r>
            <w:r w:rsidRPr="005B07DB">
              <w:rPr>
                <w:b/>
                <w:bCs/>
              </w:rPr>
              <w:fldChar w:fldCharType="separate"/>
            </w:r>
            <w:r w:rsidR="00A663D6" w:rsidRPr="005B07DB">
              <w:rPr>
                <w:b/>
                <w:bCs/>
                <w:noProof/>
              </w:rPr>
              <w:t>8</w:t>
            </w:r>
            <w:r w:rsidRPr="005B07DB">
              <w:rPr>
                <w:b/>
                <w:bCs/>
              </w:rPr>
              <w:fldChar w:fldCharType="end"/>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061AA6" w:rsidP="002113C5">
            <w:pPr>
              <w:jc w:val="right"/>
              <w:rPr>
                <w:b/>
                <w:bCs/>
                <w:lang w:eastAsia="en-US" w:bidi="en-US"/>
              </w:rPr>
            </w:pPr>
            <w:r w:rsidRPr="005B07DB">
              <w:rPr>
                <w:b/>
                <w:bCs/>
              </w:rPr>
              <w:fldChar w:fldCharType="begin"/>
            </w:r>
            <w:r w:rsidR="00A663D6" w:rsidRPr="005B07DB">
              <w:rPr>
                <w:b/>
                <w:bCs/>
              </w:rPr>
              <w:instrText xml:space="preserve"> =SUM(above) </w:instrText>
            </w:r>
            <w:r w:rsidRPr="005B07DB">
              <w:rPr>
                <w:b/>
                <w:bCs/>
              </w:rPr>
              <w:fldChar w:fldCharType="separate"/>
            </w:r>
            <w:r w:rsidR="00A663D6" w:rsidRPr="005B07DB">
              <w:rPr>
                <w:b/>
                <w:bCs/>
                <w:noProof/>
              </w:rPr>
              <w:t>7</w:t>
            </w:r>
            <w:r w:rsidRPr="005B07DB">
              <w:rPr>
                <w:b/>
                <w:bCs/>
              </w:rPr>
              <w:fldChar w:fldCharType="end"/>
            </w:r>
          </w:p>
        </w:tc>
        <w:tc>
          <w:tcPr>
            <w:tcW w:w="783"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A663D6" w:rsidP="002113C5">
            <w:pPr>
              <w:jc w:val="right"/>
              <w:rPr>
                <w:b/>
                <w:bCs/>
                <w:lang w:eastAsia="en-US" w:bidi="en-US"/>
              </w:rPr>
            </w:pPr>
            <w:r w:rsidRPr="005B07DB">
              <w:rPr>
                <w:b/>
                <w:bCs/>
              </w:rPr>
              <w:t>7</w:t>
            </w:r>
          </w:p>
        </w:tc>
        <w:tc>
          <w:tcPr>
            <w:tcW w:w="600" w:type="pct"/>
            <w:tcBorders>
              <w:top w:val="single" w:sz="8" w:space="0" w:color="DDDDDD"/>
              <w:left w:val="single" w:sz="8" w:space="0" w:color="DDDDDD"/>
              <w:bottom w:val="single" w:sz="8" w:space="0" w:color="DDDDDD"/>
              <w:right w:val="single" w:sz="8" w:space="0" w:color="DDDDDD"/>
            </w:tcBorders>
            <w:shd w:val="clear" w:color="auto" w:fill="auto"/>
            <w:vAlign w:val="center"/>
            <w:hideMark/>
          </w:tcPr>
          <w:p w:rsidR="00A663D6" w:rsidRPr="005B07DB" w:rsidRDefault="00061AA6" w:rsidP="00670A06">
            <w:pPr>
              <w:jc w:val="right"/>
              <w:rPr>
                <w:b/>
                <w:bCs/>
                <w:lang w:eastAsia="en-US" w:bidi="en-US"/>
              </w:rPr>
            </w:pPr>
            <w:r w:rsidRPr="005B07DB">
              <w:rPr>
                <w:b/>
                <w:bCs/>
              </w:rPr>
              <w:fldChar w:fldCharType="begin"/>
            </w:r>
            <w:r w:rsidR="00A663D6" w:rsidRPr="005B07DB">
              <w:rPr>
                <w:b/>
                <w:bCs/>
              </w:rPr>
              <w:instrText xml:space="preserve"> =SUM(ABOVE) </w:instrText>
            </w:r>
            <w:r w:rsidRPr="005B07DB">
              <w:rPr>
                <w:b/>
                <w:bCs/>
              </w:rPr>
              <w:fldChar w:fldCharType="separate"/>
            </w:r>
            <w:r w:rsidR="00670A06">
              <w:rPr>
                <w:b/>
                <w:bCs/>
                <w:noProof/>
              </w:rPr>
              <w:t>1.091</w:t>
            </w:r>
            <w:r w:rsidRPr="005B07DB">
              <w:rPr>
                <w:b/>
                <w:bCs/>
              </w:rPr>
              <w:fldChar w:fldCharType="end"/>
            </w:r>
          </w:p>
        </w:tc>
      </w:tr>
    </w:tbl>
    <w:p w:rsidR="00503B9D" w:rsidRPr="002A2EE2" w:rsidRDefault="00503B9D" w:rsidP="00FA2F3A">
      <w:pPr>
        <w:pStyle w:val="Ttulo3"/>
        <w:numPr>
          <w:ilvl w:val="0"/>
          <w:numId w:val="10"/>
        </w:numPr>
        <w:spacing w:before="240"/>
      </w:pPr>
      <w:bookmarkStart w:id="10" w:name="_Toc478141843"/>
      <w:r w:rsidRPr="002A2EE2">
        <w:t>RESPONSABILIDADE SOCIOAMBIENTAL</w:t>
      </w:r>
      <w:bookmarkEnd w:id="10"/>
    </w:p>
    <w:p w:rsidR="00503B9D" w:rsidRPr="002A2EE2" w:rsidRDefault="00503B9D" w:rsidP="00503B9D">
      <w:pPr>
        <w:spacing w:before="240" w:after="240"/>
        <w:rPr>
          <w:b/>
          <w:bCs/>
          <w:sz w:val="22"/>
          <w:szCs w:val="22"/>
        </w:rPr>
      </w:pPr>
      <w:r w:rsidRPr="002A2EE2">
        <w:rPr>
          <w:b/>
          <w:bCs/>
          <w:sz w:val="22"/>
          <w:szCs w:val="22"/>
        </w:rPr>
        <w:t xml:space="preserve">Responsabilidade </w:t>
      </w:r>
      <w:r>
        <w:rPr>
          <w:b/>
          <w:bCs/>
          <w:sz w:val="22"/>
          <w:szCs w:val="22"/>
        </w:rPr>
        <w:t>A</w:t>
      </w:r>
      <w:r w:rsidRPr="002A2EE2">
        <w:rPr>
          <w:b/>
          <w:bCs/>
          <w:sz w:val="22"/>
          <w:szCs w:val="22"/>
        </w:rPr>
        <w:t>mbiental</w:t>
      </w:r>
    </w:p>
    <w:p w:rsidR="00503B9D" w:rsidRPr="002A2EE2" w:rsidRDefault="00503B9D" w:rsidP="00503B9D">
      <w:pPr>
        <w:spacing w:before="240" w:after="240"/>
        <w:jc w:val="both"/>
        <w:rPr>
          <w:sz w:val="22"/>
          <w:szCs w:val="22"/>
        </w:rPr>
      </w:pPr>
      <w:r w:rsidRPr="002A2EE2">
        <w:rPr>
          <w:sz w:val="22"/>
          <w:szCs w:val="22"/>
        </w:rPr>
        <w:t>Com relação à responsabilidade ambiental, destaca</w:t>
      </w:r>
      <w:r>
        <w:rPr>
          <w:sz w:val="22"/>
          <w:szCs w:val="22"/>
        </w:rPr>
        <w:t>m</w:t>
      </w:r>
      <w:r w:rsidRPr="002A2EE2">
        <w:rPr>
          <w:sz w:val="22"/>
          <w:szCs w:val="22"/>
        </w:rPr>
        <w:t>-se as seguintes atividades ocorridas no exercício de 201</w:t>
      </w:r>
      <w:r>
        <w:rPr>
          <w:sz w:val="22"/>
          <w:szCs w:val="22"/>
        </w:rPr>
        <w:t>6</w:t>
      </w:r>
      <w:r w:rsidRPr="002A2EE2">
        <w:rPr>
          <w:sz w:val="22"/>
          <w:szCs w:val="22"/>
        </w:rPr>
        <w:t xml:space="preserve">: </w:t>
      </w:r>
    </w:p>
    <w:p w:rsidR="00503B9D" w:rsidRPr="007F4653" w:rsidRDefault="00503B9D" w:rsidP="00FA2F3A">
      <w:pPr>
        <w:pStyle w:val="PargrafodaLista"/>
        <w:numPr>
          <w:ilvl w:val="0"/>
          <w:numId w:val="9"/>
        </w:numPr>
        <w:spacing w:before="240" w:after="240"/>
        <w:jc w:val="both"/>
        <w:rPr>
          <w:rFonts w:ascii="Times New Roman" w:hAnsi="Times New Roman" w:cs="Times New Roman"/>
          <w:lang w:val="pt-BR"/>
        </w:rPr>
      </w:pPr>
      <w:r w:rsidRPr="007F4653">
        <w:rPr>
          <w:rFonts w:ascii="Times New Roman" w:hAnsi="Times New Roman" w:cs="Times New Roman"/>
          <w:lang w:val="pt-BR"/>
        </w:rPr>
        <w:t>A CEB Distribuição S.A. iniciou a implantação do Plano de Recuperação de Áreas Degradas – PRAD, na área do Parque Nacional de Brasília, referente a retirada de uma Torre de Telecomunicações implantada na poligonal do Parque, prevendo a recuperação de uma área de 8,79 hectares, com o plantio 19.532 (dezenove mil, quinhentos e trinta e</w:t>
      </w:r>
      <w:r>
        <w:rPr>
          <w:rFonts w:ascii="Times New Roman" w:hAnsi="Times New Roman" w:cs="Times New Roman"/>
          <w:lang w:val="pt-BR"/>
        </w:rPr>
        <w:t xml:space="preserve"> duas) mudas nativas do Cerrado;</w:t>
      </w:r>
      <w:r w:rsidRPr="007F4653">
        <w:rPr>
          <w:rFonts w:ascii="Times New Roman" w:hAnsi="Times New Roman" w:cs="Times New Roman"/>
          <w:lang w:val="pt-BR"/>
        </w:rPr>
        <w:t xml:space="preserve"> </w:t>
      </w:r>
    </w:p>
    <w:p w:rsidR="00503B9D" w:rsidRDefault="00503B9D" w:rsidP="00FA2F3A">
      <w:pPr>
        <w:pStyle w:val="PargrafodaLista"/>
        <w:numPr>
          <w:ilvl w:val="0"/>
          <w:numId w:val="9"/>
        </w:numPr>
        <w:jc w:val="both"/>
        <w:rPr>
          <w:rFonts w:ascii="Times New Roman" w:hAnsi="Times New Roman" w:cs="Times New Roman"/>
          <w:lang w:val="pt-BR"/>
        </w:rPr>
      </w:pPr>
      <w:r w:rsidRPr="007F4653">
        <w:rPr>
          <w:rFonts w:ascii="Times New Roman" w:hAnsi="Times New Roman" w:cs="Times New Roman"/>
          <w:lang w:val="pt-BR"/>
        </w:rPr>
        <w:t xml:space="preserve">Para o manejo da vegetação próxima ao sistema elétrico, foi realizada a contratação de empresa especializada nesse serviço. As equipes são acompanhadas por profissionais de Engenharia Agronômica,  permitindo uma maior eficiência operacional e técnica. A execução do serviço de poda de árvores é precedida por uma inspeção que indica o tipo de </w:t>
      </w:r>
      <w:r>
        <w:rPr>
          <w:rFonts w:ascii="Times New Roman" w:hAnsi="Times New Roman" w:cs="Times New Roman"/>
          <w:lang w:val="pt-BR"/>
        </w:rPr>
        <w:t>intervenção a ser</w:t>
      </w:r>
      <w:r w:rsidRPr="007F4653">
        <w:rPr>
          <w:rFonts w:ascii="Times New Roman" w:hAnsi="Times New Roman" w:cs="Times New Roman"/>
          <w:lang w:val="pt-BR"/>
        </w:rPr>
        <w:t xml:space="preserve"> executad</w:t>
      </w:r>
      <w:r>
        <w:rPr>
          <w:rFonts w:ascii="Times New Roman" w:hAnsi="Times New Roman" w:cs="Times New Roman"/>
          <w:lang w:val="pt-BR"/>
        </w:rPr>
        <w:t>a</w:t>
      </w:r>
      <w:r w:rsidRPr="007F4653">
        <w:rPr>
          <w:rFonts w:ascii="Times New Roman" w:hAnsi="Times New Roman" w:cs="Times New Roman"/>
          <w:lang w:val="pt-BR"/>
        </w:rPr>
        <w:t xml:space="preserve"> e possibilita a formação de um banco de dados sobre</w:t>
      </w:r>
      <w:r>
        <w:rPr>
          <w:rFonts w:ascii="Times New Roman" w:hAnsi="Times New Roman" w:cs="Times New Roman"/>
          <w:lang w:val="pt-BR"/>
        </w:rPr>
        <w:t xml:space="preserve"> os indivíduos arbóreos que estão próximo</w:t>
      </w:r>
      <w:r w:rsidRPr="007F4653">
        <w:rPr>
          <w:rFonts w:ascii="Times New Roman" w:hAnsi="Times New Roman" w:cs="Times New Roman"/>
          <w:lang w:val="pt-BR"/>
        </w:rPr>
        <w:t xml:space="preserve">s às </w:t>
      </w:r>
      <w:proofErr w:type="gramStart"/>
      <w:r w:rsidRPr="007F4653">
        <w:rPr>
          <w:rFonts w:ascii="Times New Roman" w:hAnsi="Times New Roman" w:cs="Times New Roman"/>
          <w:lang w:val="pt-BR"/>
        </w:rPr>
        <w:t>redes,  viabilizando</w:t>
      </w:r>
      <w:proofErr w:type="gramEnd"/>
      <w:r w:rsidRPr="007F4653">
        <w:rPr>
          <w:rFonts w:ascii="Times New Roman" w:hAnsi="Times New Roman" w:cs="Times New Roman"/>
          <w:lang w:val="pt-BR"/>
        </w:rPr>
        <w:t xml:space="preserve"> uma atuação de caráter </w:t>
      </w:r>
      <w:proofErr w:type="spellStart"/>
      <w:r w:rsidRPr="007F4653">
        <w:rPr>
          <w:rFonts w:ascii="Times New Roman" w:hAnsi="Times New Roman" w:cs="Times New Roman"/>
          <w:lang w:val="pt-BR"/>
        </w:rPr>
        <w:t>preemptivo</w:t>
      </w:r>
      <w:proofErr w:type="spellEnd"/>
      <w:r w:rsidRPr="007F4653">
        <w:rPr>
          <w:rFonts w:ascii="Times New Roman" w:hAnsi="Times New Roman" w:cs="Times New Roman"/>
          <w:lang w:val="pt-BR"/>
        </w:rPr>
        <w:t>/preventivo</w:t>
      </w:r>
      <w:r>
        <w:rPr>
          <w:rFonts w:ascii="Times New Roman" w:hAnsi="Times New Roman" w:cs="Times New Roman"/>
          <w:lang w:val="pt-BR"/>
        </w:rPr>
        <w:t>,</w:t>
      </w:r>
      <w:r w:rsidRPr="007F4653">
        <w:rPr>
          <w:rFonts w:ascii="Times New Roman" w:hAnsi="Times New Roman" w:cs="Times New Roman"/>
          <w:lang w:val="pt-BR"/>
        </w:rPr>
        <w:t xml:space="preserve"> uma vez que são colhidas informações como localização, espécies, aspectos físicos e ta</w:t>
      </w:r>
      <w:r>
        <w:rPr>
          <w:rFonts w:ascii="Times New Roman" w:hAnsi="Times New Roman" w:cs="Times New Roman"/>
          <w:lang w:val="pt-BR"/>
        </w:rPr>
        <w:t>xa de crescimento da vegetação;</w:t>
      </w:r>
    </w:p>
    <w:p w:rsidR="00503B9D" w:rsidRPr="00CE24DF" w:rsidRDefault="00503B9D" w:rsidP="00FA2F3A">
      <w:pPr>
        <w:pStyle w:val="PargrafodaLista"/>
        <w:numPr>
          <w:ilvl w:val="0"/>
          <w:numId w:val="9"/>
        </w:numPr>
        <w:jc w:val="both"/>
        <w:rPr>
          <w:rFonts w:ascii="Times New Roman" w:hAnsi="Times New Roman" w:cs="Times New Roman"/>
          <w:lang w:val="pt-BR"/>
        </w:rPr>
      </w:pPr>
      <w:r w:rsidRPr="00CE24DF">
        <w:rPr>
          <w:rFonts w:ascii="Times New Roman" w:hAnsi="Times New Roman" w:cs="Times New Roman"/>
          <w:lang w:val="pt-BR"/>
        </w:rPr>
        <w:t xml:space="preserve">Também foram realizadas palestras </w:t>
      </w:r>
      <w:r>
        <w:rPr>
          <w:rFonts w:ascii="Times New Roman" w:hAnsi="Times New Roman" w:cs="Times New Roman"/>
          <w:lang w:val="pt-BR"/>
        </w:rPr>
        <w:t>sobre o uso racional da energia, que também integra a</w:t>
      </w:r>
      <w:r w:rsidRPr="00CE24DF">
        <w:rPr>
          <w:rFonts w:ascii="Times New Roman" w:hAnsi="Times New Roman" w:cs="Times New Roman"/>
          <w:lang w:val="pt-BR"/>
        </w:rPr>
        <w:t xml:space="preserve"> temá</w:t>
      </w:r>
      <w:r>
        <w:rPr>
          <w:rFonts w:ascii="Times New Roman" w:hAnsi="Times New Roman" w:cs="Times New Roman"/>
          <w:lang w:val="pt-BR"/>
        </w:rPr>
        <w:t>t</w:t>
      </w:r>
      <w:r w:rsidRPr="00CE24DF">
        <w:rPr>
          <w:rFonts w:ascii="Times New Roman" w:hAnsi="Times New Roman" w:cs="Times New Roman"/>
          <w:lang w:val="pt-BR"/>
        </w:rPr>
        <w:t>ica ambiental</w:t>
      </w:r>
      <w:r>
        <w:rPr>
          <w:rFonts w:ascii="Times New Roman" w:hAnsi="Times New Roman" w:cs="Times New Roman"/>
          <w:lang w:val="pt-BR"/>
        </w:rPr>
        <w:t>,</w:t>
      </w:r>
      <w:r w:rsidRPr="00CE24DF">
        <w:rPr>
          <w:rFonts w:ascii="Times New Roman" w:hAnsi="Times New Roman" w:cs="Times New Roman"/>
          <w:lang w:val="pt-BR"/>
        </w:rPr>
        <w:t xml:space="preserve"> em órgãos públicos, escolas e clientes particulares, </w:t>
      </w:r>
      <w:proofErr w:type="gramStart"/>
      <w:r w:rsidRPr="00CE24DF">
        <w:rPr>
          <w:rFonts w:ascii="Times New Roman" w:hAnsi="Times New Roman" w:cs="Times New Roman"/>
          <w:lang w:val="pt-BR"/>
        </w:rPr>
        <w:t>orientando  os</w:t>
      </w:r>
      <w:proofErr w:type="gramEnd"/>
      <w:r w:rsidRPr="00CE24DF">
        <w:rPr>
          <w:rFonts w:ascii="Times New Roman" w:hAnsi="Times New Roman" w:cs="Times New Roman"/>
          <w:lang w:val="pt-BR"/>
        </w:rPr>
        <w:t xml:space="preserve"> participantes </w:t>
      </w:r>
      <w:r>
        <w:rPr>
          <w:rFonts w:ascii="Times New Roman" w:hAnsi="Times New Roman" w:cs="Times New Roman"/>
          <w:lang w:val="pt-BR"/>
        </w:rPr>
        <w:t>sobre procedimentos</w:t>
      </w:r>
      <w:r w:rsidRPr="00CE24DF">
        <w:rPr>
          <w:rFonts w:ascii="Times New Roman" w:hAnsi="Times New Roman" w:cs="Times New Roman"/>
          <w:lang w:val="pt-BR"/>
        </w:rPr>
        <w:t xml:space="preserve"> em </w:t>
      </w:r>
      <w:r>
        <w:rPr>
          <w:rFonts w:ascii="Times New Roman" w:hAnsi="Times New Roman" w:cs="Times New Roman"/>
          <w:lang w:val="pt-BR"/>
        </w:rPr>
        <w:t>suas residências</w:t>
      </w:r>
      <w:r w:rsidRPr="00CE24DF">
        <w:rPr>
          <w:rFonts w:ascii="Times New Roman" w:hAnsi="Times New Roman" w:cs="Times New Roman"/>
          <w:lang w:val="pt-BR"/>
        </w:rPr>
        <w:t xml:space="preserve"> e no</w:t>
      </w:r>
      <w:r>
        <w:rPr>
          <w:rFonts w:ascii="Times New Roman" w:hAnsi="Times New Roman" w:cs="Times New Roman"/>
          <w:lang w:val="pt-BR"/>
        </w:rPr>
        <w:t>s</w:t>
      </w:r>
      <w:r w:rsidRPr="00CE24DF">
        <w:rPr>
          <w:rFonts w:ascii="Times New Roman" w:hAnsi="Times New Roman" w:cs="Times New Roman"/>
          <w:lang w:val="pt-BR"/>
        </w:rPr>
        <w:t xml:space="preserve"> </w:t>
      </w:r>
      <w:r>
        <w:rPr>
          <w:rFonts w:ascii="Times New Roman" w:hAnsi="Times New Roman" w:cs="Times New Roman"/>
          <w:lang w:val="pt-BR"/>
        </w:rPr>
        <w:t xml:space="preserve">respectivos </w:t>
      </w:r>
      <w:r w:rsidRPr="00CE24DF">
        <w:rPr>
          <w:rFonts w:ascii="Times New Roman" w:hAnsi="Times New Roman" w:cs="Times New Roman"/>
          <w:lang w:val="pt-BR"/>
        </w:rPr>
        <w:t>ambiente</w:t>
      </w:r>
      <w:r>
        <w:rPr>
          <w:rFonts w:ascii="Times New Roman" w:hAnsi="Times New Roman" w:cs="Times New Roman"/>
          <w:lang w:val="pt-BR"/>
        </w:rPr>
        <w:t>s</w:t>
      </w:r>
      <w:r w:rsidRPr="00CE24DF">
        <w:rPr>
          <w:rFonts w:ascii="Times New Roman" w:hAnsi="Times New Roman" w:cs="Times New Roman"/>
          <w:lang w:val="pt-BR"/>
        </w:rPr>
        <w:t xml:space="preserve"> de trabalho, </w:t>
      </w:r>
      <w:r>
        <w:rPr>
          <w:rFonts w:ascii="Times New Roman" w:hAnsi="Times New Roman" w:cs="Times New Roman"/>
          <w:lang w:val="pt-BR"/>
        </w:rPr>
        <w:t xml:space="preserve">sempre </w:t>
      </w:r>
      <w:r w:rsidRPr="00CE24DF">
        <w:rPr>
          <w:rFonts w:ascii="Times New Roman" w:hAnsi="Times New Roman" w:cs="Times New Roman"/>
          <w:lang w:val="pt-BR"/>
        </w:rPr>
        <w:t>com o intuito de conscientiza</w:t>
      </w:r>
      <w:r>
        <w:rPr>
          <w:rFonts w:ascii="Times New Roman" w:hAnsi="Times New Roman" w:cs="Times New Roman"/>
          <w:lang w:val="pt-BR"/>
        </w:rPr>
        <w:t xml:space="preserve">ção </w:t>
      </w:r>
      <w:r w:rsidRPr="00CE24DF">
        <w:rPr>
          <w:rFonts w:ascii="Times New Roman" w:hAnsi="Times New Roman" w:cs="Times New Roman"/>
          <w:lang w:val="pt-BR"/>
        </w:rPr>
        <w:t>quanto à economia de energia nas edificações</w:t>
      </w:r>
      <w:r>
        <w:rPr>
          <w:rFonts w:ascii="Times New Roman" w:hAnsi="Times New Roman" w:cs="Times New Roman"/>
          <w:lang w:val="pt-BR"/>
        </w:rPr>
        <w:t>; e</w:t>
      </w:r>
      <w:r w:rsidRPr="00CE24DF">
        <w:rPr>
          <w:rFonts w:ascii="Times New Roman" w:hAnsi="Times New Roman" w:cs="Times New Roman"/>
          <w:lang w:val="pt-BR"/>
        </w:rPr>
        <w:t xml:space="preserve"> </w:t>
      </w:r>
    </w:p>
    <w:p w:rsidR="00503B9D" w:rsidRPr="00CE24DF" w:rsidRDefault="00503B9D" w:rsidP="00FA2F3A">
      <w:pPr>
        <w:pStyle w:val="PargrafodaLista"/>
        <w:numPr>
          <w:ilvl w:val="0"/>
          <w:numId w:val="9"/>
        </w:numPr>
        <w:jc w:val="both"/>
        <w:rPr>
          <w:rFonts w:ascii="Times New Roman" w:hAnsi="Times New Roman" w:cs="Times New Roman"/>
          <w:lang w:val="pt-BR"/>
        </w:rPr>
      </w:pPr>
      <w:r w:rsidRPr="00CE24DF">
        <w:rPr>
          <w:rFonts w:ascii="Times New Roman" w:hAnsi="Times New Roman" w:cs="Times New Roman"/>
          <w:lang w:val="pt-BR"/>
        </w:rPr>
        <w:lastRenderedPageBreak/>
        <w:t xml:space="preserve">O Projeto de Coleta de Lâmpadas inutilizadas do segmento residencial continua em vigor na sede da </w:t>
      </w:r>
      <w:r>
        <w:rPr>
          <w:rFonts w:ascii="Times New Roman" w:hAnsi="Times New Roman" w:cs="Times New Roman"/>
          <w:lang w:val="pt-BR"/>
        </w:rPr>
        <w:t>E</w:t>
      </w:r>
      <w:r w:rsidRPr="00CE24DF">
        <w:rPr>
          <w:rFonts w:ascii="Times New Roman" w:hAnsi="Times New Roman" w:cs="Times New Roman"/>
          <w:lang w:val="pt-BR"/>
        </w:rPr>
        <w:t>mpresa e em 2 agências comerciais aut</w:t>
      </w:r>
      <w:r>
        <w:rPr>
          <w:rFonts w:ascii="Times New Roman" w:hAnsi="Times New Roman" w:cs="Times New Roman"/>
          <w:lang w:val="pt-BR"/>
        </w:rPr>
        <w:t>orizadas a receber tal descarte, permitindo a correta descontaminação e destinação final das mesmas;</w:t>
      </w:r>
    </w:p>
    <w:p w:rsidR="00503B9D" w:rsidRPr="002A2EE2" w:rsidRDefault="00503B9D" w:rsidP="00503B9D">
      <w:pPr>
        <w:spacing w:before="240" w:after="240"/>
        <w:rPr>
          <w:sz w:val="22"/>
          <w:szCs w:val="22"/>
        </w:rPr>
      </w:pPr>
      <w:r w:rsidRPr="002A2EE2">
        <w:rPr>
          <w:b/>
          <w:bCs/>
          <w:sz w:val="22"/>
          <w:szCs w:val="22"/>
        </w:rPr>
        <w:t>Responsabilidade Social</w:t>
      </w:r>
    </w:p>
    <w:p w:rsidR="00503B9D" w:rsidRDefault="00503B9D" w:rsidP="00503B9D">
      <w:pPr>
        <w:spacing w:before="240" w:after="240"/>
        <w:jc w:val="both"/>
        <w:rPr>
          <w:sz w:val="22"/>
          <w:szCs w:val="22"/>
        </w:rPr>
      </w:pPr>
      <w:r w:rsidRPr="002A2EE2">
        <w:rPr>
          <w:sz w:val="22"/>
          <w:szCs w:val="22"/>
        </w:rPr>
        <w:t>No que diz respeito à responsabilidade social, foram desenvolvidas as seguintes ações:</w:t>
      </w:r>
    </w:p>
    <w:p w:rsidR="00503B9D" w:rsidRPr="006A3838" w:rsidRDefault="00503B9D" w:rsidP="00FA2F3A">
      <w:pPr>
        <w:pStyle w:val="PargrafodaLista"/>
        <w:numPr>
          <w:ilvl w:val="0"/>
          <w:numId w:val="9"/>
        </w:numPr>
        <w:spacing w:before="240" w:after="240"/>
        <w:jc w:val="both"/>
        <w:rPr>
          <w:lang w:val="pt-BR"/>
        </w:rPr>
      </w:pPr>
      <w:r w:rsidRPr="006A3838">
        <w:rPr>
          <w:rFonts w:ascii="Times New Roman" w:hAnsi="Times New Roman" w:cs="Times New Roman"/>
          <w:lang w:val="pt-BR"/>
        </w:rPr>
        <w:t>Dentro do Prog</w:t>
      </w:r>
      <w:r>
        <w:rPr>
          <w:rFonts w:ascii="Times New Roman" w:hAnsi="Times New Roman" w:cs="Times New Roman"/>
          <w:lang w:val="pt-BR"/>
        </w:rPr>
        <w:t xml:space="preserve">rama de Eficiência Energética, </w:t>
      </w:r>
      <w:r w:rsidRPr="006A3838">
        <w:rPr>
          <w:rFonts w:ascii="Times New Roman" w:hAnsi="Times New Roman" w:cs="Times New Roman"/>
          <w:lang w:val="pt-BR"/>
        </w:rPr>
        <w:t>foi iniciada a implementação dos projetos selecionados na chamada pública de PEE de 2015</w:t>
      </w:r>
      <w:r>
        <w:rPr>
          <w:rFonts w:ascii="Times New Roman" w:hAnsi="Times New Roman" w:cs="Times New Roman"/>
          <w:lang w:val="pt-BR"/>
        </w:rPr>
        <w:t>, englobando:</w:t>
      </w:r>
    </w:p>
    <w:p w:rsidR="00503B9D" w:rsidRPr="006A3838" w:rsidRDefault="00503B9D" w:rsidP="00FA2F3A">
      <w:pPr>
        <w:pStyle w:val="PargrafodaLista"/>
        <w:numPr>
          <w:ilvl w:val="0"/>
          <w:numId w:val="13"/>
        </w:numPr>
        <w:rPr>
          <w:lang w:val="pt-BR"/>
        </w:rPr>
      </w:pPr>
      <w:r w:rsidRPr="006A3838">
        <w:rPr>
          <w:rFonts w:ascii="Times New Roman" w:hAnsi="Times New Roman" w:cs="Times New Roman"/>
          <w:lang w:val="pt-BR"/>
        </w:rPr>
        <w:t xml:space="preserve">Eficientização das Instalações do </w:t>
      </w:r>
      <w:proofErr w:type="spellStart"/>
      <w:r w:rsidRPr="00755CF1">
        <w:rPr>
          <w:rFonts w:ascii="Times New Roman" w:hAnsi="Times New Roman" w:cs="Times New Roman"/>
          <w:i/>
          <w:lang w:val="pt-BR"/>
        </w:rPr>
        <w:t>Garvey</w:t>
      </w:r>
      <w:proofErr w:type="spellEnd"/>
      <w:r w:rsidRPr="00755CF1">
        <w:rPr>
          <w:rFonts w:ascii="Times New Roman" w:hAnsi="Times New Roman" w:cs="Times New Roman"/>
          <w:i/>
          <w:lang w:val="pt-BR"/>
        </w:rPr>
        <w:t xml:space="preserve"> Park</w:t>
      </w:r>
      <w:r w:rsidRPr="006A3838">
        <w:rPr>
          <w:rFonts w:ascii="Times New Roman" w:hAnsi="Times New Roman" w:cs="Times New Roman"/>
          <w:lang w:val="pt-BR"/>
        </w:rPr>
        <w:t xml:space="preserve"> Hotel</w:t>
      </w:r>
      <w:r>
        <w:rPr>
          <w:rFonts w:ascii="Times New Roman" w:hAnsi="Times New Roman" w:cs="Times New Roman"/>
          <w:lang w:val="pt-BR"/>
        </w:rPr>
        <w:t xml:space="preserve">, compreendendo as </w:t>
      </w:r>
      <w:r w:rsidRPr="006A3838">
        <w:rPr>
          <w:rFonts w:ascii="Times New Roman" w:hAnsi="Times New Roman" w:cs="Times New Roman"/>
          <w:lang w:val="pt-BR"/>
        </w:rPr>
        <w:t xml:space="preserve">seguintes </w:t>
      </w:r>
      <w:r>
        <w:rPr>
          <w:rFonts w:ascii="Times New Roman" w:hAnsi="Times New Roman" w:cs="Times New Roman"/>
          <w:lang w:val="pt-BR"/>
        </w:rPr>
        <w:t>intervenções</w:t>
      </w:r>
      <w:r w:rsidRPr="006A3838">
        <w:rPr>
          <w:rFonts w:ascii="Times New Roman" w:hAnsi="Times New Roman" w:cs="Times New Roman"/>
          <w:lang w:val="pt-BR"/>
        </w:rPr>
        <w:t>:</w:t>
      </w:r>
      <w:r w:rsidRPr="006A3838">
        <w:rPr>
          <w:lang w:val="pt-BR"/>
        </w:rPr>
        <w:t xml:space="preserve"> </w:t>
      </w:r>
    </w:p>
    <w:p w:rsidR="00503B9D" w:rsidRPr="006A3838" w:rsidRDefault="00503B9D" w:rsidP="00503B9D">
      <w:pPr>
        <w:ind w:left="1134"/>
        <w:rPr>
          <w:sz w:val="22"/>
          <w:szCs w:val="22"/>
          <w:lang w:eastAsia="en-US"/>
        </w:rPr>
      </w:pPr>
      <w:r>
        <w:rPr>
          <w:sz w:val="22"/>
          <w:szCs w:val="22"/>
          <w:lang w:eastAsia="en-US"/>
        </w:rPr>
        <w:t xml:space="preserve">- </w:t>
      </w:r>
      <w:r w:rsidRPr="006A3838">
        <w:rPr>
          <w:sz w:val="22"/>
          <w:szCs w:val="22"/>
          <w:lang w:eastAsia="en-US"/>
        </w:rPr>
        <w:t xml:space="preserve">Substituição de toda a iluminação das áreas comuns do hotel por Lâmpadas </w:t>
      </w:r>
      <w:r>
        <w:rPr>
          <w:sz w:val="22"/>
          <w:szCs w:val="22"/>
          <w:lang w:eastAsia="en-US"/>
        </w:rPr>
        <w:t xml:space="preserve">do tipo </w:t>
      </w:r>
      <w:r w:rsidRPr="006A3838">
        <w:rPr>
          <w:sz w:val="22"/>
          <w:szCs w:val="22"/>
          <w:lang w:eastAsia="en-US"/>
        </w:rPr>
        <w:t>LED;</w:t>
      </w:r>
    </w:p>
    <w:p w:rsidR="00503B9D" w:rsidRPr="006A3838" w:rsidRDefault="00503B9D" w:rsidP="00503B9D">
      <w:pPr>
        <w:ind w:left="1134"/>
        <w:rPr>
          <w:sz w:val="22"/>
          <w:szCs w:val="22"/>
          <w:lang w:eastAsia="en-US"/>
        </w:rPr>
      </w:pPr>
      <w:r>
        <w:rPr>
          <w:sz w:val="22"/>
          <w:szCs w:val="22"/>
          <w:lang w:eastAsia="en-US"/>
        </w:rPr>
        <w:t xml:space="preserve">- </w:t>
      </w:r>
      <w:r w:rsidRPr="006A3838">
        <w:rPr>
          <w:sz w:val="22"/>
          <w:szCs w:val="22"/>
          <w:lang w:eastAsia="en-US"/>
        </w:rPr>
        <w:t xml:space="preserve">Instalação de um sistema de aquecimento solar da água de banho com 36 placas com 60 tubos de vácuo </w:t>
      </w:r>
      <w:r>
        <w:rPr>
          <w:sz w:val="22"/>
          <w:szCs w:val="22"/>
          <w:lang w:eastAsia="en-US"/>
        </w:rPr>
        <w:t>por unidade</w:t>
      </w:r>
      <w:r w:rsidRPr="006A3838">
        <w:rPr>
          <w:sz w:val="22"/>
          <w:szCs w:val="22"/>
          <w:lang w:eastAsia="en-US"/>
        </w:rPr>
        <w:t>;</w:t>
      </w:r>
    </w:p>
    <w:p w:rsidR="00503B9D" w:rsidRPr="006A3838" w:rsidRDefault="00503B9D" w:rsidP="00503B9D">
      <w:pPr>
        <w:ind w:left="1134"/>
        <w:rPr>
          <w:sz w:val="22"/>
          <w:szCs w:val="22"/>
          <w:lang w:eastAsia="en-US"/>
        </w:rPr>
      </w:pPr>
      <w:r>
        <w:rPr>
          <w:sz w:val="22"/>
          <w:szCs w:val="22"/>
          <w:lang w:eastAsia="en-US"/>
        </w:rPr>
        <w:t xml:space="preserve">- </w:t>
      </w:r>
      <w:r w:rsidRPr="006A3838">
        <w:rPr>
          <w:sz w:val="22"/>
          <w:szCs w:val="22"/>
          <w:lang w:eastAsia="en-US"/>
        </w:rPr>
        <w:t xml:space="preserve">Instalação de 30,6 </w:t>
      </w:r>
      <w:proofErr w:type="spellStart"/>
      <w:r w:rsidRPr="006A3838">
        <w:rPr>
          <w:sz w:val="22"/>
          <w:szCs w:val="22"/>
          <w:lang w:eastAsia="en-US"/>
        </w:rPr>
        <w:t>kWp</w:t>
      </w:r>
      <w:proofErr w:type="spellEnd"/>
      <w:r w:rsidRPr="006A3838">
        <w:rPr>
          <w:sz w:val="22"/>
          <w:szCs w:val="22"/>
          <w:lang w:eastAsia="en-US"/>
        </w:rPr>
        <w:t xml:space="preserve"> de geração fotovoltaica.</w:t>
      </w:r>
    </w:p>
    <w:p w:rsidR="00503B9D" w:rsidRPr="006A3838" w:rsidRDefault="00503B9D" w:rsidP="00503B9D">
      <w:pPr>
        <w:rPr>
          <w:sz w:val="22"/>
          <w:szCs w:val="22"/>
          <w:lang w:eastAsia="en-US"/>
        </w:rPr>
      </w:pPr>
      <w:r w:rsidRPr="006A3838">
        <w:rPr>
          <w:sz w:val="22"/>
          <w:szCs w:val="22"/>
          <w:lang w:eastAsia="en-US"/>
        </w:rPr>
        <w:t xml:space="preserve"> </w:t>
      </w:r>
    </w:p>
    <w:p w:rsidR="00503B9D" w:rsidRPr="006A3838" w:rsidRDefault="00503B9D" w:rsidP="00FA2F3A">
      <w:pPr>
        <w:pStyle w:val="PargrafodaLista"/>
        <w:numPr>
          <w:ilvl w:val="0"/>
          <w:numId w:val="13"/>
        </w:numPr>
        <w:rPr>
          <w:rFonts w:ascii="Times New Roman" w:hAnsi="Times New Roman" w:cs="Times New Roman"/>
          <w:lang w:val="pt-BR"/>
        </w:rPr>
      </w:pPr>
      <w:r w:rsidRPr="006A3838">
        <w:rPr>
          <w:rFonts w:ascii="Times New Roman" w:hAnsi="Times New Roman" w:cs="Times New Roman"/>
          <w:lang w:val="pt-BR"/>
        </w:rPr>
        <w:t xml:space="preserve">Eficientização das Instalações do UNICEUB </w:t>
      </w:r>
      <w:r w:rsidRPr="00703F75">
        <w:rPr>
          <w:rFonts w:ascii="Times New Roman" w:hAnsi="Times New Roman" w:cs="Times New Roman"/>
          <w:i/>
          <w:lang w:val="pt-BR"/>
        </w:rPr>
        <w:t xml:space="preserve">Campus </w:t>
      </w:r>
      <w:r w:rsidRPr="006A3838">
        <w:rPr>
          <w:rFonts w:ascii="Times New Roman" w:hAnsi="Times New Roman" w:cs="Times New Roman"/>
          <w:lang w:val="pt-BR"/>
        </w:rPr>
        <w:t>Asa No</w:t>
      </w:r>
      <w:r>
        <w:rPr>
          <w:rFonts w:ascii="Times New Roman" w:hAnsi="Times New Roman" w:cs="Times New Roman"/>
          <w:lang w:val="pt-BR"/>
        </w:rPr>
        <w:t xml:space="preserve">rte, compreendendo </w:t>
      </w:r>
      <w:r w:rsidRPr="006A3838">
        <w:rPr>
          <w:rFonts w:ascii="Times New Roman" w:hAnsi="Times New Roman" w:cs="Times New Roman"/>
          <w:lang w:val="pt-BR"/>
        </w:rPr>
        <w:t xml:space="preserve">as seguintes </w:t>
      </w:r>
      <w:r>
        <w:rPr>
          <w:rFonts w:ascii="Times New Roman" w:hAnsi="Times New Roman" w:cs="Times New Roman"/>
          <w:lang w:val="pt-BR"/>
        </w:rPr>
        <w:t>atividades</w:t>
      </w:r>
      <w:r w:rsidRPr="006A3838">
        <w:rPr>
          <w:rFonts w:ascii="Times New Roman" w:hAnsi="Times New Roman" w:cs="Times New Roman"/>
          <w:lang w:val="pt-BR"/>
        </w:rPr>
        <w:t>:</w:t>
      </w:r>
    </w:p>
    <w:p w:rsidR="00503B9D" w:rsidRPr="006A3838" w:rsidRDefault="00503B9D" w:rsidP="00503B9D">
      <w:pPr>
        <w:rPr>
          <w:sz w:val="22"/>
          <w:szCs w:val="22"/>
          <w:lang w:eastAsia="en-US"/>
        </w:rPr>
      </w:pPr>
      <w:r w:rsidRPr="006A3838">
        <w:rPr>
          <w:sz w:val="22"/>
          <w:szCs w:val="22"/>
          <w:lang w:eastAsia="en-US"/>
        </w:rPr>
        <w:t xml:space="preserve"> </w:t>
      </w:r>
      <w:r>
        <w:rPr>
          <w:sz w:val="22"/>
          <w:szCs w:val="22"/>
          <w:lang w:eastAsia="en-US"/>
        </w:rPr>
        <w:tab/>
        <w:t>-</w:t>
      </w:r>
      <w:r w:rsidRPr="006A3838">
        <w:rPr>
          <w:sz w:val="22"/>
          <w:szCs w:val="22"/>
          <w:lang w:eastAsia="en-US"/>
        </w:rPr>
        <w:t xml:space="preserve"> Substituição de toda a iluminação do campus por Lâmpadas</w:t>
      </w:r>
      <w:r>
        <w:rPr>
          <w:sz w:val="22"/>
          <w:szCs w:val="22"/>
          <w:lang w:eastAsia="en-US"/>
        </w:rPr>
        <w:t xml:space="preserve"> do tipo</w:t>
      </w:r>
      <w:r w:rsidRPr="006A3838">
        <w:rPr>
          <w:sz w:val="22"/>
          <w:szCs w:val="22"/>
          <w:lang w:eastAsia="en-US"/>
        </w:rPr>
        <w:t xml:space="preserve"> LED;</w:t>
      </w:r>
    </w:p>
    <w:p w:rsidR="00503B9D" w:rsidRPr="006A3838" w:rsidRDefault="00503B9D" w:rsidP="00503B9D">
      <w:pPr>
        <w:ind w:left="1134"/>
        <w:rPr>
          <w:sz w:val="22"/>
          <w:szCs w:val="22"/>
          <w:lang w:eastAsia="en-US"/>
        </w:rPr>
      </w:pPr>
      <w:r>
        <w:rPr>
          <w:sz w:val="22"/>
          <w:szCs w:val="22"/>
          <w:lang w:eastAsia="en-US"/>
        </w:rPr>
        <w:t>-</w:t>
      </w:r>
      <w:r w:rsidRPr="006A3838">
        <w:rPr>
          <w:sz w:val="22"/>
          <w:szCs w:val="22"/>
          <w:lang w:eastAsia="en-US"/>
        </w:rPr>
        <w:t xml:space="preserve"> Substituição de 10 chuveiros elétricos existentes por um sistema de aquecimento solar com duas placas com 60 tubos de vácuo </w:t>
      </w:r>
      <w:r>
        <w:rPr>
          <w:sz w:val="22"/>
          <w:szCs w:val="22"/>
          <w:lang w:eastAsia="en-US"/>
        </w:rPr>
        <w:t>por unidade</w:t>
      </w:r>
      <w:r w:rsidRPr="006A3838">
        <w:rPr>
          <w:sz w:val="22"/>
          <w:szCs w:val="22"/>
          <w:lang w:eastAsia="en-US"/>
        </w:rPr>
        <w:t>;</w:t>
      </w:r>
    </w:p>
    <w:p w:rsidR="00503B9D" w:rsidRPr="006A3838" w:rsidRDefault="00503B9D" w:rsidP="00503B9D">
      <w:pPr>
        <w:ind w:left="1134"/>
        <w:rPr>
          <w:sz w:val="22"/>
          <w:szCs w:val="22"/>
          <w:lang w:eastAsia="en-US"/>
        </w:rPr>
      </w:pPr>
      <w:r>
        <w:rPr>
          <w:sz w:val="22"/>
          <w:szCs w:val="22"/>
          <w:lang w:eastAsia="en-US"/>
        </w:rPr>
        <w:t>-</w:t>
      </w:r>
      <w:r w:rsidRPr="006A3838">
        <w:rPr>
          <w:sz w:val="22"/>
          <w:szCs w:val="22"/>
          <w:lang w:eastAsia="en-US"/>
        </w:rPr>
        <w:t xml:space="preserve"> Instalação de 40,8 </w:t>
      </w:r>
      <w:proofErr w:type="spellStart"/>
      <w:r w:rsidRPr="006A3838">
        <w:rPr>
          <w:sz w:val="22"/>
          <w:szCs w:val="22"/>
          <w:lang w:eastAsia="en-US"/>
        </w:rPr>
        <w:t>kWp</w:t>
      </w:r>
      <w:proofErr w:type="spellEnd"/>
      <w:r w:rsidRPr="006A3838">
        <w:rPr>
          <w:sz w:val="22"/>
          <w:szCs w:val="22"/>
          <w:lang w:eastAsia="en-US"/>
        </w:rPr>
        <w:t xml:space="preserve"> de geração fotovoltaica</w:t>
      </w:r>
      <w:r>
        <w:rPr>
          <w:sz w:val="22"/>
          <w:szCs w:val="22"/>
          <w:lang w:eastAsia="en-US"/>
        </w:rPr>
        <w:t>.</w:t>
      </w:r>
    </w:p>
    <w:p w:rsidR="00503B9D" w:rsidRPr="006A3838" w:rsidRDefault="00503B9D" w:rsidP="00503B9D">
      <w:pPr>
        <w:rPr>
          <w:sz w:val="22"/>
          <w:szCs w:val="22"/>
          <w:lang w:eastAsia="en-US"/>
        </w:rPr>
      </w:pPr>
      <w:r w:rsidRPr="006A3838">
        <w:rPr>
          <w:sz w:val="22"/>
          <w:szCs w:val="22"/>
          <w:lang w:eastAsia="en-US"/>
        </w:rPr>
        <w:t xml:space="preserve"> </w:t>
      </w:r>
    </w:p>
    <w:p w:rsidR="00503B9D" w:rsidRDefault="00503B9D" w:rsidP="00FA2F3A">
      <w:pPr>
        <w:pStyle w:val="PargrafodaLista"/>
        <w:numPr>
          <w:ilvl w:val="0"/>
          <w:numId w:val="9"/>
        </w:numPr>
        <w:spacing w:before="240" w:after="240"/>
        <w:jc w:val="both"/>
        <w:rPr>
          <w:rFonts w:ascii="Times New Roman" w:hAnsi="Times New Roman" w:cs="Times New Roman"/>
          <w:lang w:val="pt-BR"/>
        </w:rPr>
      </w:pPr>
      <w:r w:rsidRPr="006A3838">
        <w:rPr>
          <w:rFonts w:ascii="Times New Roman" w:hAnsi="Times New Roman" w:cs="Times New Roman"/>
          <w:lang w:val="pt-BR"/>
        </w:rPr>
        <w:t xml:space="preserve">Foram publicadas as licitações para contratação do projeto de eficientização do </w:t>
      </w:r>
      <w:r>
        <w:rPr>
          <w:rFonts w:ascii="Times New Roman" w:hAnsi="Times New Roman" w:cs="Times New Roman"/>
          <w:lang w:val="pt-BR"/>
        </w:rPr>
        <w:t>E</w:t>
      </w:r>
      <w:r w:rsidRPr="006A3838">
        <w:rPr>
          <w:rFonts w:ascii="Times New Roman" w:hAnsi="Times New Roman" w:cs="Times New Roman"/>
          <w:lang w:val="pt-BR"/>
        </w:rPr>
        <w:t>dif</w:t>
      </w:r>
      <w:r>
        <w:rPr>
          <w:rFonts w:ascii="Times New Roman" w:hAnsi="Times New Roman" w:cs="Times New Roman"/>
          <w:lang w:val="pt-BR"/>
        </w:rPr>
        <w:t>í</w:t>
      </w:r>
      <w:r w:rsidRPr="006A3838">
        <w:rPr>
          <w:rFonts w:ascii="Times New Roman" w:hAnsi="Times New Roman" w:cs="Times New Roman"/>
          <w:lang w:val="pt-BR"/>
        </w:rPr>
        <w:t xml:space="preserve">cio </w:t>
      </w:r>
      <w:r>
        <w:rPr>
          <w:rFonts w:ascii="Times New Roman" w:hAnsi="Times New Roman" w:cs="Times New Roman"/>
          <w:lang w:val="pt-BR"/>
        </w:rPr>
        <w:t xml:space="preserve">Sede </w:t>
      </w:r>
      <w:r w:rsidRPr="006A3838">
        <w:rPr>
          <w:rFonts w:ascii="Times New Roman" w:hAnsi="Times New Roman" w:cs="Times New Roman"/>
          <w:lang w:val="pt-BR"/>
        </w:rPr>
        <w:t>da ANEEL. Este projeto será o primeiro projeto de eficientização na tipologia Poder Público realizado por Contrato de Desempenho, ou seja, os recursos investidos pela CEB Distribuição S.A. serão devolvidos pela ANEEL ao final do projeto, no prazo limitado pela vi</w:t>
      </w:r>
      <w:r>
        <w:rPr>
          <w:rFonts w:ascii="Times New Roman" w:hAnsi="Times New Roman" w:cs="Times New Roman"/>
          <w:lang w:val="pt-BR"/>
        </w:rPr>
        <w:t>da útil das ações de eficiência;</w:t>
      </w:r>
    </w:p>
    <w:p w:rsidR="00503B9D" w:rsidRDefault="00503B9D" w:rsidP="00FA2F3A">
      <w:pPr>
        <w:pStyle w:val="PargrafodaLista"/>
        <w:numPr>
          <w:ilvl w:val="0"/>
          <w:numId w:val="9"/>
        </w:numPr>
        <w:jc w:val="both"/>
        <w:rPr>
          <w:rFonts w:ascii="Times New Roman" w:hAnsi="Times New Roman" w:cs="Times New Roman"/>
          <w:lang w:val="pt-BR"/>
        </w:rPr>
      </w:pPr>
      <w:r>
        <w:rPr>
          <w:rFonts w:ascii="Times New Roman" w:hAnsi="Times New Roman" w:cs="Times New Roman"/>
          <w:lang w:val="pt-BR"/>
        </w:rPr>
        <w:t>A</w:t>
      </w:r>
      <w:r w:rsidRPr="00F518E8">
        <w:rPr>
          <w:rFonts w:ascii="Times New Roman" w:hAnsi="Times New Roman" w:cs="Times New Roman"/>
          <w:lang w:val="pt-BR"/>
        </w:rPr>
        <w:t xml:space="preserve"> CEB Distribuição S.A. realizou uma Chamada Pública de P&amp;D composta por 17 temas que ficou aberta no período de 06/06/16 </w:t>
      </w:r>
      <w:r>
        <w:rPr>
          <w:rFonts w:ascii="Times New Roman" w:hAnsi="Times New Roman" w:cs="Times New Roman"/>
          <w:lang w:val="pt-BR"/>
        </w:rPr>
        <w:t>a</w:t>
      </w:r>
      <w:r w:rsidRPr="00F518E8">
        <w:rPr>
          <w:rFonts w:ascii="Times New Roman" w:hAnsi="Times New Roman" w:cs="Times New Roman"/>
          <w:lang w:val="pt-BR"/>
        </w:rPr>
        <w:t xml:space="preserve"> 29/07/16. No total, foram recebidas 59 propostas de projetos de diversas Instituições de Ciência e Tecnologia (ICT) de todo o país. Após a Avaliação Técnica destas propostas, os projetos serão contratados e terão sua execução a parti</w:t>
      </w:r>
      <w:r>
        <w:rPr>
          <w:rFonts w:ascii="Times New Roman" w:hAnsi="Times New Roman" w:cs="Times New Roman"/>
          <w:lang w:val="pt-BR"/>
        </w:rPr>
        <w:t>r do primeiro trimestre de 2017;</w:t>
      </w:r>
      <w:r w:rsidRPr="00F518E8">
        <w:rPr>
          <w:rFonts w:ascii="Times New Roman" w:hAnsi="Times New Roman" w:cs="Times New Roman"/>
          <w:lang w:val="pt-BR"/>
        </w:rPr>
        <w:t xml:space="preserve"> </w:t>
      </w:r>
    </w:p>
    <w:p w:rsidR="00503B9D" w:rsidRPr="00B743CB" w:rsidRDefault="00503B9D" w:rsidP="00FA2F3A">
      <w:pPr>
        <w:pStyle w:val="PargrafodaLista"/>
        <w:numPr>
          <w:ilvl w:val="0"/>
          <w:numId w:val="9"/>
        </w:numPr>
        <w:jc w:val="both"/>
        <w:rPr>
          <w:rFonts w:ascii="Times New Roman" w:hAnsi="Times New Roman" w:cs="Times New Roman"/>
          <w:lang w:val="pt-BR"/>
        </w:rPr>
      </w:pPr>
      <w:r w:rsidRPr="00B743CB">
        <w:rPr>
          <w:rFonts w:ascii="Times New Roman" w:hAnsi="Times New Roman" w:cs="Times New Roman"/>
          <w:lang w:val="pt-BR"/>
        </w:rPr>
        <w:t xml:space="preserve">Foi iniciada a implementação do Projeto Agente CEB 3 para atendimento </w:t>
      </w:r>
      <w:r>
        <w:rPr>
          <w:rFonts w:ascii="Times New Roman" w:hAnsi="Times New Roman" w:cs="Times New Roman"/>
          <w:lang w:val="pt-BR"/>
        </w:rPr>
        <w:t>às</w:t>
      </w:r>
      <w:r w:rsidRPr="00B743CB">
        <w:rPr>
          <w:rFonts w:ascii="Times New Roman" w:hAnsi="Times New Roman" w:cs="Times New Roman"/>
          <w:lang w:val="pt-BR"/>
        </w:rPr>
        <w:t xml:space="preserve"> comunidades de baixa renda. O Projeto prevê investimento</w:t>
      </w:r>
      <w:r>
        <w:rPr>
          <w:rFonts w:ascii="Times New Roman" w:hAnsi="Times New Roman" w:cs="Times New Roman"/>
          <w:lang w:val="pt-BR"/>
        </w:rPr>
        <w:t>s para realização das seguintes atividades</w:t>
      </w:r>
      <w:r w:rsidRPr="00B743CB">
        <w:rPr>
          <w:rFonts w:ascii="Times New Roman" w:hAnsi="Times New Roman" w:cs="Times New Roman"/>
          <w:lang w:val="pt-BR"/>
        </w:rPr>
        <w:t>:</w:t>
      </w:r>
    </w:p>
    <w:p w:rsidR="00503B9D" w:rsidRPr="00B743CB" w:rsidRDefault="00503B9D" w:rsidP="00FA2F3A">
      <w:pPr>
        <w:pStyle w:val="PargrafodaLista"/>
        <w:numPr>
          <w:ilvl w:val="0"/>
          <w:numId w:val="14"/>
        </w:numPr>
        <w:jc w:val="both"/>
        <w:rPr>
          <w:rFonts w:ascii="Times New Roman" w:hAnsi="Times New Roman" w:cs="Times New Roman"/>
          <w:lang w:val="pt-BR"/>
        </w:rPr>
      </w:pPr>
      <w:r w:rsidRPr="00B743CB">
        <w:rPr>
          <w:rFonts w:ascii="Times New Roman" w:hAnsi="Times New Roman" w:cs="Times New Roman"/>
          <w:lang w:val="pt-BR"/>
        </w:rPr>
        <w:t>30.000 visitas</w:t>
      </w:r>
      <w:r>
        <w:rPr>
          <w:rFonts w:ascii="Times New Roman" w:hAnsi="Times New Roman" w:cs="Times New Roman"/>
          <w:lang w:val="pt-BR"/>
        </w:rPr>
        <w:t xml:space="preserve"> às comunidades</w:t>
      </w:r>
      <w:r w:rsidRPr="00B743CB">
        <w:rPr>
          <w:rFonts w:ascii="Times New Roman" w:hAnsi="Times New Roman" w:cs="Times New Roman"/>
          <w:lang w:val="pt-BR"/>
        </w:rPr>
        <w:t xml:space="preserve">; </w:t>
      </w:r>
    </w:p>
    <w:p w:rsidR="00503B9D" w:rsidRPr="00B743CB" w:rsidRDefault="00503B9D" w:rsidP="00FA2F3A">
      <w:pPr>
        <w:pStyle w:val="PargrafodaLista"/>
        <w:numPr>
          <w:ilvl w:val="0"/>
          <w:numId w:val="14"/>
        </w:numPr>
        <w:jc w:val="both"/>
        <w:rPr>
          <w:rFonts w:ascii="Times New Roman" w:hAnsi="Times New Roman" w:cs="Times New Roman"/>
          <w:lang w:val="pt-BR"/>
        </w:rPr>
      </w:pPr>
      <w:r>
        <w:rPr>
          <w:rFonts w:ascii="Times New Roman" w:hAnsi="Times New Roman" w:cs="Times New Roman"/>
          <w:lang w:val="pt-BR"/>
        </w:rPr>
        <w:t>50 palestras so</w:t>
      </w:r>
      <w:r w:rsidRPr="00B743CB">
        <w:rPr>
          <w:rFonts w:ascii="Times New Roman" w:hAnsi="Times New Roman" w:cs="Times New Roman"/>
          <w:lang w:val="pt-BR"/>
        </w:rPr>
        <w:t>cioeducativas;</w:t>
      </w:r>
    </w:p>
    <w:p w:rsidR="00503B9D" w:rsidRPr="00B743CB" w:rsidRDefault="00503B9D" w:rsidP="00FA2F3A">
      <w:pPr>
        <w:pStyle w:val="PargrafodaLista"/>
        <w:numPr>
          <w:ilvl w:val="0"/>
          <w:numId w:val="14"/>
        </w:numPr>
        <w:jc w:val="both"/>
        <w:rPr>
          <w:rFonts w:ascii="Times New Roman" w:hAnsi="Times New Roman" w:cs="Times New Roman"/>
          <w:lang w:val="pt-BR"/>
        </w:rPr>
      </w:pPr>
      <w:r w:rsidRPr="00B743CB">
        <w:rPr>
          <w:rFonts w:ascii="Times New Roman" w:hAnsi="Times New Roman" w:cs="Times New Roman"/>
          <w:lang w:val="pt-BR"/>
        </w:rPr>
        <w:t>Substituição de 7.000 refrigeradores;</w:t>
      </w:r>
    </w:p>
    <w:p w:rsidR="00503B9D" w:rsidRPr="00B743CB" w:rsidRDefault="00503B9D" w:rsidP="00FA2F3A">
      <w:pPr>
        <w:pStyle w:val="PargrafodaLista"/>
        <w:numPr>
          <w:ilvl w:val="0"/>
          <w:numId w:val="14"/>
        </w:numPr>
        <w:jc w:val="both"/>
        <w:rPr>
          <w:rFonts w:ascii="Times New Roman" w:hAnsi="Times New Roman" w:cs="Times New Roman"/>
          <w:lang w:val="pt-BR"/>
        </w:rPr>
      </w:pPr>
      <w:r w:rsidRPr="00B743CB">
        <w:rPr>
          <w:rFonts w:ascii="Times New Roman" w:hAnsi="Times New Roman" w:cs="Times New Roman"/>
          <w:lang w:val="pt-BR"/>
        </w:rPr>
        <w:t>Substituição de 80.000 lâmpadas incandescentes e fluorescentes compactas por lâmpadas</w:t>
      </w:r>
      <w:r>
        <w:rPr>
          <w:rFonts w:ascii="Times New Roman" w:hAnsi="Times New Roman" w:cs="Times New Roman"/>
          <w:lang w:val="pt-BR"/>
        </w:rPr>
        <w:t xml:space="preserve"> do tipo</w:t>
      </w:r>
      <w:r w:rsidRPr="00B743CB">
        <w:rPr>
          <w:rFonts w:ascii="Times New Roman" w:hAnsi="Times New Roman" w:cs="Times New Roman"/>
          <w:lang w:val="pt-BR"/>
        </w:rPr>
        <w:t xml:space="preserve"> LED;</w:t>
      </w:r>
      <w:r>
        <w:rPr>
          <w:rFonts w:ascii="Times New Roman" w:hAnsi="Times New Roman" w:cs="Times New Roman"/>
          <w:lang w:val="pt-BR"/>
        </w:rPr>
        <w:t xml:space="preserve"> e</w:t>
      </w:r>
    </w:p>
    <w:p w:rsidR="00503B9D" w:rsidRPr="00B743CB" w:rsidRDefault="00503B9D" w:rsidP="00FA2F3A">
      <w:pPr>
        <w:pStyle w:val="PargrafodaLista"/>
        <w:numPr>
          <w:ilvl w:val="0"/>
          <w:numId w:val="14"/>
        </w:numPr>
        <w:jc w:val="both"/>
        <w:rPr>
          <w:rFonts w:ascii="Times New Roman" w:hAnsi="Times New Roman" w:cs="Times New Roman"/>
          <w:lang w:val="pt-BR"/>
        </w:rPr>
      </w:pPr>
      <w:r w:rsidRPr="00B743CB">
        <w:rPr>
          <w:rFonts w:ascii="Times New Roman" w:hAnsi="Times New Roman" w:cs="Times New Roman"/>
          <w:lang w:val="pt-BR"/>
        </w:rPr>
        <w:t>Instalação de 2.000 aquecedores solares.</w:t>
      </w:r>
    </w:p>
    <w:p w:rsidR="00503B9D" w:rsidRPr="00B743CB" w:rsidRDefault="00503B9D" w:rsidP="00503B9D">
      <w:pPr>
        <w:ind w:left="834"/>
        <w:jc w:val="both"/>
        <w:rPr>
          <w:sz w:val="22"/>
          <w:szCs w:val="22"/>
          <w:lang w:eastAsia="en-US"/>
        </w:rPr>
      </w:pPr>
      <w:r w:rsidRPr="00B743CB">
        <w:rPr>
          <w:sz w:val="22"/>
          <w:szCs w:val="22"/>
          <w:lang w:eastAsia="en-US"/>
        </w:rPr>
        <w:lastRenderedPageBreak/>
        <w:t>Especificamente</w:t>
      </w:r>
      <w:r>
        <w:rPr>
          <w:sz w:val="22"/>
          <w:szCs w:val="22"/>
          <w:lang w:eastAsia="en-US"/>
        </w:rPr>
        <w:t>,</w:t>
      </w:r>
      <w:r w:rsidRPr="00B743CB">
        <w:rPr>
          <w:sz w:val="22"/>
          <w:szCs w:val="22"/>
          <w:lang w:eastAsia="en-US"/>
        </w:rPr>
        <w:t xml:space="preserve"> em 2016</w:t>
      </w:r>
      <w:r>
        <w:rPr>
          <w:sz w:val="22"/>
          <w:szCs w:val="22"/>
          <w:lang w:eastAsia="en-US"/>
        </w:rPr>
        <w:t>,</w:t>
      </w:r>
      <w:r w:rsidRPr="00B743CB">
        <w:rPr>
          <w:sz w:val="22"/>
          <w:szCs w:val="22"/>
          <w:lang w:eastAsia="en-US"/>
        </w:rPr>
        <w:t xml:space="preserve"> foram realizadas 3.000 visitas, substituídas 4.000 lâmpadas e 777 refrigeradores, além de ministradas 25 palestras em órgãos públicos, escolas e clientes particulares, capacitando cerca de 2</w:t>
      </w:r>
      <w:r>
        <w:rPr>
          <w:sz w:val="22"/>
          <w:szCs w:val="22"/>
          <w:lang w:eastAsia="en-US"/>
        </w:rPr>
        <w:t>.</w:t>
      </w:r>
      <w:r w:rsidRPr="00B743CB">
        <w:rPr>
          <w:sz w:val="22"/>
          <w:szCs w:val="22"/>
          <w:lang w:eastAsia="en-US"/>
        </w:rPr>
        <w:t>000 participantes sobre o uso</w:t>
      </w:r>
      <w:r>
        <w:rPr>
          <w:sz w:val="22"/>
          <w:szCs w:val="22"/>
          <w:lang w:eastAsia="en-US"/>
        </w:rPr>
        <w:t xml:space="preserve"> consciente de energia elétrica;</w:t>
      </w:r>
    </w:p>
    <w:p w:rsidR="00503B9D" w:rsidRPr="00B743CB" w:rsidRDefault="00503B9D" w:rsidP="00503B9D">
      <w:pPr>
        <w:ind w:left="834"/>
        <w:jc w:val="both"/>
        <w:rPr>
          <w:sz w:val="22"/>
          <w:szCs w:val="22"/>
          <w:lang w:eastAsia="en-US"/>
        </w:rPr>
      </w:pPr>
    </w:p>
    <w:p w:rsidR="00503B9D" w:rsidRPr="00B743CB" w:rsidRDefault="00503B9D" w:rsidP="00FA2F3A">
      <w:pPr>
        <w:pStyle w:val="PargrafodaLista"/>
        <w:numPr>
          <w:ilvl w:val="0"/>
          <w:numId w:val="9"/>
        </w:numPr>
        <w:jc w:val="both"/>
        <w:rPr>
          <w:rFonts w:ascii="Times New Roman" w:hAnsi="Times New Roman" w:cs="Times New Roman"/>
          <w:lang w:val="pt-BR"/>
        </w:rPr>
      </w:pPr>
      <w:r w:rsidRPr="00B743CB">
        <w:rPr>
          <w:lang w:val="pt-BR"/>
        </w:rPr>
        <w:t xml:space="preserve"> </w:t>
      </w:r>
      <w:r>
        <w:rPr>
          <w:rFonts w:ascii="Times New Roman" w:hAnsi="Times New Roman" w:cs="Times New Roman"/>
          <w:lang w:val="pt-BR"/>
        </w:rPr>
        <w:t xml:space="preserve">Foi </w:t>
      </w:r>
      <w:r w:rsidRPr="00B743CB">
        <w:rPr>
          <w:rFonts w:ascii="Times New Roman" w:hAnsi="Times New Roman" w:cs="Times New Roman"/>
          <w:lang w:val="pt-BR"/>
        </w:rPr>
        <w:t xml:space="preserve">iniciado o processo de seleção de projetos de eficiência energética por meio da Chamada Pública de EE 2016, que têm o objetivo de </w:t>
      </w:r>
      <w:r>
        <w:rPr>
          <w:rFonts w:ascii="Times New Roman" w:hAnsi="Times New Roman" w:cs="Times New Roman"/>
          <w:lang w:val="pt-BR"/>
        </w:rPr>
        <w:t>oferecer</w:t>
      </w:r>
      <w:r w:rsidRPr="00B743CB">
        <w:rPr>
          <w:rFonts w:ascii="Times New Roman" w:hAnsi="Times New Roman" w:cs="Times New Roman"/>
          <w:lang w:val="pt-BR"/>
        </w:rPr>
        <w:t xml:space="preserve"> benefícios energéticos voltados a toda</w:t>
      </w:r>
      <w:r>
        <w:rPr>
          <w:rFonts w:ascii="Times New Roman" w:hAnsi="Times New Roman" w:cs="Times New Roman"/>
          <w:lang w:val="pt-BR"/>
        </w:rPr>
        <w:t xml:space="preserve">s as classes de clientes da CEB </w:t>
      </w:r>
      <w:r w:rsidRPr="00B743CB">
        <w:rPr>
          <w:rFonts w:ascii="Times New Roman" w:hAnsi="Times New Roman" w:cs="Times New Roman"/>
          <w:lang w:val="pt-BR"/>
        </w:rPr>
        <w:t>D</w:t>
      </w:r>
      <w:r>
        <w:rPr>
          <w:rFonts w:ascii="Times New Roman" w:hAnsi="Times New Roman" w:cs="Times New Roman"/>
          <w:lang w:val="pt-BR"/>
        </w:rPr>
        <w:t>istribuição S.A.; e</w:t>
      </w:r>
    </w:p>
    <w:p w:rsidR="00C526B6" w:rsidRPr="00F62C5A" w:rsidRDefault="00503B9D" w:rsidP="00F62C5A">
      <w:pPr>
        <w:pStyle w:val="PargrafodaLista"/>
        <w:numPr>
          <w:ilvl w:val="0"/>
          <w:numId w:val="9"/>
        </w:numPr>
        <w:jc w:val="both"/>
        <w:rPr>
          <w:rFonts w:ascii="Times New Roman" w:hAnsi="Times New Roman" w:cs="Times New Roman"/>
          <w:lang w:val="pt-BR"/>
        </w:rPr>
      </w:pPr>
      <w:r>
        <w:rPr>
          <w:rFonts w:ascii="Times New Roman" w:hAnsi="Times New Roman" w:cs="Times New Roman"/>
          <w:lang w:val="pt-BR"/>
        </w:rPr>
        <w:t>F</w:t>
      </w:r>
      <w:r w:rsidRPr="00F518E8">
        <w:rPr>
          <w:rFonts w:ascii="Times New Roman" w:hAnsi="Times New Roman" w:cs="Times New Roman"/>
          <w:lang w:val="pt-BR"/>
        </w:rPr>
        <w:t>oram disponibilizadas 7 maquetes energizadas de simulação</w:t>
      </w:r>
      <w:r>
        <w:rPr>
          <w:rFonts w:ascii="Times New Roman" w:hAnsi="Times New Roman" w:cs="Times New Roman"/>
          <w:lang w:val="pt-BR"/>
        </w:rPr>
        <w:t xml:space="preserve"> do consumo de energia elétrica</w:t>
      </w:r>
      <w:r w:rsidRPr="00F518E8">
        <w:rPr>
          <w:rFonts w:ascii="Times New Roman" w:hAnsi="Times New Roman" w:cs="Times New Roman"/>
          <w:lang w:val="pt-BR"/>
        </w:rPr>
        <w:t xml:space="preserve"> em residências típicas, para os centros de ensino e a comunidade em geral.</w:t>
      </w:r>
    </w:p>
    <w:p w:rsidR="00AD05E4" w:rsidRPr="002A2EE2" w:rsidRDefault="00AB5C23" w:rsidP="00FA2F3A">
      <w:pPr>
        <w:pStyle w:val="Ttulo3"/>
        <w:numPr>
          <w:ilvl w:val="0"/>
          <w:numId w:val="10"/>
        </w:numPr>
      </w:pPr>
      <w:bookmarkStart w:id="11" w:name="_Toc478141844"/>
      <w:r w:rsidRPr="002A2EE2">
        <w:t>PERSPECTIVAS EMPRESARIAIS</w:t>
      </w:r>
      <w:bookmarkEnd w:id="11"/>
    </w:p>
    <w:p w:rsidR="006772ED" w:rsidRPr="006772ED" w:rsidRDefault="006772ED" w:rsidP="006772ED">
      <w:pPr>
        <w:autoSpaceDE w:val="0"/>
        <w:autoSpaceDN w:val="0"/>
        <w:adjustRightInd w:val="0"/>
        <w:spacing w:before="240" w:after="240"/>
        <w:jc w:val="both"/>
        <w:rPr>
          <w:rFonts w:eastAsia="Calibri"/>
          <w:sz w:val="22"/>
          <w:szCs w:val="22"/>
        </w:rPr>
      </w:pPr>
      <w:r w:rsidRPr="006772ED">
        <w:rPr>
          <w:rFonts w:eastAsia="Calibri"/>
          <w:sz w:val="22"/>
          <w:szCs w:val="22"/>
        </w:rPr>
        <w:t>O setor de energia elétrica vem passando por profundas transformações em âmbito global, com reflexos positivos e negativos para todos os países.</w:t>
      </w:r>
    </w:p>
    <w:p w:rsidR="006772ED" w:rsidRPr="006772ED" w:rsidRDefault="006772ED" w:rsidP="006772ED">
      <w:pPr>
        <w:autoSpaceDE w:val="0"/>
        <w:autoSpaceDN w:val="0"/>
        <w:adjustRightInd w:val="0"/>
        <w:spacing w:before="240" w:after="240"/>
        <w:jc w:val="both"/>
        <w:rPr>
          <w:rFonts w:eastAsia="Calibri"/>
          <w:sz w:val="22"/>
          <w:szCs w:val="22"/>
        </w:rPr>
      </w:pPr>
      <w:r w:rsidRPr="006772ED">
        <w:rPr>
          <w:rFonts w:eastAsia="Calibri"/>
          <w:sz w:val="22"/>
          <w:szCs w:val="22"/>
        </w:rPr>
        <w:t>No Brasil, a ênfase recai, em primeiro lugar, na preocupação em dotar o Sistema Nacional Integrado de capacidade para que o setor, ao invés de limitar, seja, efetivamente, um indutor do desenvolvimento econômico e social; segundo, na busca de soluções energéticas capazes de diversificar a matriz brasileira de maneira segura e limpa. Este talvez seja, no momento, o desafio mais importante no contexto da política energética nacional.</w:t>
      </w:r>
    </w:p>
    <w:p w:rsidR="006772ED" w:rsidRPr="006772ED" w:rsidRDefault="006772ED" w:rsidP="006772ED">
      <w:pPr>
        <w:autoSpaceDE w:val="0"/>
        <w:autoSpaceDN w:val="0"/>
        <w:adjustRightInd w:val="0"/>
        <w:spacing w:before="240" w:after="240"/>
        <w:jc w:val="both"/>
        <w:rPr>
          <w:rFonts w:eastAsia="Calibri"/>
          <w:sz w:val="22"/>
          <w:szCs w:val="22"/>
        </w:rPr>
      </w:pPr>
      <w:r w:rsidRPr="006772ED">
        <w:rPr>
          <w:rFonts w:eastAsia="Calibri"/>
          <w:sz w:val="22"/>
          <w:szCs w:val="22"/>
        </w:rPr>
        <w:t>Também vale a pena destacar o aumento significativo da importância da energia elétrica na vida das pessoas. Estamos assistindo a uma crescente demanda por qualidade de serviço e pela apropriação, cada vez maior, das vantagens e benefícios oriundos das novas tecnologias.</w:t>
      </w:r>
    </w:p>
    <w:p w:rsidR="006772ED" w:rsidRPr="006772ED" w:rsidRDefault="006772ED" w:rsidP="006772ED">
      <w:pPr>
        <w:autoSpaceDE w:val="0"/>
        <w:autoSpaceDN w:val="0"/>
        <w:adjustRightInd w:val="0"/>
        <w:spacing w:before="240" w:after="240"/>
        <w:jc w:val="both"/>
        <w:rPr>
          <w:rFonts w:eastAsia="Calibri"/>
          <w:sz w:val="22"/>
          <w:szCs w:val="22"/>
        </w:rPr>
      </w:pPr>
      <w:r w:rsidRPr="006772ED">
        <w:rPr>
          <w:rFonts w:eastAsia="Calibri"/>
          <w:sz w:val="22"/>
          <w:szCs w:val="22"/>
        </w:rPr>
        <w:t>Em sintonia com esse contexto, a CEB elaborou e aprovou, em reunião do Conselho de Administração realizada em14/12/2016, o seu Plano de Negócio para o período de 2017 a 2021. O objetivo precípuo do Plano pode ser resumido na correção da causa raiz dos problemas da CEB, que corresponde ao deficit fiscal e ao endividamento fora de controle. Assim sendo, as principais estratégias para a viabilização do Plano estão centradas nos seguintes pilares:</w:t>
      </w:r>
    </w:p>
    <w:p w:rsidR="006772ED" w:rsidRPr="009D1B74" w:rsidRDefault="006772ED" w:rsidP="00FA2F3A">
      <w:pPr>
        <w:numPr>
          <w:ilvl w:val="0"/>
          <w:numId w:val="11"/>
        </w:numPr>
        <w:autoSpaceDE w:val="0"/>
        <w:autoSpaceDN w:val="0"/>
        <w:adjustRightInd w:val="0"/>
        <w:spacing w:before="240" w:after="240"/>
        <w:jc w:val="both"/>
        <w:rPr>
          <w:rFonts w:eastAsia="Calibri"/>
          <w:sz w:val="22"/>
          <w:szCs w:val="22"/>
        </w:rPr>
      </w:pPr>
      <w:r w:rsidRPr="009D1B74">
        <w:rPr>
          <w:rFonts w:eastAsia="Calibri"/>
          <w:sz w:val="22"/>
          <w:szCs w:val="22"/>
        </w:rPr>
        <w:t>Venda de participações em negócios de geração de energia e de distribuição de gás, já autorizada pela Câmara Legislativa, por meio da Lei nº 5.577/2015;</w:t>
      </w:r>
    </w:p>
    <w:p w:rsidR="006772ED" w:rsidRPr="009D1B74" w:rsidRDefault="006772ED" w:rsidP="00FA2F3A">
      <w:pPr>
        <w:numPr>
          <w:ilvl w:val="0"/>
          <w:numId w:val="11"/>
        </w:numPr>
        <w:autoSpaceDE w:val="0"/>
        <w:autoSpaceDN w:val="0"/>
        <w:adjustRightInd w:val="0"/>
        <w:spacing w:before="240" w:after="240"/>
        <w:jc w:val="both"/>
        <w:rPr>
          <w:rFonts w:eastAsia="Calibri"/>
          <w:sz w:val="22"/>
          <w:szCs w:val="22"/>
        </w:rPr>
      </w:pPr>
      <w:r w:rsidRPr="009D1B74">
        <w:rPr>
          <w:rFonts w:eastAsia="Calibri"/>
          <w:sz w:val="22"/>
          <w:szCs w:val="22"/>
        </w:rPr>
        <w:t>Alienação de imóveis inservíveis para as concessões; e</w:t>
      </w:r>
    </w:p>
    <w:p w:rsidR="006772ED" w:rsidRPr="009D1B74" w:rsidRDefault="006772ED" w:rsidP="00FA2F3A">
      <w:pPr>
        <w:numPr>
          <w:ilvl w:val="0"/>
          <w:numId w:val="11"/>
        </w:numPr>
        <w:autoSpaceDE w:val="0"/>
        <w:autoSpaceDN w:val="0"/>
        <w:adjustRightInd w:val="0"/>
        <w:spacing w:before="240" w:after="240"/>
        <w:jc w:val="both"/>
        <w:rPr>
          <w:rFonts w:eastAsia="Calibri"/>
          <w:sz w:val="22"/>
          <w:szCs w:val="22"/>
        </w:rPr>
      </w:pPr>
      <w:r w:rsidRPr="009D1B74">
        <w:rPr>
          <w:rFonts w:eastAsia="Calibri"/>
          <w:sz w:val="22"/>
          <w:szCs w:val="22"/>
        </w:rPr>
        <w:t>Redução das despesas com Pessoal, Material, Serviços e Outros – PMSO.</w:t>
      </w:r>
    </w:p>
    <w:p w:rsidR="006772ED" w:rsidRPr="006772ED" w:rsidRDefault="006772ED" w:rsidP="006772ED">
      <w:pPr>
        <w:autoSpaceDE w:val="0"/>
        <w:autoSpaceDN w:val="0"/>
        <w:adjustRightInd w:val="0"/>
        <w:spacing w:before="240" w:after="240"/>
        <w:jc w:val="both"/>
        <w:rPr>
          <w:rFonts w:eastAsia="Calibri"/>
          <w:sz w:val="22"/>
          <w:szCs w:val="22"/>
        </w:rPr>
      </w:pPr>
      <w:r w:rsidRPr="009D1B74">
        <w:rPr>
          <w:rFonts w:eastAsia="Calibri"/>
          <w:sz w:val="22"/>
          <w:szCs w:val="22"/>
        </w:rPr>
        <w:t xml:space="preserve">Vale salientar que o Plano de Negócio é realista, seja em relação às suas receitas ou mesmo </w:t>
      </w:r>
      <w:r w:rsidR="00B53824" w:rsidRPr="009D1B74">
        <w:rPr>
          <w:rFonts w:eastAsia="Calibri"/>
          <w:sz w:val="22"/>
          <w:szCs w:val="22"/>
        </w:rPr>
        <w:t>quanto</w:t>
      </w:r>
      <w:r w:rsidRPr="009D1B74">
        <w:rPr>
          <w:rFonts w:eastAsia="Calibri"/>
          <w:sz w:val="22"/>
          <w:szCs w:val="22"/>
        </w:rPr>
        <w:t xml:space="preserve"> aos custos e despesas operacionais, com orientações, diretrizes e hipóteses de planejamento explicitadas que fundamentam as projeções que o integram.</w:t>
      </w:r>
    </w:p>
    <w:p w:rsidR="006772ED" w:rsidRPr="006772ED" w:rsidRDefault="006772ED" w:rsidP="006772ED">
      <w:pPr>
        <w:autoSpaceDE w:val="0"/>
        <w:autoSpaceDN w:val="0"/>
        <w:adjustRightInd w:val="0"/>
        <w:spacing w:before="240" w:after="240"/>
        <w:jc w:val="both"/>
        <w:rPr>
          <w:rFonts w:eastAsia="Calibri"/>
          <w:sz w:val="22"/>
          <w:szCs w:val="22"/>
        </w:rPr>
      </w:pPr>
      <w:r w:rsidRPr="006772ED">
        <w:rPr>
          <w:rFonts w:eastAsia="Calibri"/>
          <w:sz w:val="22"/>
          <w:szCs w:val="22"/>
        </w:rPr>
        <w:t xml:space="preserve">Impende destacar que as metas regulatórias definidas no Contrato de </w:t>
      </w:r>
      <w:r>
        <w:rPr>
          <w:rFonts w:eastAsia="Calibri"/>
          <w:sz w:val="22"/>
          <w:szCs w:val="22"/>
        </w:rPr>
        <w:t>Concessão da CEB Distribuição S.</w:t>
      </w:r>
      <w:r w:rsidRPr="006772ED">
        <w:rPr>
          <w:rFonts w:eastAsia="Calibri"/>
          <w:sz w:val="22"/>
          <w:szCs w:val="22"/>
        </w:rPr>
        <w:t>A</w:t>
      </w:r>
      <w:r>
        <w:rPr>
          <w:rFonts w:eastAsia="Calibri"/>
          <w:sz w:val="22"/>
          <w:szCs w:val="22"/>
        </w:rPr>
        <w:t>.</w:t>
      </w:r>
      <w:r w:rsidRPr="006772ED">
        <w:rPr>
          <w:rFonts w:eastAsia="Calibri"/>
          <w:sz w:val="22"/>
          <w:szCs w:val="22"/>
        </w:rPr>
        <w:t xml:space="preserve"> serão cumpridas, afastando a ameaça de extinção da respectiva concessão em decorrência do não cumprimento dos compromissos pactuados.</w:t>
      </w:r>
    </w:p>
    <w:p w:rsidR="006772ED" w:rsidRPr="006772ED" w:rsidRDefault="006772ED" w:rsidP="006772ED">
      <w:pPr>
        <w:autoSpaceDE w:val="0"/>
        <w:autoSpaceDN w:val="0"/>
        <w:adjustRightInd w:val="0"/>
        <w:spacing w:before="240" w:after="240"/>
        <w:jc w:val="both"/>
        <w:rPr>
          <w:rFonts w:eastAsia="Calibri"/>
          <w:sz w:val="22"/>
          <w:szCs w:val="22"/>
        </w:rPr>
      </w:pPr>
      <w:r w:rsidRPr="006772ED">
        <w:rPr>
          <w:rFonts w:eastAsia="Calibri"/>
          <w:sz w:val="22"/>
          <w:szCs w:val="22"/>
        </w:rPr>
        <w:t xml:space="preserve">No </w:t>
      </w:r>
      <w:r w:rsidR="003F3877">
        <w:rPr>
          <w:rFonts w:eastAsia="Calibri"/>
          <w:sz w:val="22"/>
          <w:szCs w:val="22"/>
        </w:rPr>
        <w:t>médio</w:t>
      </w:r>
      <w:r w:rsidRPr="006772ED">
        <w:rPr>
          <w:rFonts w:eastAsia="Calibri"/>
          <w:sz w:val="22"/>
          <w:szCs w:val="22"/>
        </w:rPr>
        <w:t xml:space="preserve"> prazo, o Plano de Negócio pretende oferecer aos acionistas os seguintes resultados: </w:t>
      </w:r>
    </w:p>
    <w:p w:rsidR="006772ED" w:rsidRPr="006772ED" w:rsidRDefault="006772ED" w:rsidP="00FA2F3A">
      <w:pPr>
        <w:numPr>
          <w:ilvl w:val="0"/>
          <w:numId w:val="11"/>
        </w:numPr>
        <w:autoSpaceDE w:val="0"/>
        <w:autoSpaceDN w:val="0"/>
        <w:adjustRightInd w:val="0"/>
        <w:spacing w:before="240" w:after="240"/>
        <w:jc w:val="both"/>
        <w:rPr>
          <w:rFonts w:eastAsia="Calibri"/>
          <w:sz w:val="22"/>
          <w:szCs w:val="22"/>
        </w:rPr>
      </w:pPr>
      <w:r w:rsidRPr="006772ED">
        <w:rPr>
          <w:rFonts w:eastAsia="Calibri"/>
          <w:sz w:val="22"/>
          <w:szCs w:val="22"/>
        </w:rPr>
        <w:t xml:space="preserve">O </w:t>
      </w:r>
      <w:r w:rsidR="009119A5">
        <w:rPr>
          <w:rFonts w:eastAsia="Calibri"/>
          <w:sz w:val="22"/>
          <w:szCs w:val="22"/>
        </w:rPr>
        <w:t>EBTIDA (</w:t>
      </w:r>
      <w:r w:rsidRPr="006772ED">
        <w:rPr>
          <w:rFonts w:eastAsia="Calibri"/>
          <w:sz w:val="22"/>
          <w:szCs w:val="22"/>
        </w:rPr>
        <w:t>LAJIDA</w:t>
      </w:r>
      <w:r w:rsidR="009119A5">
        <w:rPr>
          <w:rFonts w:eastAsia="Calibri"/>
          <w:sz w:val="22"/>
          <w:szCs w:val="22"/>
        </w:rPr>
        <w:t>)</w:t>
      </w:r>
      <w:r w:rsidRPr="006772ED">
        <w:rPr>
          <w:rFonts w:eastAsia="Calibri"/>
          <w:sz w:val="22"/>
          <w:szCs w:val="22"/>
        </w:rPr>
        <w:t xml:space="preserve"> Consolidado, excetuando os dois primeiros anos que estão sendo afetados por eventos não recorrentes (venda de participações e </w:t>
      </w:r>
      <w:r w:rsidR="009119A5">
        <w:rPr>
          <w:rFonts w:eastAsia="Calibri"/>
          <w:sz w:val="22"/>
          <w:szCs w:val="22"/>
        </w:rPr>
        <w:t xml:space="preserve">de </w:t>
      </w:r>
      <w:r w:rsidRPr="006772ED">
        <w:rPr>
          <w:rFonts w:eastAsia="Calibri"/>
          <w:sz w:val="22"/>
          <w:szCs w:val="22"/>
        </w:rPr>
        <w:t>terrenos), nos demais ficará positivo, estável e evoluindo para a média do setor;</w:t>
      </w:r>
    </w:p>
    <w:p w:rsidR="006772ED" w:rsidRPr="006772ED" w:rsidRDefault="006772ED" w:rsidP="00FA2F3A">
      <w:pPr>
        <w:numPr>
          <w:ilvl w:val="0"/>
          <w:numId w:val="11"/>
        </w:numPr>
        <w:autoSpaceDE w:val="0"/>
        <w:autoSpaceDN w:val="0"/>
        <w:adjustRightInd w:val="0"/>
        <w:spacing w:before="240" w:after="240"/>
        <w:jc w:val="both"/>
        <w:rPr>
          <w:rFonts w:eastAsia="Calibri"/>
          <w:sz w:val="22"/>
          <w:szCs w:val="22"/>
        </w:rPr>
      </w:pPr>
      <w:r w:rsidRPr="006772ED">
        <w:rPr>
          <w:rFonts w:eastAsia="Calibri"/>
          <w:sz w:val="22"/>
          <w:szCs w:val="22"/>
        </w:rPr>
        <w:t>A Estrutura Patrimonial no horizonte de planejamento ficará compatível com o nível praticado pelo mercado;</w:t>
      </w:r>
    </w:p>
    <w:p w:rsidR="006772ED" w:rsidRPr="006772ED" w:rsidRDefault="006772ED" w:rsidP="00FA2F3A">
      <w:pPr>
        <w:numPr>
          <w:ilvl w:val="0"/>
          <w:numId w:val="11"/>
        </w:numPr>
        <w:autoSpaceDE w:val="0"/>
        <w:autoSpaceDN w:val="0"/>
        <w:adjustRightInd w:val="0"/>
        <w:spacing w:before="240" w:after="240"/>
        <w:jc w:val="both"/>
        <w:rPr>
          <w:rFonts w:eastAsia="Calibri"/>
          <w:sz w:val="22"/>
          <w:szCs w:val="22"/>
        </w:rPr>
      </w:pPr>
      <w:r w:rsidRPr="006772ED">
        <w:rPr>
          <w:rFonts w:eastAsia="Calibri"/>
          <w:sz w:val="22"/>
          <w:szCs w:val="22"/>
        </w:rPr>
        <w:lastRenderedPageBreak/>
        <w:t xml:space="preserve">O Programa de Investimentos abrange 5 anos e eliminará os </w:t>
      </w:r>
      <w:r w:rsidRPr="006772ED">
        <w:rPr>
          <w:rFonts w:eastAsia="Calibri"/>
          <w:i/>
          <w:sz w:val="22"/>
          <w:szCs w:val="22"/>
        </w:rPr>
        <w:t>gaps</w:t>
      </w:r>
      <w:r w:rsidRPr="006772ED">
        <w:rPr>
          <w:rFonts w:eastAsia="Calibri"/>
          <w:sz w:val="22"/>
          <w:szCs w:val="22"/>
        </w:rPr>
        <w:t xml:space="preserve"> existentes;</w:t>
      </w:r>
    </w:p>
    <w:p w:rsidR="006772ED" w:rsidRPr="006772ED" w:rsidRDefault="006772ED" w:rsidP="00FA2F3A">
      <w:pPr>
        <w:numPr>
          <w:ilvl w:val="0"/>
          <w:numId w:val="11"/>
        </w:numPr>
        <w:autoSpaceDE w:val="0"/>
        <w:autoSpaceDN w:val="0"/>
        <w:adjustRightInd w:val="0"/>
        <w:spacing w:before="240" w:after="240"/>
        <w:jc w:val="both"/>
        <w:rPr>
          <w:rFonts w:eastAsia="Calibri"/>
          <w:sz w:val="22"/>
          <w:szCs w:val="22"/>
        </w:rPr>
      </w:pPr>
      <w:r w:rsidRPr="006772ED">
        <w:rPr>
          <w:rFonts w:eastAsia="Calibri"/>
          <w:sz w:val="22"/>
          <w:szCs w:val="22"/>
        </w:rPr>
        <w:t xml:space="preserve">As Metas Regulatórias serão rigorosamente cumpridas; e </w:t>
      </w:r>
    </w:p>
    <w:p w:rsidR="006772ED" w:rsidRPr="006772ED" w:rsidRDefault="006772ED" w:rsidP="00FA2F3A">
      <w:pPr>
        <w:numPr>
          <w:ilvl w:val="0"/>
          <w:numId w:val="11"/>
        </w:numPr>
        <w:autoSpaceDE w:val="0"/>
        <w:autoSpaceDN w:val="0"/>
        <w:adjustRightInd w:val="0"/>
        <w:spacing w:before="240" w:after="240"/>
        <w:jc w:val="both"/>
        <w:rPr>
          <w:rFonts w:eastAsia="Calibri"/>
          <w:sz w:val="22"/>
          <w:szCs w:val="22"/>
        </w:rPr>
      </w:pPr>
      <w:r w:rsidRPr="006772ED">
        <w:rPr>
          <w:rFonts w:eastAsia="Calibri"/>
          <w:sz w:val="22"/>
          <w:szCs w:val="22"/>
        </w:rPr>
        <w:t xml:space="preserve">Será eliminado o </w:t>
      </w:r>
      <w:r w:rsidR="00987505">
        <w:rPr>
          <w:rFonts w:eastAsia="Calibri"/>
          <w:sz w:val="22"/>
          <w:szCs w:val="22"/>
        </w:rPr>
        <w:t>“</w:t>
      </w:r>
      <w:r w:rsidR="009119A5">
        <w:rPr>
          <w:rFonts w:eastAsia="Calibri"/>
          <w:sz w:val="22"/>
          <w:szCs w:val="22"/>
        </w:rPr>
        <w:t>deficit f</w:t>
      </w:r>
      <w:r w:rsidRPr="006772ED">
        <w:rPr>
          <w:rFonts w:eastAsia="Calibri"/>
          <w:sz w:val="22"/>
          <w:szCs w:val="22"/>
        </w:rPr>
        <w:t>iscal</w:t>
      </w:r>
      <w:r w:rsidR="00987505">
        <w:rPr>
          <w:rFonts w:eastAsia="Calibri"/>
          <w:sz w:val="22"/>
          <w:szCs w:val="22"/>
        </w:rPr>
        <w:t>” (receita menor que despesa)</w:t>
      </w:r>
      <w:r w:rsidRPr="006772ED">
        <w:rPr>
          <w:rFonts w:eastAsia="Calibri"/>
          <w:sz w:val="22"/>
          <w:szCs w:val="22"/>
        </w:rPr>
        <w:t xml:space="preserve"> no</w:t>
      </w:r>
      <w:r>
        <w:rPr>
          <w:rFonts w:eastAsia="Calibri"/>
          <w:sz w:val="22"/>
          <w:szCs w:val="22"/>
        </w:rPr>
        <w:t xml:space="preserve">s próximos </w:t>
      </w:r>
      <w:r w:rsidRPr="006772ED">
        <w:rPr>
          <w:rFonts w:eastAsia="Calibri"/>
          <w:sz w:val="22"/>
          <w:szCs w:val="22"/>
        </w:rPr>
        <w:t>exercício</w:t>
      </w:r>
      <w:r>
        <w:rPr>
          <w:rFonts w:eastAsia="Calibri"/>
          <w:sz w:val="22"/>
          <w:szCs w:val="22"/>
        </w:rPr>
        <w:t>s</w:t>
      </w:r>
      <w:r w:rsidRPr="006772ED">
        <w:rPr>
          <w:rFonts w:eastAsia="Calibri"/>
          <w:sz w:val="22"/>
          <w:szCs w:val="22"/>
        </w:rPr>
        <w:t>, uma vez que o PMSO atingirá patamar inferior ao PMSO regulatório.</w:t>
      </w:r>
    </w:p>
    <w:p w:rsidR="006772ED" w:rsidRPr="006772ED" w:rsidRDefault="006772ED" w:rsidP="006772ED">
      <w:pPr>
        <w:autoSpaceDE w:val="0"/>
        <w:autoSpaceDN w:val="0"/>
        <w:adjustRightInd w:val="0"/>
        <w:spacing w:before="240" w:after="240"/>
        <w:jc w:val="both"/>
        <w:rPr>
          <w:rFonts w:eastAsia="Calibri"/>
          <w:sz w:val="22"/>
          <w:szCs w:val="22"/>
        </w:rPr>
      </w:pPr>
      <w:r w:rsidRPr="006772ED">
        <w:rPr>
          <w:rFonts w:eastAsia="Calibri"/>
          <w:sz w:val="22"/>
          <w:szCs w:val="22"/>
        </w:rPr>
        <w:t>Dessa forma, a Companhia resolverá as causas dos seus problemas empresariais continuando a ênfase no relacionamento com o seu consumidor; melhorando a qualidade de serviço; fazendo os investimentos necessários; e reduzindo o serviço da dívida.</w:t>
      </w:r>
    </w:p>
    <w:p w:rsidR="00AD05E4" w:rsidRPr="002A2EE2" w:rsidRDefault="00AB5C23" w:rsidP="00FA2F3A">
      <w:pPr>
        <w:pStyle w:val="Ttulo3"/>
        <w:numPr>
          <w:ilvl w:val="0"/>
          <w:numId w:val="10"/>
        </w:numPr>
        <w:jc w:val="left"/>
      </w:pPr>
      <w:bookmarkStart w:id="12" w:name="_Toc478141845"/>
      <w:r w:rsidRPr="002A2EE2">
        <w:t>AUDITORES INDEPENDENTES</w:t>
      </w:r>
      <w:bookmarkEnd w:id="12"/>
    </w:p>
    <w:p w:rsidR="00E9008A" w:rsidRDefault="00AD05E4" w:rsidP="00AD05E4">
      <w:pPr>
        <w:spacing w:before="240" w:after="240"/>
        <w:jc w:val="both"/>
        <w:rPr>
          <w:sz w:val="22"/>
          <w:szCs w:val="22"/>
        </w:rPr>
      </w:pPr>
      <w:r w:rsidRPr="002A2EE2">
        <w:rPr>
          <w:sz w:val="22"/>
          <w:szCs w:val="22"/>
        </w:rPr>
        <w:t xml:space="preserve">A Companhia informa, nos termos da Instrução CVM </w:t>
      </w:r>
      <w:r w:rsidR="007969F4">
        <w:rPr>
          <w:sz w:val="22"/>
          <w:szCs w:val="22"/>
        </w:rPr>
        <w:t>n</w:t>
      </w:r>
      <w:r w:rsidRPr="002A2EE2">
        <w:rPr>
          <w:sz w:val="22"/>
          <w:szCs w:val="22"/>
        </w:rPr>
        <w:t>º 381, de 14 de janeiro de 2003, que utiliza os serviços de Auditoria Independente da BDO Auditores Independentes S/S; e que em 201</w:t>
      </w:r>
      <w:r w:rsidR="009119A5">
        <w:rPr>
          <w:sz w:val="22"/>
          <w:szCs w:val="22"/>
        </w:rPr>
        <w:t>6</w:t>
      </w:r>
      <w:r w:rsidRPr="002A2EE2">
        <w:rPr>
          <w:sz w:val="22"/>
          <w:szCs w:val="22"/>
        </w:rPr>
        <w:t xml:space="preserve"> não usou outros serviços desses auditores senão aqueles ligados diretamente à auditoria das demonstrações contábeis.</w:t>
      </w:r>
    </w:p>
    <w:p w:rsidR="00E9008A" w:rsidRDefault="00E9008A">
      <w:pPr>
        <w:rPr>
          <w:sz w:val="22"/>
          <w:szCs w:val="22"/>
        </w:rPr>
      </w:pPr>
      <w:r>
        <w:rPr>
          <w:sz w:val="22"/>
          <w:szCs w:val="22"/>
        </w:rPr>
        <w:br w:type="page"/>
      </w:r>
    </w:p>
    <w:p w:rsidR="00E9008A" w:rsidRPr="00316249" w:rsidRDefault="00E9008A" w:rsidP="00E9008A">
      <w:pPr>
        <w:pStyle w:val="Ttulo7"/>
        <w:jc w:val="center"/>
        <w:rPr>
          <w:rFonts w:ascii="Times New Roman" w:hAnsi="Times New Roman" w:cs="Times New Roman"/>
          <w:sz w:val="72"/>
          <w:szCs w:val="72"/>
        </w:rPr>
      </w:pPr>
    </w:p>
    <w:p w:rsidR="00E9008A" w:rsidRPr="00316249" w:rsidRDefault="00E9008A" w:rsidP="00E9008A">
      <w:pPr>
        <w:pStyle w:val="Ttulo7"/>
        <w:jc w:val="center"/>
        <w:rPr>
          <w:rFonts w:ascii="Times New Roman" w:hAnsi="Times New Roman" w:cs="Times New Roman"/>
          <w:sz w:val="72"/>
          <w:szCs w:val="72"/>
        </w:rPr>
      </w:pPr>
    </w:p>
    <w:p w:rsidR="00E9008A" w:rsidRPr="00316249" w:rsidRDefault="00E9008A" w:rsidP="00E9008A">
      <w:pPr>
        <w:pStyle w:val="Ttulo7"/>
        <w:jc w:val="center"/>
        <w:rPr>
          <w:rFonts w:ascii="Times New Roman" w:hAnsi="Times New Roman" w:cs="Times New Roman"/>
          <w:sz w:val="72"/>
          <w:szCs w:val="72"/>
        </w:rPr>
      </w:pPr>
    </w:p>
    <w:p w:rsidR="00E9008A" w:rsidRPr="00316249" w:rsidRDefault="00E9008A" w:rsidP="00E9008A">
      <w:pPr>
        <w:pStyle w:val="Ttulo7"/>
        <w:jc w:val="center"/>
        <w:rPr>
          <w:rFonts w:ascii="Times New Roman" w:hAnsi="Times New Roman" w:cs="Times New Roman"/>
          <w:sz w:val="72"/>
          <w:szCs w:val="72"/>
        </w:rPr>
      </w:pPr>
    </w:p>
    <w:p w:rsidR="00E9008A" w:rsidRPr="00316249" w:rsidRDefault="00E9008A" w:rsidP="00E9008A">
      <w:pPr>
        <w:pStyle w:val="Ttulo7"/>
        <w:jc w:val="center"/>
        <w:rPr>
          <w:rFonts w:ascii="Times New Roman" w:hAnsi="Times New Roman" w:cs="Times New Roman"/>
          <w:sz w:val="72"/>
          <w:szCs w:val="72"/>
        </w:rPr>
      </w:pPr>
      <w:r w:rsidRPr="00316249">
        <w:rPr>
          <w:rFonts w:ascii="Times New Roman" w:hAnsi="Times New Roman" w:cs="Times New Roman"/>
          <w:sz w:val="72"/>
          <w:szCs w:val="72"/>
        </w:rPr>
        <w:t>DEMONSTRAÇÕES FINANCEIRAS</w:t>
      </w:r>
    </w:p>
    <w:p w:rsidR="00E9008A" w:rsidRPr="00316249" w:rsidRDefault="00E9008A" w:rsidP="00E9008A">
      <w:pPr>
        <w:pStyle w:val="Ttulo7"/>
        <w:jc w:val="center"/>
        <w:rPr>
          <w:rFonts w:ascii="Times New Roman" w:hAnsi="Times New Roman" w:cs="Times New Roman"/>
          <w:sz w:val="72"/>
          <w:szCs w:val="72"/>
        </w:rPr>
      </w:pPr>
      <w:r w:rsidRPr="00316249">
        <w:rPr>
          <w:rFonts w:ascii="Times New Roman" w:hAnsi="Times New Roman" w:cs="Times New Roman"/>
          <w:sz w:val="72"/>
          <w:szCs w:val="72"/>
        </w:rPr>
        <w:t>2016</w:t>
      </w:r>
    </w:p>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pPr>
        <w:tabs>
          <w:tab w:val="left" w:pos="5485"/>
        </w:tabs>
      </w:pPr>
      <w:r w:rsidRPr="00316249">
        <w:tab/>
      </w:r>
    </w:p>
    <w:p w:rsidR="00E9008A" w:rsidRPr="00316249" w:rsidRDefault="00E9008A" w:rsidP="00E9008A"/>
    <w:p w:rsidR="00E9008A" w:rsidRPr="00316249" w:rsidRDefault="00E9008A" w:rsidP="00E9008A">
      <w:pPr>
        <w:sectPr w:rsidR="00E9008A" w:rsidRPr="00316249" w:rsidSect="00AE7567">
          <w:headerReference w:type="default" r:id="rId54"/>
          <w:footerReference w:type="default" r:id="rId55"/>
          <w:headerReference w:type="first" r:id="rId56"/>
          <w:footerReference w:type="first" r:id="rId57"/>
          <w:pgSz w:w="11907" w:h="16840" w:code="9"/>
          <w:pgMar w:top="1134" w:right="851" w:bottom="1134" w:left="1134" w:header="510" w:footer="776" w:gutter="0"/>
          <w:pgNumType w:start="1"/>
          <w:cols w:space="720"/>
          <w:docGrid w:linePitch="272"/>
        </w:sectPr>
      </w:pPr>
    </w:p>
    <w:p w:rsidR="00E9008A" w:rsidRPr="00316249" w:rsidRDefault="00E9008A" w:rsidP="00E9008A">
      <w:pPr>
        <w:pStyle w:val="Ttulo7"/>
        <w:ind w:left="-426" w:right="-454"/>
        <w:jc w:val="center"/>
        <w:rPr>
          <w:rFonts w:ascii="Times New Roman" w:hAnsi="Times New Roman" w:cs="Times New Roman"/>
          <w:sz w:val="72"/>
          <w:szCs w:val="72"/>
        </w:rPr>
        <w:sectPr w:rsidR="00E9008A" w:rsidRPr="00316249" w:rsidSect="00666216">
          <w:headerReference w:type="default" r:id="rId58"/>
          <w:footerReference w:type="default" r:id="rId59"/>
          <w:pgSz w:w="16840" w:h="11907" w:orient="landscape" w:code="9"/>
          <w:pgMar w:top="1134" w:right="1134" w:bottom="851" w:left="1134" w:header="510" w:footer="776" w:gutter="0"/>
          <w:cols w:space="720"/>
          <w:docGrid w:linePitch="272"/>
        </w:sectPr>
      </w:pPr>
      <w:bookmarkStart w:id="13" w:name="_MON_1519189566"/>
      <w:bookmarkEnd w:id="13"/>
      <w:r w:rsidRPr="00316249">
        <w:rPr>
          <w:rFonts w:ascii="Times New Roman" w:hAnsi="Times New Roman" w:cs="Times New Roman"/>
          <w:noProof/>
        </w:rPr>
        <w:lastRenderedPageBreak/>
        <w:drawing>
          <wp:inline distT="0" distB="0" distL="0" distR="0" wp14:anchorId="2CF5F1E8" wp14:editId="724E0DAC">
            <wp:extent cx="9252441" cy="527425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62334" cy="5279899"/>
                    </a:xfrm>
                    <a:prstGeom prst="rect">
                      <a:avLst/>
                    </a:prstGeom>
                    <a:noFill/>
                    <a:ln>
                      <a:noFill/>
                    </a:ln>
                  </pic:spPr>
                </pic:pic>
              </a:graphicData>
            </a:graphic>
          </wp:inline>
        </w:drawing>
      </w:r>
    </w:p>
    <w:p w:rsidR="00E9008A" w:rsidRPr="00316249" w:rsidRDefault="00E9008A" w:rsidP="00E9008A">
      <w:pPr>
        <w:pStyle w:val="Ttulo7"/>
        <w:jc w:val="center"/>
        <w:rPr>
          <w:rFonts w:ascii="Times New Roman" w:hAnsi="Times New Roman" w:cs="Times New Roman"/>
          <w:sz w:val="72"/>
          <w:szCs w:val="72"/>
        </w:rPr>
        <w:sectPr w:rsidR="00E9008A" w:rsidRPr="00316249" w:rsidSect="00666216">
          <w:headerReference w:type="default" r:id="rId61"/>
          <w:pgSz w:w="11907" w:h="16840" w:code="9"/>
          <w:pgMar w:top="1134" w:right="851" w:bottom="1134" w:left="1134" w:header="510" w:footer="776" w:gutter="0"/>
          <w:cols w:space="720"/>
          <w:docGrid w:linePitch="272"/>
        </w:sectPr>
      </w:pPr>
      <w:r w:rsidRPr="007B2B61">
        <w:rPr>
          <w:noProof/>
          <w:szCs w:val="72"/>
        </w:rPr>
        <w:lastRenderedPageBreak/>
        <w:drawing>
          <wp:inline distT="0" distB="0" distL="0" distR="0" wp14:anchorId="376F68C2" wp14:editId="4812BC42">
            <wp:extent cx="6300470" cy="6120614"/>
            <wp:effectExtent l="19050" t="0" r="508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6300470" cy="6120614"/>
                    </a:xfrm>
                    <a:prstGeom prst="rect">
                      <a:avLst/>
                    </a:prstGeom>
                    <a:noFill/>
                    <a:ln w="9525">
                      <a:noFill/>
                      <a:miter lim="800000"/>
                      <a:headEnd/>
                      <a:tailEnd/>
                    </a:ln>
                  </pic:spPr>
                </pic:pic>
              </a:graphicData>
            </a:graphic>
          </wp:inline>
        </w:drawing>
      </w:r>
    </w:p>
    <w:p w:rsidR="00E9008A" w:rsidRPr="00316249" w:rsidRDefault="00E9008A" w:rsidP="00E9008A">
      <w:pPr>
        <w:pStyle w:val="Ttulo7"/>
        <w:jc w:val="center"/>
        <w:rPr>
          <w:rFonts w:ascii="Times New Roman" w:hAnsi="Times New Roman" w:cs="Times New Roman"/>
          <w:sz w:val="72"/>
          <w:szCs w:val="72"/>
        </w:rPr>
        <w:sectPr w:rsidR="00E9008A" w:rsidRPr="00316249" w:rsidSect="00666216">
          <w:headerReference w:type="default" r:id="rId63"/>
          <w:pgSz w:w="16840" w:h="11907" w:orient="landscape" w:code="9"/>
          <w:pgMar w:top="1134" w:right="1134" w:bottom="851" w:left="1134" w:header="510" w:footer="776" w:gutter="0"/>
          <w:cols w:space="720"/>
          <w:docGrid w:linePitch="272"/>
        </w:sectPr>
      </w:pPr>
      <w:bookmarkStart w:id="14" w:name="_MON_1519188591"/>
      <w:bookmarkEnd w:id="14"/>
      <w:r w:rsidRPr="00316249">
        <w:rPr>
          <w:rFonts w:ascii="Times New Roman" w:hAnsi="Times New Roman" w:cs="Times New Roman"/>
          <w:noProof/>
        </w:rPr>
        <w:lastRenderedPageBreak/>
        <w:drawing>
          <wp:inline distT="0" distB="0" distL="0" distR="0" wp14:anchorId="11CD0B64" wp14:editId="023AC5E3">
            <wp:extent cx="9253220" cy="447561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53220" cy="4475617"/>
                    </a:xfrm>
                    <a:prstGeom prst="rect">
                      <a:avLst/>
                    </a:prstGeom>
                    <a:noFill/>
                    <a:ln>
                      <a:noFill/>
                    </a:ln>
                  </pic:spPr>
                </pic:pic>
              </a:graphicData>
            </a:graphic>
          </wp:inline>
        </w:drawing>
      </w:r>
    </w:p>
    <w:p w:rsidR="00E9008A" w:rsidRPr="00316249" w:rsidRDefault="00E9008A" w:rsidP="00E9008A">
      <w:pPr>
        <w:pStyle w:val="Ttulo7"/>
        <w:tabs>
          <w:tab w:val="left" w:pos="2977"/>
        </w:tabs>
        <w:jc w:val="center"/>
        <w:rPr>
          <w:rFonts w:ascii="Times New Roman" w:hAnsi="Times New Roman" w:cs="Times New Roman"/>
          <w:sz w:val="72"/>
          <w:szCs w:val="72"/>
        </w:rPr>
        <w:sectPr w:rsidR="00E9008A" w:rsidRPr="00316249" w:rsidSect="00666216">
          <w:pgSz w:w="16840" w:h="11907" w:orient="landscape" w:code="9"/>
          <w:pgMar w:top="1134" w:right="1134" w:bottom="851" w:left="1134" w:header="510" w:footer="776" w:gutter="0"/>
          <w:cols w:space="720"/>
          <w:docGrid w:linePitch="272"/>
        </w:sectPr>
      </w:pPr>
      <w:r w:rsidRPr="00316249">
        <w:rPr>
          <w:rFonts w:ascii="Times New Roman" w:hAnsi="Times New Roman" w:cs="Times New Roman"/>
          <w:noProof/>
        </w:rPr>
        <w:lastRenderedPageBreak/>
        <w:drawing>
          <wp:inline distT="0" distB="0" distL="0" distR="0" wp14:anchorId="678558C3" wp14:editId="01AB0DC1">
            <wp:extent cx="9250191" cy="5661328"/>
            <wp:effectExtent l="19050" t="0" r="8109"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53220" cy="5663182"/>
                    </a:xfrm>
                    <a:prstGeom prst="rect">
                      <a:avLst/>
                    </a:prstGeom>
                    <a:noFill/>
                    <a:ln>
                      <a:noFill/>
                    </a:ln>
                  </pic:spPr>
                </pic:pic>
              </a:graphicData>
            </a:graphic>
          </wp:inline>
        </w:drawing>
      </w:r>
    </w:p>
    <w:p w:rsidR="00E9008A" w:rsidRPr="00316249" w:rsidRDefault="00E9008A" w:rsidP="00E9008A">
      <w:pPr>
        <w:pStyle w:val="Ttulo7"/>
        <w:jc w:val="center"/>
        <w:rPr>
          <w:rFonts w:ascii="Times New Roman" w:hAnsi="Times New Roman" w:cs="Times New Roman"/>
          <w:sz w:val="72"/>
          <w:szCs w:val="72"/>
        </w:rPr>
        <w:sectPr w:rsidR="00E9008A" w:rsidRPr="00316249" w:rsidSect="00666216">
          <w:headerReference w:type="default" r:id="rId66"/>
          <w:pgSz w:w="11907" w:h="16840" w:code="9"/>
          <w:pgMar w:top="1134" w:right="851" w:bottom="1134" w:left="1134" w:header="510" w:footer="776" w:gutter="0"/>
          <w:cols w:space="720"/>
          <w:docGrid w:linePitch="272"/>
        </w:sectPr>
      </w:pPr>
      <w:r w:rsidRPr="00316249">
        <w:rPr>
          <w:rFonts w:ascii="Times New Roman" w:hAnsi="Times New Roman" w:cs="Times New Roman"/>
          <w:noProof/>
        </w:rPr>
        <w:lastRenderedPageBreak/>
        <w:drawing>
          <wp:inline distT="0" distB="0" distL="0" distR="0" wp14:anchorId="1A3B6195" wp14:editId="731B5B02">
            <wp:extent cx="6300470" cy="732694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0470" cy="7326948"/>
                    </a:xfrm>
                    <a:prstGeom prst="rect">
                      <a:avLst/>
                    </a:prstGeom>
                    <a:noFill/>
                    <a:ln>
                      <a:noFill/>
                    </a:ln>
                  </pic:spPr>
                </pic:pic>
              </a:graphicData>
            </a:graphic>
          </wp:inline>
        </w:drawing>
      </w:r>
    </w:p>
    <w:p w:rsidR="00E9008A" w:rsidRPr="00316249" w:rsidRDefault="00E9008A" w:rsidP="00E9008A">
      <w:pPr>
        <w:pStyle w:val="Ttulo7"/>
        <w:jc w:val="center"/>
        <w:rPr>
          <w:rFonts w:ascii="Times New Roman" w:hAnsi="Times New Roman" w:cs="Times New Roman"/>
          <w:sz w:val="72"/>
          <w:szCs w:val="72"/>
        </w:rPr>
        <w:sectPr w:rsidR="00E9008A" w:rsidRPr="00316249" w:rsidSect="00666216">
          <w:pgSz w:w="11907" w:h="16840" w:code="9"/>
          <w:pgMar w:top="1134" w:right="851" w:bottom="1134" w:left="1134" w:header="510" w:footer="776" w:gutter="0"/>
          <w:cols w:space="720"/>
          <w:docGrid w:linePitch="272"/>
        </w:sectPr>
      </w:pPr>
      <w:r w:rsidRPr="00316249">
        <w:rPr>
          <w:rFonts w:ascii="Times New Roman" w:hAnsi="Times New Roman" w:cs="Times New Roman"/>
          <w:noProof/>
        </w:rPr>
        <w:lastRenderedPageBreak/>
        <w:drawing>
          <wp:inline distT="0" distB="0" distL="0" distR="0" wp14:anchorId="7B7F5050" wp14:editId="5E38FF2D">
            <wp:extent cx="6300470" cy="87172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0470" cy="8717255"/>
                    </a:xfrm>
                    <a:prstGeom prst="rect">
                      <a:avLst/>
                    </a:prstGeom>
                    <a:noFill/>
                    <a:ln>
                      <a:noFill/>
                    </a:ln>
                  </pic:spPr>
                </pic:pic>
              </a:graphicData>
            </a:graphic>
          </wp:inline>
        </w:drawing>
      </w:r>
    </w:p>
    <w:p w:rsidR="00E9008A" w:rsidRPr="00316249" w:rsidRDefault="00E9008A" w:rsidP="00E9008A">
      <w:pPr>
        <w:pStyle w:val="Ttulo7"/>
        <w:jc w:val="center"/>
        <w:rPr>
          <w:rFonts w:ascii="Times New Roman" w:hAnsi="Times New Roman" w:cs="Times New Roman"/>
          <w:sz w:val="72"/>
          <w:szCs w:val="72"/>
        </w:rPr>
      </w:pPr>
    </w:p>
    <w:p w:rsidR="00E9008A" w:rsidRPr="00316249" w:rsidRDefault="00E9008A" w:rsidP="00E9008A">
      <w:pPr>
        <w:pStyle w:val="Ttulo7"/>
        <w:jc w:val="center"/>
        <w:rPr>
          <w:rFonts w:ascii="Times New Roman" w:hAnsi="Times New Roman" w:cs="Times New Roman"/>
          <w:sz w:val="72"/>
          <w:szCs w:val="72"/>
        </w:rPr>
      </w:pPr>
    </w:p>
    <w:p w:rsidR="00E9008A" w:rsidRPr="00316249" w:rsidRDefault="00E9008A" w:rsidP="00E9008A">
      <w:pPr>
        <w:pStyle w:val="Ttulo7"/>
        <w:jc w:val="center"/>
        <w:rPr>
          <w:rFonts w:ascii="Times New Roman" w:hAnsi="Times New Roman" w:cs="Times New Roman"/>
          <w:sz w:val="72"/>
          <w:szCs w:val="72"/>
        </w:rPr>
      </w:pPr>
    </w:p>
    <w:p w:rsidR="00E9008A" w:rsidRPr="00316249" w:rsidRDefault="00E9008A" w:rsidP="00E9008A">
      <w:pPr>
        <w:jc w:val="center"/>
        <w:rPr>
          <w:b/>
          <w:sz w:val="72"/>
          <w:szCs w:val="72"/>
        </w:rPr>
      </w:pPr>
      <w:r w:rsidRPr="00316249">
        <w:rPr>
          <w:b/>
          <w:sz w:val="72"/>
          <w:szCs w:val="72"/>
        </w:rPr>
        <w:t xml:space="preserve">NOTAS EXPLICATIVAS ÀS DEMONSTRAÇÕES FINANCEIRAS </w:t>
      </w:r>
    </w:p>
    <w:p w:rsidR="00E9008A" w:rsidRPr="00316249" w:rsidRDefault="00E9008A" w:rsidP="00E9008A">
      <w:pPr>
        <w:jc w:val="center"/>
        <w:rPr>
          <w:b/>
          <w:sz w:val="72"/>
          <w:szCs w:val="72"/>
        </w:rPr>
      </w:pPr>
    </w:p>
    <w:p w:rsidR="00E9008A" w:rsidRPr="00316249" w:rsidRDefault="00E9008A" w:rsidP="00E9008A">
      <w:pPr>
        <w:spacing w:before="240"/>
        <w:jc w:val="center"/>
        <w:rPr>
          <w:b/>
          <w:sz w:val="34"/>
          <w:szCs w:val="34"/>
        </w:rPr>
      </w:pPr>
      <w:r w:rsidRPr="00316249">
        <w:rPr>
          <w:b/>
          <w:sz w:val="34"/>
          <w:szCs w:val="34"/>
        </w:rPr>
        <w:t xml:space="preserve">EXERCÍCIOS FINDOS EM 31 DE DEZEMBRO DE 2016 E 2015 </w:t>
      </w:r>
    </w:p>
    <w:p w:rsidR="00E9008A" w:rsidRPr="00316249" w:rsidRDefault="00E9008A" w:rsidP="00E9008A">
      <w:pPr>
        <w:spacing w:before="240"/>
        <w:jc w:val="center"/>
        <w:rPr>
          <w:b/>
          <w:bCs/>
          <w:sz w:val="22"/>
          <w:szCs w:val="22"/>
          <w:lang w:eastAsia="en-US"/>
        </w:rPr>
      </w:pPr>
      <w:r w:rsidRPr="00316249">
        <w:rPr>
          <w:b/>
          <w:bCs/>
        </w:rPr>
        <w:br w:type="page"/>
      </w:r>
    </w:p>
    <w:p w:rsidR="00E9008A" w:rsidRPr="00B033FB" w:rsidRDefault="00E9008A" w:rsidP="00B033FB">
      <w:pPr>
        <w:pStyle w:val="Ttulo3"/>
        <w:numPr>
          <w:ilvl w:val="0"/>
          <w:numId w:val="23"/>
        </w:numPr>
        <w:shd w:val="clear" w:color="auto" w:fill="auto"/>
        <w:spacing w:before="240" w:after="240"/>
        <w:ind w:left="780" w:hanging="780"/>
        <w:jc w:val="both"/>
        <w:rPr>
          <w:sz w:val="22"/>
          <w:szCs w:val="22"/>
        </w:rPr>
      </w:pPr>
      <w:r w:rsidRPr="00B033FB">
        <w:rPr>
          <w:sz w:val="22"/>
          <w:szCs w:val="22"/>
        </w:rPr>
        <w:lastRenderedPageBreak/>
        <w:t>CONTEXTO OPERACIONAL E INFORMAÇÕES GERAIS</w:t>
      </w:r>
    </w:p>
    <w:p w:rsidR="00E9008A" w:rsidRPr="00316249" w:rsidRDefault="00E9008A" w:rsidP="00E9008A">
      <w:pPr>
        <w:pStyle w:val="PargrafodaLista"/>
        <w:numPr>
          <w:ilvl w:val="1"/>
          <w:numId w:val="23"/>
        </w:numPr>
        <w:spacing w:before="240" w:after="240"/>
        <w:ind w:hanging="574"/>
        <w:jc w:val="both"/>
        <w:rPr>
          <w:rFonts w:ascii="Times New Roman" w:hAnsi="Times New Roman" w:cs="Times New Roman"/>
          <w:b/>
          <w:bCs/>
          <w:lang w:val="pt-BR"/>
        </w:rPr>
      </w:pPr>
      <w:r w:rsidRPr="00316249">
        <w:rPr>
          <w:rFonts w:ascii="Times New Roman" w:hAnsi="Times New Roman" w:cs="Times New Roman"/>
          <w:b/>
          <w:bCs/>
          <w:lang w:val="pt-BR"/>
        </w:rPr>
        <w:t>Objetivo Social</w:t>
      </w:r>
    </w:p>
    <w:p w:rsidR="00E9008A" w:rsidRPr="00316249" w:rsidRDefault="00E9008A" w:rsidP="00E9008A">
      <w:pPr>
        <w:spacing w:before="240"/>
        <w:jc w:val="both"/>
        <w:rPr>
          <w:sz w:val="22"/>
          <w:szCs w:val="22"/>
        </w:rPr>
      </w:pPr>
      <w:r w:rsidRPr="00316249">
        <w:rPr>
          <w:sz w:val="22"/>
          <w:szCs w:val="22"/>
        </w:rPr>
        <w:t>A Companhia Energética de Brasília – CEB (“Companhia” ou “CEB”) é uma sociedade de economia mista de capital aberto, autorizada pela Lei nº 4.545, de 10 de dezembro de 1964, com sede social na cidade de Brasília, Distrito Federal, endereço SIA – Área de Serviços Públicos – Lote C.</w:t>
      </w:r>
    </w:p>
    <w:p w:rsidR="00E9008A" w:rsidRPr="00316249" w:rsidRDefault="00E9008A" w:rsidP="00E9008A">
      <w:pPr>
        <w:spacing w:before="240"/>
        <w:jc w:val="both"/>
        <w:rPr>
          <w:sz w:val="22"/>
          <w:szCs w:val="22"/>
        </w:rPr>
      </w:pPr>
      <w:r w:rsidRPr="00316249">
        <w:rPr>
          <w:sz w:val="22"/>
          <w:szCs w:val="22"/>
        </w:rPr>
        <w:t>A Organização é registrada na Comissão de Valores Mobiliários – CVM como Companhia Aberta na categoria A (emissores autorizados a negociar quaisquer valores mobiliários) e tem suas ações negociadas na Bolsa de Valores de São Paulo (BM&amp;FBOVESPA). Em 4 de julho de 1994, a Companhia iniciou a negociação de suas ações, ordinárias e preferenciais, na BM&amp;FBOVESPA, sob os códigos de negociação CEBR3, CEBR5 e CEBR6.</w:t>
      </w:r>
    </w:p>
    <w:p w:rsidR="00E9008A" w:rsidRPr="00316249" w:rsidRDefault="00E9008A" w:rsidP="00E9008A">
      <w:pPr>
        <w:spacing w:before="240"/>
        <w:jc w:val="both"/>
        <w:rPr>
          <w:sz w:val="22"/>
          <w:szCs w:val="22"/>
        </w:rPr>
      </w:pPr>
      <w:r w:rsidRPr="00316249">
        <w:rPr>
          <w:sz w:val="22"/>
          <w:szCs w:val="22"/>
        </w:rPr>
        <w:t>A Companhia tem como objetivo principal a participação em outras sociedades que atuam na exploração direta ou indireta de serviços de energia elétrica, compreendendo os segmentos de geração, transmissão, distribuição e comercialização. De forma secundária, a CEB presta serviços de manutenção e de expansão do sistema de iluminação pública do Distrito Federal.</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sz w:val="22"/>
          <w:szCs w:val="22"/>
        </w:rPr>
        <w:t xml:space="preserve">A </w:t>
      </w:r>
      <w:r w:rsidRPr="00316249">
        <w:rPr>
          <w:rFonts w:eastAsia="Arial Unicode MS"/>
          <w:sz w:val="22"/>
          <w:szCs w:val="22"/>
        </w:rPr>
        <w:t>emissão dessas demonstrações financeiras individuais e consolidadas do Grupo foi autorizada pelo Conselho de Administração em 27 de março de 2017.</w:t>
      </w:r>
    </w:p>
    <w:p w:rsidR="00E9008A" w:rsidRPr="00316249" w:rsidRDefault="00E9008A" w:rsidP="00E9008A">
      <w:pPr>
        <w:pStyle w:val="PargrafodaLista"/>
        <w:numPr>
          <w:ilvl w:val="1"/>
          <w:numId w:val="23"/>
        </w:numPr>
        <w:spacing w:before="240" w:after="240"/>
        <w:ind w:hanging="574"/>
        <w:jc w:val="both"/>
        <w:rPr>
          <w:rFonts w:ascii="Times New Roman" w:hAnsi="Times New Roman" w:cs="Times New Roman"/>
          <w:b/>
          <w:bCs/>
          <w:lang w:val="pt-BR"/>
        </w:rPr>
      </w:pPr>
      <w:r w:rsidRPr="00316249">
        <w:rPr>
          <w:rFonts w:ascii="Times New Roman" w:hAnsi="Times New Roman" w:cs="Times New Roman"/>
          <w:b/>
          <w:bCs/>
          <w:lang w:val="pt-BR"/>
        </w:rPr>
        <w:t>Segmento de Geração</w:t>
      </w:r>
    </w:p>
    <w:p w:rsidR="00E9008A" w:rsidRPr="00316249" w:rsidRDefault="00E9008A" w:rsidP="00E9008A">
      <w:pPr>
        <w:widowControl w:val="0"/>
        <w:autoSpaceDE w:val="0"/>
        <w:autoSpaceDN w:val="0"/>
        <w:adjustRightInd w:val="0"/>
        <w:spacing w:before="240" w:after="240"/>
        <w:jc w:val="both"/>
        <w:rPr>
          <w:b/>
          <w:sz w:val="22"/>
          <w:szCs w:val="22"/>
        </w:rPr>
      </w:pPr>
      <w:r w:rsidRPr="00316249">
        <w:rPr>
          <w:b/>
          <w:sz w:val="22"/>
          <w:szCs w:val="22"/>
        </w:rPr>
        <w:t xml:space="preserve">Acordo GSF – Repactuação </w:t>
      </w:r>
      <w:r>
        <w:rPr>
          <w:b/>
          <w:sz w:val="22"/>
          <w:szCs w:val="22"/>
        </w:rPr>
        <w:t xml:space="preserve">do Risco Hidrológico – Impacto </w:t>
      </w:r>
      <w:proofErr w:type="gramStart"/>
      <w:r>
        <w:rPr>
          <w:b/>
          <w:sz w:val="22"/>
          <w:szCs w:val="22"/>
        </w:rPr>
        <w:t>S</w:t>
      </w:r>
      <w:r w:rsidRPr="00316249">
        <w:rPr>
          <w:b/>
          <w:sz w:val="22"/>
          <w:szCs w:val="22"/>
        </w:rPr>
        <w:t>obre  as</w:t>
      </w:r>
      <w:proofErr w:type="gramEnd"/>
      <w:r w:rsidRPr="00316249">
        <w:rPr>
          <w:b/>
          <w:sz w:val="22"/>
          <w:szCs w:val="22"/>
        </w:rPr>
        <w:t xml:space="preserve"> </w:t>
      </w:r>
      <w:r>
        <w:rPr>
          <w:b/>
          <w:sz w:val="22"/>
          <w:szCs w:val="22"/>
        </w:rPr>
        <w:t>I</w:t>
      </w:r>
      <w:r w:rsidRPr="00316249">
        <w:rPr>
          <w:b/>
          <w:sz w:val="22"/>
          <w:szCs w:val="22"/>
        </w:rPr>
        <w:t>nvestidas</w:t>
      </w:r>
    </w:p>
    <w:p w:rsidR="00E9008A" w:rsidRPr="00316249" w:rsidRDefault="00E9008A" w:rsidP="00E9008A">
      <w:pPr>
        <w:autoSpaceDE w:val="0"/>
        <w:autoSpaceDN w:val="0"/>
        <w:adjustRightInd w:val="0"/>
        <w:spacing w:before="240"/>
        <w:jc w:val="both"/>
        <w:rPr>
          <w:sz w:val="22"/>
          <w:szCs w:val="22"/>
        </w:rPr>
      </w:pPr>
      <w:r w:rsidRPr="00316249">
        <w:rPr>
          <w:sz w:val="22"/>
          <w:szCs w:val="22"/>
        </w:rPr>
        <w:t>Desde 2014, os geradores hidrelétricos vêm sofrendo elevadas exposições financeiras no Mercado de Curto Prazo – MCP de energia elétrica, em função da crise hídrica no país. Diante da incapacidade financeira das empresas de geração hidrelétrica, frente a tais exposições negativas, grande parte das geradoras recorreu à via judicial, de forma a se protegerem dos efeitos financeiros do déficit hídrico, o que agravou a crise do setor.</w:t>
      </w:r>
    </w:p>
    <w:p w:rsidR="00E9008A" w:rsidRPr="00316249" w:rsidRDefault="00E9008A" w:rsidP="00E9008A">
      <w:pPr>
        <w:pStyle w:val="Default"/>
        <w:spacing w:before="240"/>
        <w:jc w:val="both"/>
        <w:rPr>
          <w:rFonts w:ascii="Times New Roman" w:hAnsi="Times New Roman" w:cs="Times New Roman"/>
          <w:sz w:val="22"/>
          <w:szCs w:val="22"/>
        </w:rPr>
      </w:pPr>
      <w:r w:rsidRPr="00316249">
        <w:rPr>
          <w:rFonts w:ascii="Times New Roman" w:hAnsi="Times New Roman" w:cs="Times New Roman"/>
          <w:color w:val="auto"/>
          <w:sz w:val="22"/>
          <w:szCs w:val="22"/>
        </w:rPr>
        <w:t>Como alternativa, e</w:t>
      </w:r>
      <w:r w:rsidRPr="00316249">
        <w:rPr>
          <w:rFonts w:ascii="Times New Roman" w:hAnsi="Times New Roman" w:cs="Times New Roman"/>
          <w:sz w:val="22"/>
          <w:szCs w:val="22"/>
        </w:rPr>
        <w:t xml:space="preserve">m 8 de dezembro de 2015, foi publicada a </w:t>
      </w:r>
      <w:r w:rsidRPr="00316249">
        <w:rPr>
          <w:rFonts w:ascii="Times New Roman" w:hAnsi="Times New Roman" w:cs="Times New Roman"/>
          <w:color w:val="auto"/>
          <w:sz w:val="22"/>
          <w:szCs w:val="22"/>
        </w:rPr>
        <w:t>Lei nº 13.203,</w:t>
      </w:r>
      <w:r w:rsidRPr="00316249">
        <w:rPr>
          <w:rFonts w:ascii="Times New Roman" w:hAnsi="Times New Roman" w:cs="Times New Roman"/>
          <w:sz w:val="22"/>
          <w:szCs w:val="22"/>
        </w:rPr>
        <w:t xml:space="preserve"> que estabeleceu os pilares para a repactuação do risco</w:t>
      </w:r>
      <w:r w:rsidRPr="00316249">
        <w:rPr>
          <w:rFonts w:ascii="Times New Roman" w:hAnsi="Times New Roman" w:cs="Times New Roman"/>
          <w:i/>
          <w:sz w:val="22"/>
          <w:szCs w:val="22"/>
        </w:rPr>
        <w:t xml:space="preserve"> </w:t>
      </w:r>
      <w:r w:rsidRPr="00316249">
        <w:rPr>
          <w:rFonts w:ascii="Times New Roman" w:hAnsi="Times New Roman" w:cs="Times New Roman"/>
          <w:sz w:val="22"/>
          <w:szCs w:val="22"/>
        </w:rPr>
        <w:t xml:space="preserve">hidrológico pelos agentes de geração hidrelétrica, bem como a </w:t>
      </w:r>
      <w:r w:rsidRPr="00316249">
        <w:rPr>
          <w:rFonts w:ascii="Times New Roman" w:hAnsi="Times New Roman" w:cs="Times New Roman"/>
          <w:color w:val="auto"/>
          <w:sz w:val="22"/>
          <w:szCs w:val="22"/>
        </w:rPr>
        <w:t>Resolução Normativa da ANEEL nº 684, em 11 de dezembro de 2015, que definiu</w:t>
      </w:r>
      <w:r w:rsidRPr="00316249">
        <w:rPr>
          <w:rFonts w:ascii="Times New Roman" w:hAnsi="Times New Roman" w:cs="Times New Roman"/>
          <w:sz w:val="22"/>
          <w:szCs w:val="22"/>
        </w:rPr>
        <w:t xml:space="preserve"> os critérios e as demais condições para a repactuação.</w:t>
      </w:r>
    </w:p>
    <w:p w:rsidR="00E9008A" w:rsidRPr="00316249" w:rsidRDefault="00E9008A" w:rsidP="00E9008A">
      <w:pPr>
        <w:autoSpaceDE w:val="0"/>
        <w:autoSpaceDN w:val="0"/>
        <w:adjustRightInd w:val="0"/>
        <w:spacing w:before="240"/>
        <w:jc w:val="both"/>
        <w:rPr>
          <w:bCs/>
          <w:sz w:val="22"/>
          <w:szCs w:val="22"/>
        </w:rPr>
      </w:pPr>
      <w:r w:rsidRPr="00316249">
        <w:rPr>
          <w:bCs/>
          <w:color w:val="000000"/>
          <w:sz w:val="22"/>
          <w:szCs w:val="22"/>
        </w:rPr>
        <w:t xml:space="preserve">Os termos do acordo de repactuação para os geradores hidrelétricos se baseiam na transferência do risco hidrológico aos consumidores, mediante o pagamento de um prêmio de risco. Como condição à repactuação, tornou-se necessária a desistência, por parte dos geradores, das ações judiciais que questionaram os efeitos financeiros do déficit de geração. </w:t>
      </w:r>
    </w:p>
    <w:p w:rsidR="00E9008A" w:rsidRPr="00316249" w:rsidRDefault="00E9008A" w:rsidP="00E9008A">
      <w:pPr>
        <w:pStyle w:val="Default"/>
        <w:spacing w:before="240"/>
        <w:jc w:val="both"/>
        <w:rPr>
          <w:rFonts w:ascii="Times New Roman" w:hAnsi="Times New Roman" w:cs="Times New Roman"/>
          <w:sz w:val="22"/>
          <w:szCs w:val="22"/>
        </w:rPr>
      </w:pPr>
      <w:r w:rsidRPr="00316249">
        <w:rPr>
          <w:rFonts w:ascii="Times New Roman" w:hAnsi="Times New Roman" w:cs="Times New Roman"/>
          <w:sz w:val="22"/>
          <w:szCs w:val="22"/>
        </w:rPr>
        <w:t xml:space="preserve">Assim, em janeiro de 2016, as empresas CEB Geração S.A., CEB Lajeado S.A. e CEB Participações S.A., decidiram pela adesão à proposta de repactuação do risco hidrológico, conforme deliberação dos seus respectivos Conselhos de Administração, considerando os seguintes produtos e margens de risco: </w:t>
      </w:r>
    </w:p>
    <w:p w:rsidR="00E9008A" w:rsidRPr="00316249" w:rsidRDefault="00E9008A" w:rsidP="00E9008A">
      <w:pPr>
        <w:pStyle w:val="Default"/>
        <w:numPr>
          <w:ilvl w:val="0"/>
          <w:numId w:val="22"/>
        </w:numPr>
        <w:spacing w:before="240"/>
        <w:ind w:left="426"/>
        <w:jc w:val="both"/>
        <w:rPr>
          <w:rFonts w:ascii="Times New Roman" w:hAnsi="Times New Roman" w:cs="Times New Roman"/>
          <w:sz w:val="22"/>
          <w:szCs w:val="22"/>
        </w:rPr>
      </w:pPr>
      <w:r w:rsidRPr="00316249">
        <w:rPr>
          <w:rFonts w:ascii="Times New Roman" w:hAnsi="Times New Roman" w:cs="Times New Roman"/>
          <w:sz w:val="22"/>
          <w:szCs w:val="22"/>
        </w:rPr>
        <w:t xml:space="preserve">CEB Geração S.A. – Produto SP 100 – margem de risco zero (0%); </w:t>
      </w:r>
    </w:p>
    <w:p w:rsidR="00E9008A" w:rsidRPr="00316249" w:rsidRDefault="00E9008A" w:rsidP="00E9008A">
      <w:pPr>
        <w:pStyle w:val="Default"/>
        <w:numPr>
          <w:ilvl w:val="0"/>
          <w:numId w:val="22"/>
        </w:numPr>
        <w:ind w:left="426"/>
        <w:jc w:val="both"/>
        <w:rPr>
          <w:rFonts w:ascii="Times New Roman" w:hAnsi="Times New Roman" w:cs="Times New Roman"/>
          <w:sz w:val="22"/>
          <w:szCs w:val="22"/>
        </w:rPr>
      </w:pPr>
      <w:r w:rsidRPr="00316249">
        <w:rPr>
          <w:rFonts w:ascii="Times New Roman" w:hAnsi="Times New Roman" w:cs="Times New Roman"/>
          <w:sz w:val="22"/>
          <w:szCs w:val="22"/>
        </w:rPr>
        <w:t>CEB Lajeado S.A. – Produto SP 92 – margem de risco de 8%; e</w:t>
      </w:r>
    </w:p>
    <w:p w:rsidR="00E9008A" w:rsidRPr="00316249" w:rsidRDefault="00E9008A" w:rsidP="00E9008A">
      <w:pPr>
        <w:pStyle w:val="Default"/>
        <w:numPr>
          <w:ilvl w:val="0"/>
          <w:numId w:val="22"/>
        </w:numPr>
        <w:ind w:left="426"/>
        <w:jc w:val="both"/>
        <w:rPr>
          <w:rFonts w:ascii="Times New Roman" w:hAnsi="Times New Roman" w:cs="Times New Roman"/>
          <w:sz w:val="22"/>
          <w:szCs w:val="22"/>
        </w:rPr>
      </w:pPr>
      <w:r w:rsidRPr="00316249">
        <w:rPr>
          <w:rFonts w:ascii="Times New Roman" w:hAnsi="Times New Roman" w:cs="Times New Roman"/>
          <w:sz w:val="22"/>
          <w:szCs w:val="22"/>
        </w:rPr>
        <w:t>CEB Participações S.A. – Produto SP 91 – margem de risco de 9%.</w:t>
      </w:r>
    </w:p>
    <w:p w:rsidR="00E9008A" w:rsidRPr="00316249" w:rsidRDefault="00E9008A" w:rsidP="00E9008A">
      <w:pPr>
        <w:pStyle w:val="Default"/>
        <w:spacing w:before="240"/>
        <w:jc w:val="both"/>
        <w:rPr>
          <w:rFonts w:ascii="Times New Roman" w:hAnsi="Times New Roman" w:cs="Times New Roman"/>
          <w:color w:val="222222"/>
          <w:sz w:val="22"/>
          <w:szCs w:val="22"/>
          <w:shd w:val="clear" w:color="auto" w:fill="FFFFFF"/>
        </w:rPr>
      </w:pPr>
      <w:r w:rsidRPr="00316249">
        <w:rPr>
          <w:rFonts w:ascii="Times New Roman" w:hAnsi="Times New Roman" w:cs="Times New Roman"/>
          <w:sz w:val="22"/>
          <w:szCs w:val="22"/>
        </w:rPr>
        <w:lastRenderedPageBreak/>
        <w:t xml:space="preserve">A repactuação trouxe a possibilidade de compensação do risco hidrológico contabilizado em 2015, por meio da </w:t>
      </w:r>
      <w:r w:rsidRPr="00316249">
        <w:rPr>
          <w:rFonts w:ascii="Times New Roman" w:hAnsi="Times New Roman" w:cs="Times New Roman"/>
          <w:color w:val="222222"/>
          <w:sz w:val="22"/>
          <w:szCs w:val="22"/>
          <w:shd w:val="clear" w:color="auto" w:fill="FFFFFF"/>
        </w:rPr>
        <w:t>postergação do pagamento do prêmio de risco em períodos que variam, segundo as condições e características dos contratos de venda de energia firmados por cada uma das empresas. Para a CEB Geração S.A., como o prazo para a compensação do risco de 2015 não foi suficiente para a recuperação do valor efetivamente liquidado durante o ano de 2015, houve extensão do prazo de vigência do Contrato de Concessão para 29 de abril de 2020.</w:t>
      </w:r>
    </w:p>
    <w:p w:rsidR="00E9008A" w:rsidRPr="00316249" w:rsidRDefault="00E9008A" w:rsidP="00E9008A">
      <w:pPr>
        <w:pStyle w:val="Default"/>
        <w:spacing w:before="240"/>
        <w:jc w:val="both"/>
        <w:rPr>
          <w:rFonts w:ascii="Times New Roman" w:hAnsi="Times New Roman" w:cs="Times New Roman"/>
          <w:sz w:val="22"/>
          <w:szCs w:val="22"/>
        </w:rPr>
      </w:pPr>
      <w:r w:rsidRPr="00316249">
        <w:rPr>
          <w:rFonts w:ascii="Times New Roman" w:hAnsi="Times New Roman" w:cs="Times New Roman"/>
          <w:sz w:val="22"/>
          <w:szCs w:val="22"/>
        </w:rPr>
        <w:t>Após as adesões da CEB Geração S.A., CEB Participações S.A. e CEB Lajeado S.A. à repactuação do risco hidrológico ocorrida em 2015, ocasião em que houve as desistências das ações judiciais que questiona</w:t>
      </w:r>
      <w:r>
        <w:rPr>
          <w:rFonts w:ascii="Times New Roman" w:hAnsi="Times New Roman" w:cs="Times New Roman"/>
          <w:sz w:val="22"/>
          <w:szCs w:val="22"/>
        </w:rPr>
        <w:t xml:space="preserve">vam os efeitos financeiros do </w:t>
      </w:r>
      <w:proofErr w:type="spellStart"/>
      <w:r>
        <w:rPr>
          <w:rFonts w:ascii="Times New Roman" w:hAnsi="Times New Roman" w:cs="Times New Roman"/>
          <w:sz w:val="22"/>
          <w:szCs w:val="22"/>
        </w:rPr>
        <w:t>de</w:t>
      </w:r>
      <w:r w:rsidRPr="00316249">
        <w:rPr>
          <w:rFonts w:ascii="Times New Roman" w:hAnsi="Times New Roman" w:cs="Times New Roman"/>
          <w:sz w:val="22"/>
          <w:szCs w:val="22"/>
        </w:rPr>
        <w:t>ficit</w:t>
      </w:r>
      <w:proofErr w:type="spellEnd"/>
      <w:r w:rsidRPr="00316249">
        <w:rPr>
          <w:rFonts w:ascii="Times New Roman" w:hAnsi="Times New Roman" w:cs="Times New Roman"/>
          <w:sz w:val="22"/>
          <w:szCs w:val="22"/>
        </w:rPr>
        <w:t xml:space="preserve"> de geração, alguns agentes não procederam da mesma forma. Essa opção manteve suas </w:t>
      </w:r>
      <w:proofErr w:type="spellStart"/>
      <w:r w:rsidRPr="00316249">
        <w:rPr>
          <w:rFonts w:ascii="Times New Roman" w:hAnsi="Times New Roman" w:cs="Times New Roman"/>
          <w:sz w:val="22"/>
          <w:szCs w:val="22"/>
        </w:rPr>
        <w:t>judicializações</w:t>
      </w:r>
      <w:proofErr w:type="spellEnd"/>
      <w:r w:rsidRPr="00316249">
        <w:rPr>
          <w:rFonts w:ascii="Times New Roman" w:hAnsi="Times New Roman" w:cs="Times New Roman"/>
          <w:sz w:val="22"/>
          <w:szCs w:val="22"/>
        </w:rPr>
        <w:t xml:space="preserve"> que os isentavam do rateio do pagamento de valores discutidos em outras liminares, situação que provocou nova exposição daqueles que tinham optado pela mencionada repactuação.</w:t>
      </w:r>
    </w:p>
    <w:p w:rsidR="00E9008A" w:rsidRPr="00316249" w:rsidRDefault="00E9008A" w:rsidP="00E9008A">
      <w:pPr>
        <w:pStyle w:val="Default"/>
        <w:spacing w:before="240"/>
        <w:jc w:val="both"/>
        <w:rPr>
          <w:rFonts w:ascii="Times New Roman" w:hAnsi="Times New Roman" w:cs="Times New Roman"/>
          <w:sz w:val="22"/>
          <w:szCs w:val="22"/>
        </w:rPr>
      </w:pPr>
      <w:r w:rsidRPr="00316249">
        <w:rPr>
          <w:rFonts w:ascii="Times New Roman" w:hAnsi="Times New Roman" w:cs="Times New Roman"/>
          <w:sz w:val="22"/>
          <w:szCs w:val="22"/>
        </w:rPr>
        <w:t>Em decorrência dessa nova exposição, com o objetivo de proteger as empresas geradoras controladas pela CEB contra os efeitos das decisões judiciais mantidas por aqueles que não aderiram à repactuação, foi impetrada uma ação judicial que resultou no deferimento “Do Pedido de Antecipação dos Efeitos da Tutela”, em 31 de março de 2016. Tal ação determinou que não fosse transferido para as autoras o ônus financeiro de quaisquer decisões judiciais de que não fizessem parte, independentemente da competência a que se refiram, relativas aos ef</w:t>
      </w:r>
      <w:r>
        <w:rPr>
          <w:rFonts w:ascii="Times New Roman" w:hAnsi="Times New Roman" w:cs="Times New Roman"/>
          <w:sz w:val="22"/>
          <w:szCs w:val="22"/>
        </w:rPr>
        <w:t xml:space="preserve">eitos dos valores oriundos do </w:t>
      </w:r>
      <w:proofErr w:type="spellStart"/>
      <w:r>
        <w:rPr>
          <w:rFonts w:ascii="Times New Roman" w:hAnsi="Times New Roman" w:cs="Times New Roman"/>
          <w:sz w:val="22"/>
          <w:szCs w:val="22"/>
        </w:rPr>
        <w:t>de</w:t>
      </w:r>
      <w:r w:rsidRPr="00316249">
        <w:rPr>
          <w:rFonts w:ascii="Times New Roman" w:hAnsi="Times New Roman" w:cs="Times New Roman"/>
          <w:sz w:val="22"/>
          <w:szCs w:val="22"/>
        </w:rPr>
        <w:t>ficit</w:t>
      </w:r>
      <w:proofErr w:type="spellEnd"/>
      <w:r w:rsidRPr="00316249">
        <w:rPr>
          <w:rFonts w:ascii="Times New Roman" w:hAnsi="Times New Roman" w:cs="Times New Roman"/>
          <w:sz w:val="22"/>
          <w:szCs w:val="22"/>
        </w:rPr>
        <w:t xml:space="preserve"> hídrico (Fator GSF) sobre geradores hidrelétricos.</w:t>
      </w:r>
    </w:p>
    <w:p w:rsidR="00E9008A" w:rsidRPr="00316249" w:rsidRDefault="00E9008A" w:rsidP="00E9008A">
      <w:pPr>
        <w:pStyle w:val="PargrafodaLista"/>
        <w:numPr>
          <w:ilvl w:val="1"/>
          <w:numId w:val="23"/>
        </w:numPr>
        <w:spacing w:before="240" w:after="240"/>
        <w:ind w:hanging="574"/>
        <w:jc w:val="both"/>
        <w:rPr>
          <w:rFonts w:ascii="Times New Roman" w:hAnsi="Times New Roman" w:cs="Times New Roman"/>
          <w:b/>
          <w:bCs/>
          <w:lang w:val="pt-BR"/>
        </w:rPr>
      </w:pPr>
      <w:r w:rsidRPr="00316249">
        <w:rPr>
          <w:rFonts w:ascii="Times New Roman" w:hAnsi="Times New Roman" w:cs="Times New Roman"/>
          <w:b/>
          <w:bCs/>
          <w:lang w:val="pt-BR"/>
        </w:rPr>
        <w:t>Alienação de Ativos de Geração de Energia Elétrica e de Distribuição de Gás</w:t>
      </w:r>
    </w:p>
    <w:p w:rsidR="00E9008A" w:rsidRPr="00316249" w:rsidRDefault="00E9008A" w:rsidP="00E9008A">
      <w:pPr>
        <w:spacing w:before="240"/>
        <w:jc w:val="both"/>
        <w:rPr>
          <w:sz w:val="22"/>
          <w:szCs w:val="22"/>
        </w:rPr>
      </w:pPr>
      <w:r w:rsidRPr="00316249">
        <w:rPr>
          <w:sz w:val="22"/>
          <w:szCs w:val="22"/>
        </w:rPr>
        <w:t xml:space="preserve">Em 21 de dezembro de 2015, o Governador do Distrito Federal sancionou a Lei nº 5.577/2015, na qual a CEB fica autorizada a alienar suas participações acionárias em empresas de geração de energia elétrica e de distribuição de gás, vinculando a aplicação dessas receitas em investimentos, pagamentos de tributos e amortizações de empréstimos da controlada CEB Distribuição </w:t>
      </w:r>
      <w:proofErr w:type="gramStart"/>
      <w:r w:rsidRPr="00316249">
        <w:rPr>
          <w:sz w:val="22"/>
          <w:szCs w:val="22"/>
        </w:rPr>
        <w:t>S.A..</w:t>
      </w:r>
      <w:proofErr w:type="gramEnd"/>
    </w:p>
    <w:p w:rsidR="00E9008A" w:rsidRPr="00316249" w:rsidRDefault="00E9008A" w:rsidP="00E9008A">
      <w:pPr>
        <w:spacing w:before="240"/>
        <w:jc w:val="both"/>
        <w:rPr>
          <w:sz w:val="22"/>
          <w:szCs w:val="22"/>
        </w:rPr>
      </w:pPr>
      <w:r w:rsidRPr="00316249">
        <w:rPr>
          <w:sz w:val="22"/>
          <w:szCs w:val="22"/>
        </w:rPr>
        <w:t xml:space="preserve"> Em 20 de dezembro de 2016, a Companhia informou aos seus acionistas e ao mercado em geral, que o Conselho de Administração da CEB aprovou na Reunião Ordinária de 14 de dezembro de 2016, o Plano de Negócio para o período de 2017 a 2021, conforme previsto na Lei nº 13.303/2016. </w:t>
      </w:r>
    </w:p>
    <w:p w:rsidR="00E9008A" w:rsidRPr="00316249" w:rsidRDefault="00E9008A" w:rsidP="00E9008A">
      <w:pPr>
        <w:spacing w:before="240"/>
        <w:jc w:val="both"/>
        <w:rPr>
          <w:sz w:val="22"/>
          <w:szCs w:val="22"/>
        </w:rPr>
      </w:pPr>
      <w:r w:rsidRPr="00316249">
        <w:rPr>
          <w:sz w:val="22"/>
          <w:szCs w:val="22"/>
        </w:rPr>
        <w:t xml:space="preserve">Em resumo, o Plano estabeleceu os seguintes objetivos centrais para dar sequência ao saneamento econômico-financeiro da CEB: </w:t>
      </w:r>
    </w:p>
    <w:p w:rsidR="00E9008A" w:rsidRPr="00316249" w:rsidRDefault="00E9008A" w:rsidP="00E9008A">
      <w:pPr>
        <w:ind w:firstLine="1134"/>
        <w:jc w:val="both"/>
        <w:rPr>
          <w:sz w:val="22"/>
          <w:szCs w:val="22"/>
        </w:rPr>
      </w:pPr>
      <w:r w:rsidRPr="00316249">
        <w:rPr>
          <w:sz w:val="22"/>
          <w:szCs w:val="22"/>
        </w:rPr>
        <w:t xml:space="preserve">• Adequação dos custos e despesas operacionais; e </w:t>
      </w:r>
    </w:p>
    <w:p w:rsidR="00E9008A" w:rsidRPr="00316249" w:rsidRDefault="00E9008A" w:rsidP="00E9008A">
      <w:pPr>
        <w:ind w:firstLine="1134"/>
        <w:jc w:val="both"/>
        <w:rPr>
          <w:sz w:val="22"/>
          <w:szCs w:val="22"/>
        </w:rPr>
      </w:pPr>
      <w:r w:rsidRPr="00316249">
        <w:rPr>
          <w:sz w:val="22"/>
          <w:szCs w:val="22"/>
        </w:rPr>
        <w:t xml:space="preserve">• Redução do endividamento com consequente diminuição do serviço da dívida. </w:t>
      </w:r>
    </w:p>
    <w:p w:rsidR="00E9008A" w:rsidRPr="00316249" w:rsidRDefault="00E9008A" w:rsidP="00E9008A">
      <w:pPr>
        <w:spacing w:before="240"/>
        <w:jc w:val="both"/>
        <w:rPr>
          <w:sz w:val="22"/>
          <w:szCs w:val="22"/>
        </w:rPr>
      </w:pPr>
      <w:r w:rsidRPr="00316249">
        <w:rPr>
          <w:sz w:val="22"/>
          <w:szCs w:val="22"/>
        </w:rPr>
        <w:t xml:space="preserve">Assim sendo, as principais estratégias para a viabilização do Plano de Negócio estão centradas, principalmente, nos seguintes eventos: </w:t>
      </w:r>
    </w:p>
    <w:p w:rsidR="00E9008A" w:rsidRPr="00316249" w:rsidRDefault="00E9008A" w:rsidP="00E9008A">
      <w:pPr>
        <w:ind w:firstLine="1134"/>
        <w:jc w:val="both"/>
        <w:rPr>
          <w:sz w:val="22"/>
          <w:szCs w:val="22"/>
        </w:rPr>
      </w:pPr>
      <w:r w:rsidRPr="00316249">
        <w:rPr>
          <w:sz w:val="22"/>
          <w:szCs w:val="22"/>
        </w:rPr>
        <w:t xml:space="preserve">• Alienação de participações societárias; </w:t>
      </w:r>
    </w:p>
    <w:p w:rsidR="00E9008A" w:rsidRPr="00316249" w:rsidRDefault="00E9008A" w:rsidP="00E9008A">
      <w:pPr>
        <w:ind w:firstLine="1134"/>
        <w:jc w:val="both"/>
        <w:rPr>
          <w:sz w:val="22"/>
          <w:szCs w:val="22"/>
        </w:rPr>
      </w:pPr>
      <w:r w:rsidRPr="00316249">
        <w:rPr>
          <w:sz w:val="22"/>
          <w:szCs w:val="22"/>
        </w:rPr>
        <w:t xml:space="preserve">• Monetização de ativos imóveis; e </w:t>
      </w:r>
    </w:p>
    <w:p w:rsidR="00E9008A" w:rsidRPr="00316249" w:rsidRDefault="00E9008A" w:rsidP="00E9008A">
      <w:pPr>
        <w:ind w:firstLine="1134"/>
        <w:jc w:val="both"/>
        <w:rPr>
          <w:sz w:val="22"/>
          <w:szCs w:val="22"/>
        </w:rPr>
      </w:pPr>
      <w:r w:rsidRPr="00316249">
        <w:rPr>
          <w:sz w:val="22"/>
          <w:szCs w:val="22"/>
        </w:rPr>
        <w:t xml:space="preserve">• Capitalização do principal negócio da Companhia, a CEB Distribuição </w:t>
      </w:r>
      <w:proofErr w:type="gramStart"/>
      <w:r w:rsidRPr="00316249">
        <w:rPr>
          <w:sz w:val="22"/>
          <w:szCs w:val="22"/>
        </w:rPr>
        <w:t>S.A..</w:t>
      </w:r>
      <w:proofErr w:type="gramEnd"/>
    </w:p>
    <w:p w:rsidR="00E9008A" w:rsidRPr="00B033FB" w:rsidRDefault="00E9008A" w:rsidP="00B033FB">
      <w:pPr>
        <w:pStyle w:val="Ttulo3"/>
        <w:numPr>
          <w:ilvl w:val="0"/>
          <w:numId w:val="23"/>
        </w:numPr>
        <w:shd w:val="clear" w:color="auto" w:fill="auto"/>
        <w:spacing w:before="240" w:after="240"/>
        <w:ind w:left="780" w:hanging="780"/>
        <w:jc w:val="both"/>
        <w:rPr>
          <w:sz w:val="22"/>
          <w:szCs w:val="22"/>
        </w:rPr>
      </w:pPr>
      <w:r w:rsidRPr="00B033FB">
        <w:rPr>
          <w:sz w:val="22"/>
          <w:szCs w:val="22"/>
        </w:rPr>
        <w:t>BASE DE PREPARAÇÃO DAS DEMONSTRAÇÕES CONTÁBEIS E RESUMO DAS PRINCIPAIS PRÁTICAS CONTÁBEIS</w:t>
      </w:r>
    </w:p>
    <w:p w:rsidR="00E9008A" w:rsidRPr="00B033FB" w:rsidRDefault="00E9008A" w:rsidP="00E9008A">
      <w:pPr>
        <w:pStyle w:val="PargrafodaLista"/>
        <w:numPr>
          <w:ilvl w:val="1"/>
          <w:numId w:val="23"/>
        </w:numPr>
        <w:spacing w:before="240" w:after="240"/>
        <w:ind w:hanging="574"/>
        <w:jc w:val="both"/>
        <w:rPr>
          <w:rFonts w:ascii="Times New Roman" w:hAnsi="Times New Roman" w:cs="Times New Roman"/>
          <w:b/>
          <w:bCs/>
          <w:lang w:val="pt-BR"/>
        </w:rPr>
      </w:pPr>
      <w:proofErr w:type="spellStart"/>
      <w:r w:rsidRPr="00B033FB">
        <w:rPr>
          <w:rFonts w:ascii="Times New Roman" w:hAnsi="Times New Roman" w:cs="Times New Roman"/>
          <w:b/>
          <w:bCs/>
          <w:lang w:val="pt-BR"/>
        </w:rPr>
        <w:t>Declaração</w:t>
      </w:r>
      <w:proofErr w:type="spellEnd"/>
      <w:r w:rsidRPr="00B033FB">
        <w:rPr>
          <w:rFonts w:ascii="Times New Roman" w:hAnsi="Times New Roman" w:cs="Times New Roman"/>
          <w:b/>
          <w:bCs/>
          <w:lang w:val="pt-BR"/>
        </w:rPr>
        <w:t xml:space="preserve"> de </w:t>
      </w:r>
      <w:proofErr w:type="spellStart"/>
      <w:r w:rsidRPr="00B033FB">
        <w:rPr>
          <w:rFonts w:ascii="Times New Roman" w:hAnsi="Times New Roman" w:cs="Times New Roman"/>
          <w:b/>
          <w:bCs/>
          <w:lang w:val="pt-BR"/>
        </w:rPr>
        <w:t>Conformidade</w:t>
      </w:r>
      <w:proofErr w:type="spellEnd"/>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As demonstrações financeiras individuais e consolidadas foram preparadas com base no custo histórico, com exceção dos seguintes itens materiais reconhecidos nos balanços patrimoniais:</w:t>
      </w:r>
    </w:p>
    <w:p w:rsidR="00E9008A" w:rsidRPr="00316249" w:rsidRDefault="00E9008A" w:rsidP="00E9008A">
      <w:pPr>
        <w:pStyle w:val="PargrafodaLista"/>
        <w:numPr>
          <w:ilvl w:val="0"/>
          <w:numId w:val="22"/>
        </w:numPr>
        <w:spacing w:before="240" w:after="0"/>
        <w:ind w:left="426"/>
        <w:jc w:val="both"/>
        <w:rPr>
          <w:rFonts w:ascii="Times New Roman" w:hAnsi="Times New Roman" w:cs="Times New Roman"/>
          <w:lang w:val="pt-BR"/>
        </w:rPr>
      </w:pPr>
      <w:r w:rsidRPr="00316249">
        <w:rPr>
          <w:rFonts w:ascii="Times New Roman" w:hAnsi="Times New Roman" w:cs="Times New Roman"/>
          <w:lang w:val="pt-BR"/>
        </w:rPr>
        <w:lastRenderedPageBreak/>
        <w:t>Os instrumentos financeiros não derivativos foram mensurados pelo valor justo por meio do resultado;</w:t>
      </w:r>
      <w:r>
        <w:rPr>
          <w:rFonts w:ascii="Times New Roman" w:hAnsi="Times New Roman" w:cs="Times New Roman"/>
          <w:lang w:val="pt-BR"/>
        </w:rPr>
        <w:t xml:space="preserve"> e</w:t>
      </w:r>
    </w:p>
    <w:p w:rsidR="00E9008A" w:rsidRPr="00316249" w:rsidRDefault="00E9008A" w:rsidP="00E9008A">
      <w:pPr>
        <w:pStyle w:val="PargrafodaLista"/>
        <w:numPr>
          <w:ilvl w:val="0"/>
          <w:numId w:val="22"/>
        </w:numPr>
        <w:spacing w:after="0"/>
        <w:ind w:left="426"/>
        <w:jc w:val="both"/>
        <w:rPr>
          <w:rFonts w:ascii="Times New Roman" w:hAnsi="Times New Roman" w:cs="Times New Roman"/>
          <w:lang w:val="pt-BR"/>
        </w:rPr>
      </w:pPr>
      <w:r w:rsidRPr="00316249">
        <w:rPr>
          <w:rFonts w:ascii="Times New Roman" w:hAnsi="Times New Roman" w:cs="Times New Roman"/>
          <w:lang w:val="pt-BR"/>
        </w:rPr>
        <w:t>Os ativos financeiros disponíveis para venda fora</w:t>
      </w:r>
      <w:r>
        <w:rPr>
          <w:rFonts w:ascii="Times New Roman" w:hAnsi="Times New Roman" w:cs="Times New Roman"/>
          <w:lang w:val="pt-BR"/>
        </w:rPr>
        <w:t>m mensurados pelo valor justo.</w:t>
      </w:r>
    </w:p>
    <w:p w:rsidR="00E9008A" w:rsidRDefault="00E9008A" w:rsidP="00E9008A">
      <w:pPr>
        <w:autoSpaceDE w:val="0"/>
        <w:autoSpaceDN w:val="0"/>
        <w:adjustRightInd w:val="0"/>
        <w:spacing w:before="240" w:after="240"/>
        <w:jc w:val="both"/>
        <w:rPr>
          <w:sz w:val="22"/>
          <w:szCs w:val="22"/>
        </w:rPr>
      </w:pPr>
      <w:r w:rsidRPr="00316249">
        <w:rPr>
          <w:sz w:val="22"/>
          <w:szCs w:val="22"/>
        </w:rPr>
        <w:t>Todas as informações relevantes próprias das demonstrações contábeis, e somente elas, estão sendo evidenciadas e que correspondem às utilizadas para fins da gestão administrativa.</w:t>
      </w:r>
    </w:p>
    <w:p w:rsidR="00E9008A" w:rsidRPr="00316249"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316249">
        <w:rPr>
          <w:rFonts w:ascii="Times New Roman" w:hAnsi="Times New Roman" w:cs="Times New Roman"/>
          <w:b/>
          <w:bCs/>
          <w:lang w:val="pt-BR"/>
        </w:rPr>
        <w:t>Demonstrações financeiras consolidadas</w:t>
      </w:r>
    </w:p>
    <w:p w:rsidR="00E9008A" w:rsidRPr="00316249" w:rsidRDefault="00E9008A" w:rsidP="00E9008A">
      <w:pPr>
        <w:spacing w:before="240" w:after="240" w:line="252" w:lineRule="auto"/>
        <w:jc w:val="both"/>
        <w:rPr>
          <w:i/>
          <w:sz w:val="22"/>
          <w:szCs w:val="22"/>
        </w:rPr>
      </w:pPr>
      <w:r w:rsidRPr="00316249">
        <w:rPr>
          <w:sz w:val="22"/>
          <w:szCs w:val="22"/>
        </w:rPr>
        <w:t>As demonstrações financeiras consolidadas foram preparadas e estão sendo apresentadas conforme as práticas contábeis adotadas no Brasil, incluindo os pronunciamentos emitidos pelo Comitê de Pronunciamentos Contábeis (</w:t>
      </w:r>
      <w:proofErr w:type="spellStart"/>
      <w:r w:rsidRPr="00316249">
        <w:rPr>
          <w:sz w:val="22"/>
          <w:szCs w:val="22"/>
        </w:rPr>
        <w:t>CPCs</w:t>
      </w:r>
      <w:proofErr w:type="spellEnd"/>
      <w:r w:rsidRPr="00316249">
        <w:rPr>
          <w:sz w:val="22"/>
          <w:szCs w:val="22"/>
        </w:rPr>
        <w:t>) e conforme as normas internacionais de relatório financeiro (</w:t>
      </w:r>
      <w:proofErr w:type="spellStart"/>
      <w:r w:rsidRPr="00316249">
        <w:rPr>
          <w:i/>
          <w:sz w:val="22"/>
          <w:szCs w:val="22"/>
        </w:rPr>
        <w:t>International</w:t>
      </w:r>
      <w:proofErr w:type="spellEnd"/>
      <w:r w:rsidRPr="00316249">
        <w:rPr>
          <w:i/>
          <w:sz w:val="22"/>
          <w:szCs w:val="22"/>
        </w:rPr>
        <w:t xml:space="preserve"> Financial </w:t>
      </w:r>
      <w:proofErr w:type="spellStart"/>
      <w:r w:rsidRPr="00316249">
        <w:rPr>
          <w:i/>
          <w:sz w:val="22"/>
          <w:szCs w:val="22"/>
        </w:rPr>
        <w:t>Reporting</w:t>
      </w:r>
      <w:proofErr w:type="spellEnd"/>
      <w:r w:rsidRPr="00316249">
        <w:rPr>
          <w:i/>
          <w:sz w:val="22"/>
          <w:szCs w:val="22"/>
        </w:rPr>
        <w:t xml:space="preserve"> Standards (</w:t>
      </w:r>
      <w:smartTag w:uri="urn:schemas-microsoft-com:office:smarttags" w:element="stockticker">
        <w:r w:rsidRPr="00316249">
          <w:rPr>
            <w:sz w:val="22"/>
            <w:szCs w:val="22"/>
          </w:rPr>
          <w:t>IFRS</w:t>
        </w:r>
      </w:smartTag>
      <w:r w:rsidRPr="00316249">
        <w:rPr>
          <w:sz w:val="22"/>
          <w:szCs w:val="22"/>
        </w:rPr>
        <w:t xml:space="preserve">), emitidas pelo </w:t>
      </w:r>
      <w:proofErr w:type="spellStart"/>
      <w:r w:rsidRPr="00316249">
        <w:rPr>
          <w:i/>
          <w:sz w:val="22"/>
          <w:szCs w:val="22"/>
        </w:rPr>
        <w:t>International</w:t>
      </w:r>
      <w:proofErr w:type="spellEnd"/>
      <w:r w:rsidRPr="00316249">
        <w:rPr>
          <w:i/>
          <w:sz w:val="22"/>
          <w:szCs w:val="22"/>
        </w:rPr>
        <w:t xml:space="preserve"> </w:t>
      </w:r>
      <w:proofErr w:type="spellStart"/>
      <w:r w:rsidRPr="00316249">
        <w:rPr>
          <w:i/>
          <w:sz w:val="22"/>
          <w:szCs w:val="22"/>
        </w:rPr>
        <w:t>Accounting</w:t>
      </w:r>
      <w:proofErr w:type="spellEnd"/>
      <w:r w:rsidRPr="00316249">
        <w:rPr>
          <w:i/>
          <w:sz w:val="22"/>
          <w:szCs w:val="22"/>
        </w:rPr>
        <w:t xml:space="preserve"> Standards </w:t>
      </w:r>
      <w:proofErr w:type="spellStart"/>
      <w:r w:rsidRPr="00316249">
        <w:rPr>
          <w:i/>
          <w:sz w:val="22"/>
          <w:szCs w:val="22"/>
        </w:rPr>
        <w:t>Board</w:t>
      </w:r>
      <w:proofErr w:type="spellEnd"/>
      <w:r w:rsidRPr="00316249">
        <w:rPr>
          <w:i/>
          <w:sz w:val="22"/>
          <w:szCs w:val="22"/>
        </w:rPr>
        <w:t xml:space="preserve"> – IASB</w:t>
      </w:r>
      <w:r w:rsidRPr="00316249">
        <w:rPr>
          <w:sz w:val="22"/>
          <w:szCs w:val="22"/>
        </w:rPr>
        <w:t>).</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B033FB">
        <w:rPr>
          <w:rFonts w:ascii="Times New Roman" w:hAnsi="Times New Roman" w:cs="Times New Roman"/>
          <w:b/>
          <w:bCs/>
          <w:lang w:val="pt-BR"/>
        </w:rPr>
        <w:t>Demonstrações financeiras individuais</w:t>
      </w:r>
    </w:p>
    <w:p w:rsidR="00E9008A" w:rsidRPr="00316249" w:rsidRDefault="00E9008A" w:rsidP="00E9008A">
      <w:pPr>
        <w:spacing w:before="240"/>
        <w:jc w:val="both"/>
        <w:rPr>
          <w:sz w:val="22"/>
          <w:szCs w:val="22"/>
        </w:rPr>
      </w:pPr>
      <w:r w:rsidRPr="00316249">
        <w:rPr>
          <w:sz w:val="22"/>
          <w:szCs w:val="22"/>
        </w:rPr>
        <w:t>As demonstrações financeiras individuais da controladora foram preparadas conforme as práticas contábeis adotadas no Brasil emitidas pelo Comitê de Pronunciamentos Contábeis – CPC e que estão alinhadas às normas internacionais de relatório financeiro (IFRS). Essas demonstrações financeiras individuais são divulgadas em conjunto com as demonstrações financeiras consolidadas.</w:t>
      </w:r>
    </w:p>
    <w:p w:rsidR="00E9008A" w:rsidRPr="00316249" w:rsidRDefault="00E9008A" w:rsidP="00E9008A">
      <w:pPr>
        <w:spacing w:before="240" w:after="240"/>
        <w:jc w:val="both"/>
        <w:rPr>
          <w:sz w:val="22"/>
          <w:szCs w:val="22"/>
        </w:rPr>
      </w:pPr>
      <w:r w:rsidRPr="00316249">
        <w:rPr>
          <w:sz w:val="22"/>
          <w:szCs w:val="22"/>
        </w:rPr>
        <w:t>Nas demonstrações financeiras individuais, as controladas, controladas em conjunto e coligadas são contabilizadas pelo método de equivalência patrimonial. Os mesmos ajustes são feitos tanto nas demonstrações financeiras individuais quanto nas demonstrações financeiras consolidadas para chegar ao mesmo resultado e patrimônio líquido atribuível aos acionistas da controladora.</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B033FB">
        <w:rPr>
          <w:rFonts w:ascii="Times New Roman" w:hAnsi="Times New Roman" w:cs="Times New Roman"/>
          <w:b/>
          <w:bCs/>
          <w:lang w:val="pt-BR"/>
        </w:rPr>
        <w:t>Estimativas e julgamentos contábeis críticos</w:t>
      </w:r>
    </w:p>
    <w:p w:rsidR="00E9008A" w:rsidRPr="00316249" w:rsidRDefault="00E9008A" w:rsidP="00E9008A">
      <w:pPr>
        <w:autoSpaceDE w:val="0"/>
        <w:autoSpaceDN w:val="0"/>
        <w:adjustRightInd w:val="0"/>
        <w:spacing w:before="240"/>
        <w:jc w:val="both"/>
        <w:rPr>
          <w:sz w:val="22"/>
          <w:szCs w:val="22"/>
        </w:rPr>
      </w:pPr>
      <w:r w:rsidRPr="00316249">
        <w:rPr>
          <w:sz w:val="22"/>
          <w:szCs w:val="22"/>
        </w:rPr>
        <w:t xml:space="preserve">A </w:t>
      </w:r>
      <w:smartTag w:uri="schemas-houaiss/mini" w:element="verbetes">
        <w:r w:rsidRPr="00316249">
          <w:rPr>
            <w:sz w:val="22"/>
            <w:szCs w:val="22"/>
          </w:rPr>
          <w:t>preparação</w:t>
        </w:r>
      </w:smartTag>
      <w:r w:rsidRPr="00316249">
        <w:rPr>
          <w:sz w:val="22"/>
          <w:szCs w:val="22"/>
        </w:rPr>
        <w:t xml:space="preserve"> de </w:t>
      </w:r>
      <w:smartTag w:uri="schemas-houaiss/mini" w:element="verbetes">
        <w:r w:rsidRPr="00316249">
          <w:rPr>
            <w:sz w:val="22"/>
            <w:szCs w:val="22"/>
          </w:rPr>
          <w:t>demonstrações</w:t>
        </w:r>
      </w:smartTag>
      <w:r w:rsidRPr="00316249">
        <w:rPr>
          <w:sz w:val="22"/>
          <w:szCs w:val="22"/>
        </w:rPr>
        <w:t xml:space="preserve"> </w:t>
      </w:r>
      <w:smartTag w:uri="schemas-houaiss/mini" w:element="verbetes">
        <w:r w:rsidRPr="00316249">
          <w:rPr>
            <w:sz w:val="22"/>
            <w:szCs w:val="22"/>
          </w:rPr>
          <w:t>financeiras</w:t>
        </w:r>
      </w:smartTag>
      <w:r w:rsidRPr="00316249">
        <w:rPr>
          <w:sz w:val="22"/>
          <w:szCs w:val="22"/>
        </w:rPr>
        <w:t xml:space="preserve"> requer o </w:t>
      </w:r>
      <w:smartTag w:uri="schemas-houaiss/mini" w:element="verbetes">
        <w:r w:rsidRPr="00316249">
          <w:rPr>
            <w:sz w:val="22"/>
            <w:szCs w:val="22"/>
          </w:rPr>
          <w:t>uso</w:t>
        </w:r>
      </w:smartTag>
      <w:r w:rsidRPr="00316249">
        <w:rPr>
          <w:sz w:val="22"/>
          <w:szCs w:val="22"/>
        </w:rPr>
        <w:t xml:space="preserve"> de </w:t>
      </w:r>
      <w:smartTag w:uri="schemas-houaiss/mini" w:element="verbetes">
        <w:r w:rsidRPr="00316249">
          <w:rPr>
            <w:sz w:val="22"/>
            <w:szCs w:val="22"/>
          </w:rPr>
          <w:t>certas</w:t>
        </w:r>
      </w:smartTag>
      <w:r w:rsidRPr="00316249">
        <w:rPr>
          <w:sz w:val="22"/>
          <w:szCs w:val="22"/>
        </w:rPr>
        <w:t xml:space="preserve"> </w:t>
      </w:r>
      <w:smartTag w:uri="schemas-houaiss/mini" w:element="verbetes">
        <w:r w:rsidRPr="00316249">
          <w:rPr>
            <w:sz w:val="22"/>
            <w:szCs w:val="22"/>
          </w:rPr>
          <w:t>estimativas</w:t>
        </w:r>
      </w:smartTag>
      <w:r w:rsidRPr="00316249">
        <w:rPr>
          <w:sz w:val="22"/>
          <w:szCs w:val="22"/>
        </w:rPr>
        <w:t xml:space="preserve"> contábeis </w:t>
      </w:r>
      <w:smartTag w:uri="schemas-houaiss/mini" w:element="verbetes">
        <w:r w:rsidRPr="00316249">
          <w:rPr>
            <w:sz w:val="22"/>
            <w:szCs w:val="22"/>
          </w:rPr>
          <w:t>críticas</w:t>
        </w:r>
      </w:smartTag>
      <w:r w:rsidRPr="00316249">
        <w:rPr>
          <w:sz w:val="22"/>
          <w:szCs w:val="22"/>
        </w:rPr>
        <w:t xml:space="preserve"> e </w:t>
      </w:r>
      <w:smartTag w:uri="schemas-houaiss/mini" w:element="verbetes">
        <w:r w:rsidRPr="00316249">
          <w:rPr>
            <w:sz w:val="22"/>
            <w:szCs w:val="22"/>
          </w:rPr>
          <w:t>também</w:t>
        </w:r>
      </w:smartTag>
      <w:r w:rsidRPr="00316249">
        <w:rPr>
          <w:sz w:val="22"/>
          <w:szCs w:val="22"/>
        </w:rPr>
        <w:t xml:space="preserve"> o </w:t>
      </w:r>
      <w:smartTag w:uri="schemas-houaiss/mini" w:element="verbetes">
        <w:r w:rsidRPr="00316249">
          <w:rPr>
            <w:sz w:val="22"/>
            <w:szCs w:val="22"/>
          </w:rPr>
          <w:t>exercício</w:t>
        </w:r>
      </w:smartTag>
      <w:r w:rsidRPr="00316249">
        <w:rPr>
          <w:sz w:val="22"/>
          <w:szCs w:val="22"/>
        </w:rPr>
        <w:t xml:space="preserve"> de </w:t>
      </w:r>
      <w:smartTag w:uri="schemas-houaiss/acao" w:element="dm">
        <w:r w:rsidRPr="00316249">
          <w:rPr>
            <w:sz w:val="22"/>
            <w:szCs w:val="22"/>
          </w:rPr>
          <w:t>julgamento</w:t>
        </w:r>
      </w:smartTag>
      <w:r w:rsidRPr="00316249">
        <w:rPr>
          <w:sz w:val="22"/>
          <w:szCs w:val="22"/>
        </w:rPr>
        <w:t xml:space="preserve"> </w:t>
      </w:r>
      <w:smartTag w:uri="schemas-houaiss/mini" w:element="verbetes">
        <w:r w:rsidRPr="00316249">
          <w:rPr>
            <w:sz w:val="22"/>
            <w:szCs w:val="22"/>
          </w:rPr>
          <w:t>por</w:t>
        </w:r>
      </w:smartTag>
      <w:r w:rsidRPr="00316249">
        <w:rPr>
          <w:sz w:val="22"/>
          <w:szCs w:val="22"/>
        </w:rPr>
        <w:t xml:space="preserve"> </w:t>
      </w:r>
      <w:smartTag w:uri="schemas-houaiss/mini" w:element="verbetes">
        <w:r w:rsidRPr="00316249">
          <w:rPr>
            <w:sz w:val="22"/>
            <w:szCs w:val="22"/>
          </w:rPr>
          <w:t>parte</w:t>
        </w:r>
      </w:smartTag>
      <w:r w:rsidRPr="00316249">
        <w:rPr>
          <w:sz w:val="22"/>
          <w:szCs w:val="22"/>
        </w:rPr>
        <w:t xml:space="preserve"> da Administração da </w:t>
      </w:r>
      <w:smartTag w:uri="schemas-houaiss/mini" w:element="verbetes">
        <w:r w:rsidRPr="00316249">
          <w:rPr>
            <w:sz w:val="22"/>
            <w:szCs w:val="22"/>
          </w:rPr>
          <w:t>Companhia</w:t>
        </w:r>
      </w:smartTag>
      <w:r w:rsidRPr="00316249">
        <w:rPr>
          <w:sz w:val="22"/>
          <w:szCs w:val="22"/>
        </w:rPr>
        <w:t xml:space="preserve"> no </w:t>
      </w:r>
      <w:smartTag w:uri="schemas-houaiss/acao" w:element="dm">
        <w:r w:rsidRPr="00316249">
          <w:rPr>
            <w:sz w:val="22"/>
            <w:szCs w:val="22"/>
          </w:rPr>
          <w:t>processo</w:t>
        </w:r>
      </w:smartTag>
      <w:r w:rsidRPr="00316249">
        <w:rPr>
          <w:sz w:val="22"/>
          <w:szCs w:val="22"/>
        </w:rPr>
        <w:t xml:space="preserve"> de </w:t>
      </w:r>
      <w:smartTag w:uri="schemas-houaiss/acao" w:element="dm">
        <w:r w:rsidRPr="00316249">
          <w:rPr>
            <w:sz w:val="22"/>
            <w:szCs w:val="22"/>
          </w:rPr>
          <w:t>aplicação</w:t>
        </w:r>
      </w:smartTag>
      <w:r w:rsidRPr="00316249">
        <w:rPr>
          <w:sz w:val="22"/>
          <w:szCs w:val="22"/>
        </w:rPr>
        <w:t xml:space="preserve"> das </w:t>
      </w:r>
      <w:smartTag w:uri="schemas-houaiss/mini" w:element="verbetes">
        <w:r w:rsidRPr="00316249">
          <w:rPr>
            <w:sz w:val="22"/>
            <w:szCs w:val="22"/>
          </w:rPr>
          <w:t>políticas</w:t>
        </w:r>
      </w:smartTag>
      <w:r w:rsidRPr="00316249">
        <w:rPr>
          <w:sz w:val="22"/>
          <w:szCs w:val="22"/>
        </w:rPr>
        <w:t xml:space="preserve"> contábeis do Grupo e os valores reportados de ativos, passivos, receitas e despesas. Por definição, as estimativas contábeis resultantes raramente serão iguais aos respectivos resultados reais. Desta forma, a Administração da Companhia revisa as estimativas e premissas adotadas de maneira contínua, baseada na experiência histórica e em outros fatores considerados relevantes. Os ajustes oriundos destas revisões são reconhecidos no período em que as estimativas são revisadas e aplicadas de maneira prospectiva.</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As estimativas e premissas que apresentam um risco significativo, com probabilidade de causar um ajuste relevante nos valores contábeis de ativos e passivos para o próximo exercício social, estão contempladas a seguir:</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 xml:space="preserve">Estimativa de perdas com créditos de liquidação duvidosa </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estimativa de perdas com créditos de liquidação duvidosa foi constituída com base na estimativa das prováveis perdas que possam ocorrer na cobrança dos créditos, sendo os saldos demonstrados no ativo circulante ou não circulante, de acordo com a classificação do título que as originaram. O critério utilizado pelo Grupo para constituir a provisão para créditos de liquidação duvidosa é considerado pela Administração como adequado para estimar as perdas com créditos decorrentes de fornecimento de energia e pode ser assim demonstrado:</w:t>
      </w:r>
    </w:p>
    <w:p w:rsidR="00E9008A" w:rsidRPr="00316249" w:rsidRDefault="00E9008A" w:rsidP="00E9008A">
      <w:pPr>
        <w:pStyle w:val="Corpodetexto"/>
        <w:spacing w:before="240" w:after="240"/>
        <w:rPr>
          <w:rFonts w:ascii="Times New Roman" w:hAnsi="Times New Roman" w:cs="Times New Roman"/>
          <w:sz w:val="22"/>
          <w:szCs w:val="22"/>
        </w:rPr>
      </w:pPr>
      <w:r w:rsidRPr="00316249">
        <w:rPr>
          <w:rFonts w:ascii="Times New Roman" w:hAnsi="Times New Roman" w:cs="Times New Roman"/>
          <w:sz w:val="22"/>
          <w:szCs w:val="22"/>
        </w:rPr>
        <w:lastRenderedPageBreak/>
        <w:t>Consumidores</w:t>
      </w:r>
    </w:p>
    <w:p w:rsidR="00E9008A" w:rsidRPr="00316249" w:rsidRDefault="00E9008A" w:rsidP="00E9008A">
      <w:pPr>
        <w:pStyle w:val="Corpodetexto"/>
        <w:numPr>
          <w:ilvl w:val="0"/>
          <w:numId w:val="22"/>
        </w:numPr>
        <w:ind w:left="426"/>
        <w:rPr>
          <w:rFonts w:ascii="Times New Roman" w:hAnsi="Times New Roman" w:cs="Times New Roman"/>
          <w:b w:val="0"/>
          <w:bCs w:val="0"/>
          <w:sz w:val="22"/>
          <w:szCs w:val="22"/>
        </w:rPr>
      </w:pPr>
      <w:r w:rsidRPr="00316249">
        <w:rPr>
          <w:rFonts w:ascii="Times New Roman" w:hAnsi="Times New Roman" w:cs="Times New Roman"/>
          <w:b w:val="0"/>
          <w:bCs w:val="0"/>
          <w:sz w:val="22"/>
          <w:szCs w:val="22"/>
        </w:rPr>
        <w:t>Classe residencial: consumidores com contas vencidas há mais de 90 dias;</w:t>
      </w:r>
    </w:p>
    <w:p w:rsidR="00E9008A" w:rsidRPr="00316249" w:rsidRDefault="00E9008A" w:rsidP="00E9008A">
      <w:pPr>
        <w:pStyle w:val="Corpodetexto"/>
        <w:numPr>
          <w:ilvl w:val="0"/>
          <w:numId w:val="22"/>
        </w:numPr>
        <w:ind w:left="426"/>
        <w:rPr>
          <w:rFonts w:ascii="Times New Roman" w:hAnsi="Times New Roman" w:cs="Times New Roman"/>
          <w:b w:val="0"/>
          <w:bCs w:val="0"/>
          <w:sz w:val="22"/>
          <w:szCs w:val="22"/>
        </w:rPr>
      </w:pPr>
      <w:r w:rsidRPr="00316249">
        <w:rPr>
          <w:rFonts w:ascii="Times New Roman" w:hAnsi="Times New Roman" w:cs="Times New Roman"/>
          <w:b w:val="0"/>
          <w:bCs w:val="0"/>
          <w:sz w:val="22"/>
          <w:szCs w:val="22"/>
        </w:rPr>
        <w:t>Classe comercial: consumidores com contas vencidas há mais de 180 dias; e</w:t>
      </w:r>
    </w:p>
    <w:p w:rsidR="00E9008A" w:rsidRPr="00316249" w:rsidRDefault="00E9008A" w:rsidP="00E9008A">
      <w:pPr>
        <w:pStyle w:val="Corpodetexto"/>
        <w:numPr>
          <w:ilvl w:val="0"/>
          <w:numId w:val="22"/>
        </w:numPr>
        <w:ind w:left="426"/>
        <w:rPr>
          <w:rFonts w:ascii="Times New Roman" w:hAnsi="Times New Roman" w:cs="Times New Roman"/>
          <w:b w:val="0"/>
          <w:bCs w:val="0"/>
          <w:sz w:val="22"/>
          <w:szCs w:val="22"/>
        </w:rPr>
      </w:pPr>
      <w:r w:rsidRPr="00316249">
        <w:rPr>
          <w:rFonts w:ascii="Times New Roman" w:hAnsi="Times New Roman" w:cs="Times New Roman"/>
          <w:b w:val="0"/>
          <w:bCs w:val="0"/>
          <w:sz w:val="22"/>
          <w:szCs w:val="22"/>
        </w:rPr>
        <w:t>Classe industrial e rural e outros, com contas vencidas há mais de 360 dias</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cálculo considerou todas as unidades consumidoras ligadas e desligadas, utilizando-se dos critérios estabelecidos na Nota Explicativa nº 2.7.1 Informações adicionais estão divulgadas na Nota Explicativa nº 6.3.</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Perda por redução ao valor recuperável de ativos não financeiros (</w:t>
      </w:r>
      <w:proofErr w:type="spellStart"/>
      <w:r w:rsidRPr="00B033FB">
        <w:rPr>
          <w:rFonts w:ascii="Times New Roman" w:hAnsi="Times New Roman" w:cs="Times New Roman"/>
          <w:b/>
          <w:iCs/>
          <w:lang w:val="pt-BR"/>
        </w:rPr>
        <w:t>impairment</w:t>
      </w:r>
      <w:proofErr w:type="spellEnd"/>
      <w:r w:rsidRPr="00316249">
        <w:rPr>
          <w:rFonts w:ascii="Times New Roman" w:hAnsi="Times New Roman" w:cs="Times New Roman"/>
          <w:b/>
          <w:iCs/>
          <w:lang w:val="pt-BR"/>
        </w:rPr>
        <w:t>)</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Uma perda por redução ao valor recuperável existe quando o registro contábil de um ativo ou unidade geradora de caixa excede o seu valor recuperável, que corresponde ao maior montante entre o “valor justo menos custos de venda” e o “valor em uso”. O cálculo é baseado em informações disponíveis de “transações de venda de ativos similares” ou “preços de mercado menos custos adicionais” para descartar o ativo, e utiliza o modelo de fluxo de caixa descontado. Os fluxos de caixa derivam do orçamento até o final da concessão e não incluem atividades de reorganização com as quais o Grupo ainda não tenha se comprometido ou investimentos futuros significativos que melhorarão a base de ativos da unidade geradora de caixa objeto do teste. O valor recuperável é sensível à taxa de desconto utilizada no método de fluxo de caixa descontado, bem como </w:t>
      </w:r>
      <w:proofErr w:type="spellStart"/>
      <w:r w:rsidRPr="00316249">
        <w:rPr>
          <w:sz w:val="22"/>
          <w:szCs w:val="22"/>
        </w:rPr>
        <w:t>aos</w:t>
      </w:r>
      <w:proofErr w:type="spellEnd"/>
      <w:r w:rsidRPr="00316249">
        <w:rPr>
          <w:sz w:val="22"/>
          <w:szCs w:val="22"/>
        </w:rPr>
        <w:t xml:space="preserve"> recebimentos de caixa futuros esperados e à taxa de crescimento utilizada para fins de extrapolação (Nota Explicativa nº 2.15).</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Provisões</w:t>
      </w:r>
    </w:p>
    <w:p w:rsidR="00E9008A" w:rsidRPr="00316249" w:rsidRDefault="00E9008A" w:rsidP="00E9008A">
      <w:pPr>
        <w:pStyle w:val="PargrafodaLista"/>
        <w:numPr>
          <w:ilvl w:val="4"/>
          <w:numId w:val="23"/>
        </w:numPr>
        <w:ind w:left="1134" w:hanging="1134"/>
        <w:rPr>
          <w:rFonts w:ascii="Times New Roman" w:hAnsi="Times New Roman" w:cs="Times New Roman"/>
          <w:b/>
          <w:iCs/>
          <w:lang w:val="pt-BR"/>
        </w:rPr>
      </w:pPr>
      <w:r w:rsidRPr="00316249">
        <w:rPr>
          <w:rFonts w:ascii="Times New Roman" w:hAnsi="Times New Roman" w:cs="Times New Roman"/>
          <w:b/>
          <w:iCs/>
          <w:lang w:val="pt-BR"/>
        </w:rPr>
        <w:t>Provisões para riscos tributários, trabalhistas, cíveis e regulatórios</w:t>
      </w:r>
    </w:p>
    <w:p w:rsidR="00E9008A" w:rsidRPr="00605D00" w:rsidRDefault="00E9008A" w:rsidP="00E9008A">
      <w:pPr>
        <w:widowControl w:val="0"/>
        <w:tabs>
          <w:tab w:val="left" w:pos="1134"/>
        </w:tabs>
        <w:spacing w:before="240" w:after="240" w:line="245" w:lineRule="auto"/>
        <w:jc w:val="both"/>
        <w:rPr>
          <w:sz w:val="22"/>
          <w:szCs w:val="22"/>
        </w:rPr>
      </w:pPr>
      <w:r w:rsidRPr="00605D00">
        <w:rPr>
          <w:sz w:val="22"/>
          <w:szCs w:val="22"/>
        </w:rPr>
        <w:t>Uma provisão é reconhecida no balanço patrimonial quando a Companhia ou suas controladas e coligadas possui uma obrigação presente (legal ou construtiva) como resultado de um evento passado, e é provável que um recurso econômico seja requerido para liquidar a obrigação. As provisões são registradas tendo como base as melhores estimativas do risco envolvido.</w:t>
      </w:r>
    </w:p>
    <w:p w:rsidR="00E9008A" w:rsidRPr="00605D00" w:rsidRDefault="00E9008A" w:rsidP="00E9008A">
      <w:pPr>
        <w:widowControl w:val="0"/>
        <w:tabs>
          <w:tab w:val="left" w:pos="1134"/>
        </w:tabs>
        <w:spacing w:before="240" w:after="240" w:line="245" w:lineRule="auto"/>
        <w:jc w:val="both"/>
        <w:rPr>
          <w:sz w:val="22"/>
          <w:szCs w:val="22"/>
        </w:rPr>
      </w:pPr>
      <w:r w:rsidRPr="00605D00">
        <w:rPr>
          <w:sz w:val="22"/>
          <w:szCs w:val="22"/>
        </w:rPr>
        <w:t>O Grupo é parte em diversos processos judiciais e administrativos. Provisões para riscos tributários, trabalhistas, cíveis e regulatórios são constituídas para todos os processos com os quais seja provável uma saída de recursos para liquidar a obrigação e uma estimativa razoável possa ser efetuada. A avaliação da probabilidade de perda, por parte dos consultores legais da Companhia e de suas controladas e coligadas, inclui a avaliação das evidências disponíveis; a hierarquia das leis; as jurisprudências; as decisões mais recentes nos tribunais; e a sua relevância no ordenamento jurídico, bem como a avaliação dos advogados externos e internos.</w:t>
      </w:r>
    </w:p>
    <w:p w:rsidR="00E9008A" w:rsidRPr="00605D00" w:rsidRDefault="00E9008A" w:rsidP="00E9008A">
      <w:pPr>
        <w:widowControl w:val="0"/>
        <w:tabs>
          <w:tab w:val="left" w:pos="1134"/>
        </w:tabs>
        <w:spacing w:before="240" w:after="240" w:line="245" w:lineRule="auto"/>
        <w:jc w:val="both"/>
        <w:rPr>
          <w:sz w:val="22"/>
          <w:szCs w:val="22"/>
        </w:rPr>
      </w:pPr>
      <w:r w:rsidRPr="00605D00">
        <w:rPr>
          <w:sz w:val="22"/>
          <w:szCs w:val="22"/>
        </w:rPr>
        <w:t>As provisões são revisadas e ajustadas para considerar alterações nas circunstâncias, tais como prazo de prescrição aplicável, conclusões de inspeções físicas ou exposições adicionais identificadas com base em novos assuntos ou decisões de tribunais.</w:t>
      </w:r>
    </w:p>
    <w:p w:rsidR="00E9008A" w:rsidRPr="009B7673" w:rsidRDefault="00E9008A" w:rsidP="00E9008A">
      <w:pPr>
        <w:widowControl w:val="0"/>
        <w:tabs>
          <w:tab w:val="left" w:pos="1134"/>
        </w:tabs>
        <w:spacing w:before="240" w:after="240" w:line="245" w:lineRule="auto"/>
        <w:jc w:val="both"/>
        <w:rPr>
          <w:sz w:val="22"/>
          <w:szCs w:val="22"/>
        </w:rPr>
      </w:pPr>
      <w:r w:rsidRPr="00605D00">
        <w:rPr>
          <w:sz w:val="22"/>
          <w:szCs w:val="22"/>
        </w:rPr>
        <w:t>A liquidação das transações envolvendo essas estimativas poderá resultar em valores significativamente divergentes dos registrados nas demonstrações financeiras, devido às imprecisões inerentes ao processo de sua determinação. A Administração do Grupo revisa suas estimativas e premissas em bases mensais. Informações adicionais estão divulgadas na Nota Explicativa nº 26.</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Benefícios a empregados</w:t>
      </w:r>
    </w:p>
    <w:p w:rsidR="00E9008A" w:rsidRPr="00316249" w:rsidRDefault="00E9008A" w:rsidP="00E9008A">
      <w:pPr>
        <w:pStyle w:val="PargrafodaLista"/>
        <w:numPr>
          <w:ilvl w:val="4"/>
          <w:numId w:val="23"/>
        </w:numPr>
        <w:ind w:left="1134" w:hanging="1134"/>
        <w:rPr>
          <w:rFonts w:ascii="Times New Roman" w:hAnsi="Times New Roman" w:cs="Times New Roman"/>
          <w:b/>
          <w:iCs/>
          <w:lang w:val="pt-BR"/>
        </w:rPr>
      </w:pPr>
      <w:r w:rsidRPr="00316249">
        <w:rPr>
          <w:rFonts w:ascii="Times New Roman" w:hAnsi="Times New Roman" w:cs="Times New Roman"/>
          <w:b/>
          <w:iCs/>
          <w:lang w:val="pt-BR"/>
        </w:rPr>
        <w:lastRenderedPageBreak/>
        <w:t>Benefícios de curto prazo</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Obrigações de benefícios de curto prazo a empregados são mensuradas em uma base não descontada e são incorridas como despesas conforme o serviço relacionado seja prestado.</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O passivo é reconhecido pelo valor esperado a ser pago aos planos de bonificação, em espécie ou em participação nos lucros de curto prazo, se a Companhia ou suas controladas e coligadas têm uma obrigação, em função de serviço prestado pelo empregado, que possa ser estimada de maneira confiável.</w:t>
      </w:r>
    </w:p>
    <w:p w:rsidR="00E9008A" w:rsidRPr="00316249" w:rsidRDefault="00E9008A" w:rsidP="00E9008A">
      <w:pPr>
        <w:pStyle w:val="PargrafodaLista"/>
        <w:numPr>
          <w:ilvl w:val="4"/>
          <w:numId w:val="23"/>
        </w:numPr>
        <w:ind w:left="1134" w:hanging="1134"/>
        <w:rPr>
          <w:rFonts w:ascii="Times New Roman" w:hAnsi="Times New Roman" w:cs="Times New Roman"/>
          <w:b/>
          <w:iCs/>
          <w:lang w:val="pt-BR"/>
        </w:rPr>
      </w:pPr>
      <w:r w:rsidRPr="00316249">
        <w:rPr>
          <w:rFonts w:ascii="Times New Roman" w:hAnsi="Times New Roman" w:cs="Times New Roman"/>
          <w:b/>
          <w:iCs/>
          <w:lang w:val="pt-BR"/>
        </w:rPr>
        <w:t>Benefícios pós-emprego</w:t>
      </w:r>
    </w:p>
    <w:p w:rsidR="00E9008A" w:rsidRPr="00316249" w:rsidRDefault="00E9008A" w:rsidP="00E9008A">
      <w:pPr>
        <w:pStyle w:val="Corpodetexto"/>
        <w:spacing w:before="240" w:after="240"/>
        <w:rPr>
          <w:rFonts w:ascii="Times New Roman" w:hAnsi="Times New Roman" w:cs="Times New Roman"/>
          <w:b w:val="0"/>
          <w:bCs w:val="0"/>
          <w:color w:val="000000"/>
          <w:sz w:val="22"/>
          <w:szCs w:val="22"/>
        </w:rPr>
      </w:pPr>
      <w:r w:rsidRPr="00316249">
        <w:rPr>
          <w:rFonts w:ascii="Times New Roman" w:hAnsi="Times New Roman" w:cs="Times New Roman"/>
          <w:b w:val="0"/>
          <w:bCs w:val="0"/>
          <w:color w:val="000000"/>
          <w:sz w:val="22"/>
          <w:szCs w:val="22"/>
        </w:rPr>
        <w:t xml:space="preserve">A Companhia e suas controladas, em especial a CEB-D (“Patrocinadoras”), patrocinam planos de benefícios suplementares de aposentadoria e pensão para seus empregados, </w:t>
      </w:r>
      <w:proofErr w:type="spellStart"/>
      <w:r w:rsidRPr="00316249">
        <w:rPr>
          <w:rFonts w:ascii="Times New Roman" w:hAnsi="Times New Roman" w:cs="Times New Roman"/>
          <w:b w:val="0"/>
          <w:bCs w:val="0"/>
          <w:color w:val="000000"/>
          <w:sz w:val="22"/>
          <w:szCs w:val="22"/>
        </w:rPr>
        <w:t>ex-empregados</w:t>
      </w:r>
      <w:proofErr w:type="spellEnd"/>
      <w:r w:rsidRPr="00316249">
        <w:rPr>
          <w:rFonts w:ascii="Times New Roman" w:hAnsi="Times New Roman" w:cs="Times New Roman"/>
          <w:b w:val="0"/>
          <w:bCs w:val="0"/>
          <w:color w:val="000000"/>
          <w:sz w:val="22"/>
          <w:szCs w:val="22"/>
        </w:rPr>
        <w:t xml:space="preserve"> e respectivos beneficiários, com o objetivo de suplementar os benefícios garantidos pelo sistema oficial da previdência social. As patrocinadoras concedem, também, determinados benefícios de assistência à saúde pós-emprego para seus empregados, </w:t>
      </w:r>
      <w:proofErr w:type="spellStart"/>
      <w:r w:rsidRPr="00316249">
        <w:rPr>
          <w:rFonts w:ascii="Times New Roman" w:hAnsi="Times New Roman" w:cs="Times New Roman"/>
          <w:b w:val="0"/>
          <w:bCs w:val="0"/>
          <w:color w:val="000000"/>
          <w:sz w:val="22"/>
          <w:szCs w:val="22"/>
        </w:rPr>
        <w:t>ex-empregados</w:t>
      </w:r>
      <w:proofErr w:type="spellEnd"/>
      <w:r w:rsidRPr="00316249">
        <w:rPr>
          <w:rFonts w:ascii="Times New Roman" w:hAnsi="Times New Roman" w:cs="Times New Roman"/>
          <w:b w:val="0"/>
          <w:bCs w:val="0"/>
          <w:color w:val="000000"/>
          <w:sz w:val="22"/>
          <w:szCs w:val="22"/>
        </w:rPr>
        <w:t xml:space="preserve"> e respectivos beneficiários – Plano Assistencial (Nota Explicativa nº 25).</w:t>
      </w:r>
    </w:p>
    <w:p w:rsidR="00E9008A" w:rsidRPr="00316249" w:rsidRDefault="00E9008A" w:rsidP="00E9008A">
      <w:pPr>
        <w:pStyle w:val="Corpodetexto"/>
        <w:spacing w:before="240" w:after="240"/>
        <w:rPr>
          <w:rFonts w:ascii="Times New Roman" w:hAnsi="Times New Roman" w:cs="Times New Roman"/>
          <w:b w:val="0"/>
          <w:bCs w:val="0"/>
          <w:color w:val="000000"/>
          <w:sz w:val="22"/>
          <w:szCs w:val="22"/>
        </w:rPr>
      </w:pPr>
      <w:r w:rsidRPr="00316249">
        <w:rPr>
          <w:rFonts w:ascii="Times New Roman" w:hAnsi="Times New Roman" w:cs="Times New Roman"/>
          <w:b w:val="0"/>
          <w:bCs w:val="0"/>
          <w:color w:val="000000"/>
          <w:sz w:val="22"/>
          <w:szCs w:val="22"/>
        </w:rPr>
        <w:t>O plano de aposentadoria na modalidade benefício definido tem o custo da concessão dos benefícios determinados pelo Método da Unidade de Crédito Projetada, líquido dos ativos garantidores do plano, com base em avaliação atuarial externa realizada anualmente no final de cada exercício. A avaliação atuarial é elaborada com base em premissas e projeções de taxas de juros, inflação, aumentos dos benefícios, expectativa de vida etc. Essas premissas e projeções são revisadas em bases trimestrais ao final de cada período.</w:t>
      </w:r>
    </w:p>
    <w:p w:rsidR="00E9008A" w:rsidRPr="00316249" w:rsidRDefault="00E9008A" w:rsidP="00E9008A">
      <w:pPr>
        <w:autoSpaceDE w:val="0"/>
        <w:autoSpaceDN w:val="0"/>
        <w:adjustRightInd w:val="0"/>
        <w:spacing w:before="240" w:after="240"/>
        <w:jc w:val="both"/>
        <w:rPr>
          <w:bCs/>
          <w:color w:val="000000"/>
          <w:sz w:val="22"/>
          <w:szCs w:val="22"/>
        </w:rPr>
      </w:pPr>
      <w:r w:rsidRPr="00316249">
        <w:rPr>
          <w:bCs/>
          <w:color w:val="000000"/>
          <w:sz w:val="22"/>
          <w:szCs w:val="22"/>
        </w:rPr>
        <w:t xml:space="preserve">O custeio dos benefícios concedidos pelos planos de benefícios definidos é estabelecido separadamente para cada plano, utilizando o método do crédito unitário projetado. </w:t>
      </w:r>
      <w:r w:rsidRPr="00316249">
        <w:rPr>
          <w:sz w:val="22"/>
          <w:szCs w:val="22"/>
        </w:rPr>
        <w:t xml:space="preserve">Os ganhos e perdas auferidos na avaliação atuarial dos benefícios gerados por alterações nas premissas, compromissos atuariais sobre o passivo atuarial são contabilizados no patrimônio líquido em conta denominada “ajustes de avaliação patrimonial” (resultado abrangente), conforme requerido pelo CPC 33 (R1) – Benefícios a Empregados. </w:t>
      </w:r>
      <w:r w:rsidRPr="00316249">
        <w:rPr>
          <w:bCs/>
          <w:color w:val="000000"/>
          <w:sz w:val="22"/>
          <w:szCs w:val="22"/>
        </w:rPr>
        <w:t>Esses ganhos ou perdas são reconhecidos ao longo do tempo de serviço médio de trabalho remanescente esperado dos funcionários que participam do plano.</w:t>
      </w:r>
    </w:p>
    <w:p w:rsidR="00E9008A" w:rsidRPr="00316249" w:rsidRDefault="00E9008A" w:rsidP="00E9008A">
      <w:pPr>
        <w:pStyle w:val="Corpodetexto"/>
        <w:spacing w:before="240" w:after="240"/>
        <w:rPr>
          <w:rFonts w:ascii="Times New Roman" w:hAnsi="Times New Roman" w:cs="Times New Roman"/>
          <w:b w:val="0"/>
          <w:bCs w:val="0"/>
          <w:color w:val="000000"/>
          <w:sz w:val="22"/>
          <w:szCs w:val="22"/>
        </w:rPr>
      </w:pPr>
      <w:r w:rsidRPr="00316249">
        <w:rPr>
          <w:rFonts w:ascii="Times New Roman" w:hAnsi="Times New Roman" w:cs="Times New Roman"/>
          <w:b w:val="0"/>
          <w:bCs w:val="0"/>
          <w:color w:val="000000"/>
          <w:sz w:val="22"/>
          <w:szCs w:val="22"/>
        </w:rPr>
        <w:t>O ativo ou o passivo de planos de benefício definido a ser reconhecido nas demonstrações financeiras corresponde ao valor presente da obrigação pelo benefício definido (utilizando uma taxa de desconto com base em títulos públicos de longo prazo), menos custos de serviços passados ainda não reconhecidos; e valor justo dos ativos do plano que será usado para liquidar as obrigações.</w:t>
      </w:r>
    </w:p>
    <w:p w:rsidR="00E9008A" w:rsidRPr="00316249" w:rsidRDefault="00E9008A" w:rsidP="00E9008A">
      <w:pPr>
        <w:pStyle w:val="Corpodetexto"/>
        <w:spacing w:before="240" w:after="240"/>
        <w:rPr>
          <w:rFonts w:ascii="Times New Roman" w:hAnsi="Times New Roman" w:cs="Times New Roman"/>
          <w:b w:val="0"/>
          <w:bCs w:val="0"/>
          <w:color w:val="000000"/>
          <w:sz w:val="22"/>
          <w:szCs w:val="22"/>
        </w:rPr>
      </w:pPr>
      <w:r w:rsidRPr="00316249">
        <w:rPr>
          <w:rFonts w:ascii="Times New Roman" w:hAnsi="Times New Roman" w:cs="Times New Roman"/>
          <w:b w:val="0"/>
          <w:bCs w:val="0"/>
          <w:color w:val="000000"/>
          <w:sz w:val="22"/>
          <w:szCs w:val="22"/>
        </w:rPr>
        <w:t>Os ativos do plano de benefício complementar são mantidos por uma entidade fechada de previdência complementar (Fundação de Previdência dos Empregados da CEB – FACEB). Os ativos do plano não estão disponíveis aos credores das Patrocinadoras e não podem ser pagos diretamente às Patrocinadoras. O valor justo se baseia em informações sobre preço de mercado. O valor de qualquer ativo de benefício definido reconhecido é limitado à soma de qualquer custo de serviço passado ainda não reconhecido e ao valor presente de qualquer benefício econômico disponível na forma de reduções nas contribuições patronais futuras do plano.</w:t>
      </w:r>
    </w:p>
    <w:p w:rsidR="00E9008A" w:rsidRPr="00B033FB" w:rsidRDefault="00E9008A" w:rsidP="00E9008A">
      <w:pPr>
        <w:pStyle w:val="PargrafodaLista"/>
        <w:numPr>
          <w:ilvl w:val="3"/>
          <w:numId w:val="23"/>
        </w:numPr>
        <w:ind w:left="567" w:hanging="567"/>
        <w:rPr>
          <w:rFonts w:ascii="Times New Roman" w:hAnsi="Times New Roman" w:cs="Times New Roman"/>
          <w:b/>
          <w:iCs/>
          <w:lang w:val="pt-BR"/>
        </w:rPr>
      </w:pPr>
      <w:r w:rsidRPr="00B033FB">
        <w:rPr>
          <w:rFonts w:ascii="Times New Roman" w:hAnsi="Times New Roman" w:cs="Times New Roman"/>
          <w:b/>
          <w:iCs/>
          <w:lang w:val="pt-BR"/>
        </w:rPr>
        <w:t>Valor justo de instrumentos financeiros</w:t>
      </w:r>
    </w:p>
    <w:p w:rsidR="00E9008A" w:rsidRDefault="00E9008A" w:rsidP="00E9008A">
      <w:pPr>
        <w:widowControl w:val="0"/>
        <w:tabs>
          <w:tab w:val="left" w:pos="1134"/>
        </w:tabs>
        <w:spacing w:before="240" w:after="240" w:line="245" w:lineRule="auto"/>
        <w:jc w:val="both"/>
        <w:rPr>
          <w:sz w:val="22"/>
          <w:szCs w:val="22"/>
        </w:rPr>
      </w:pPr>
      <w:r w:rsidRPr="00316249">
        <w:rPr>
          <w:sz w:val="22"/>
          <w:szCs w:val="22"/>
        </w:rPr>
        <w:t xml:space="preserve">Quando o valor justo de ativos e passivos financeiros apresentados no balanço patrimonial não puder </w:t>
      </w:r>
      <w:r w:rsidRPr="00316249">
        <w:rPr>
          <w:sz w:val="22"/>
          <w:szCs w:val="22"/>
        </w:rPr>
        <w:lastRenderedPageBreak/>
        <w:t>ser obtido de mercados ativos, é determinado utilizando técnicas de avaliação, incluindo o método de fluxo de caixa descontado. Os dados para esses métodos se baseiam naqueles praticados no mercado, quando possível. Contudo, quando isso não for viável, um determinado nível de julgamento é requerido para estabelecer o valor justo. O julgamento inclui considerações sobre os dados utilizados como, por exemplo, risco de liquidez, risco de crédito e volatilidade. Mudanças nas premissas sobre esses fatores podem afetar o valor justo apresentado dos instrumentos financeiros (Nota Explicativa nº 4.3).</w:t>
      </w:r>
    </w:p>
    <w:p w:rsidR="00E9008A" w:rsidRPr="00B033FB" w:rsidRDefault="00E9008A" w:rsidP="00B033FB">
      <w:pPr>
        <w:pStyle w:val="PargrafodaLista"/>
        <w:numPr>
          <w:ilvl w:val="3"/>
          <w:numId w:val="23"/>
        </w:numPr>
        <w:ind w:left="567" w:hanging="567"/>
        <w:rPr>
          <w:rFonts w:ascii="Times New Roman" w:hAnsi="Times New Roman" w:cs="Times New Roman"/>
          <w:b/>
          <w:iCs/>
          <w:lang w:val="pt-BR"/>
        </w:rPr>
      </w:pPr>
      <w:r w:rsidRPr="00B033FB">
        <w:rPr>
          <w:rFonts w:ascii="Times New Roman" w:hAnsi="Times New Roman" w:cs="Times New Roman"/>
          <w:b/>
          <w:iCs/>
          <w:lang w:val="pt-BR"/>
        </w:rPr>
        <w:t>Depreciação de ativos tangíveis</w:t>
      </w:r>
    </w:p>
    <w:p w:rsidR="00E9008A" w:rsidRPr="00316249" w:rsidRDefault="00E9008A" w:rsidP="00E9008A">
      <w:pPr>
        <w:pStyle w:val="Default"/>
        <w:spacing w:before="240" w:after="240"/>
        <w:jc w:val="both"/>
        <w:rPr>
          <w:rFonts w:ascii="Times New Roman" w:hAnsi="Times New Roman" w:cs="Times New Roman"/>
          <w:sz w:val="22"/>
          <w:szCs w:val="22"/>
        </w:rPr>
      </w:pPr>
      <w:r w:rsidRPr="00316249">
        <w:rPr>
          <w:rFonts w:ascii="Times New Roman" w:hAnsi="Times New Roman" w:cs="Times New Roman"/>
          <w:sz w:val="22"/>
          <w:szCs w:val="22"/>
        </w:rPr>
        <w:t>A depreciação é calculada pelo método linear, a taxas anuais variáveis de 2% a 20%, levando em consideração a vida útil estimada dos bens, conforme orientação e definição do Órgão Regulador. Os terrenos não são depreciados.</w:t>
      </w:r>
    </w:p>
    <w:p w:rsidR="00E9008A" w:rsidRPr="00316249" w:rsidRDefault="00E9008A" w:rsidP="00E9008A">
      <w:pPr>
        <w:spacing w:before="240" w:after="240"/>
        <w:jc w:val="both"/>
        <w:rPr>
          <w:sz w:val="22"/>
          <w:szCs w:val="22"/>
        </w:rPr>
      </w:pPr>
      <w:r w:rsidRPr="00316249">
        <w:rPr>
          <w:sz w:val="22"/>
          <w:szCs w:val="22"/>
        </w:rPr>
        <w:t>Itens do ativo imobilizado são depreciados a partir da data em que são instalados e estão disponíveis para uso, ou em caso de ativos construídos internamente, do dia em que a construção é finalizada e o ativo está disponível para utilização.</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As taxas de depreciação para os ativos de usinas hidrelétricas estão de acordo com a Resolução Normativa nº 474/2012-ANEEL. As novas taxas anuais de depreciação para os ativos em serviço foram estabelecidas, a partir de 1º de Janeiro de 2012, alterando as tabelas I e XVI do Manual de Controle Patrimonial do Setor Elétrico – MCPSE, aprovado pela Resolução Normativa nº 367/2009. </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Na </w:t>
      </w:r>
      <w:proofErr w:type="spellStart"/>
      <w:r w:rsidRPr="00316249">
        <w:rPr>
          <w:sz w:val="22"/>
          <w:szCs w:val="22"/>
        </w:rPr>
        <w:t>Investco</w:t>
      </w:r>
      <w:proofErr w:type="spellEnd"/>
      <w:r w:rsidRPr="00316249">
        <w:rPr>
          <w:sz w:val="22"/>
          <w:szCs w:val="22"/>
        </w:rPr>
        <w:t xml:space="preserve"> S.A., as taxas de depreciação refletem a vida útil dos ativos e são as utilizadas para a depreciação dos seus ativos imobilizados. O valor residual é o saldo remanescente do ativo ao final da concessão, pois, conforme estabelecido em contrato firmado entre a Geradora e a União. Ao final da concessão os ativos serão revertidos para a União que, por sua vez, indenizará a Geradora pelos ativos ainda não totalmente depreciados. A Administração entende que existe o direito à indenização do valor residual dos bens vinculados e reversíveis, suportada por seus assessores legais e considerando os fatos e circunstâncias disponíveis no momento. Eventuais alterações serão acompanhadas, bem como analisados os seus impactos, se existentes.</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 xml:space="preserve">Os métodos de depreciação, as vidas úteis e os valores residuais serão revistos a cada encerramento de exercício financeiro e eventuais ajustes são reconhecidos como mudança de estimativas contábeis (Nota Explicativa nº 15). </w:t>
      </w:r>
    </w:p>
    <w:p w:rsidR="00E9008A" w:rsidRPr="00B033FB" w:rsidRDefault="00E9008A" w:rsidP="00B033FB">
      <w:pPr>
        <w:pStyle w:val="PargrafodaLista"/>
        <w:numPr>
          <w:ilvl w:val="3"/>
          <w:numId w:val="23"/>
        </w:numPr>
        <w:ind w:left="567" w:hanging="567"/>
        <w:rPr>
          <w:rFonts w:ascii="Times New Roman" w:hAnsi="Times New Roman" w:cs="Times New Roman"/>
          <w:b/>
          <w:iCs/>
          <w:lang w:val="pt-BR"/>
        </w:rPr>
      </w:pPr>
      <w:r w:rsidRPr="00B033FB">
        <w:rPr>
          <w:rFonts w:ascii="Times New Roman" w:hAnsi="Times New Roman" w:cs="Times New Roman"/>
          <w:b/>
          <w:iCs/>
          <w:lang w:val="pt-BR"/>
        </w:rPr>
        <w:t>Amortização de ativos intangíveis</w:t>
      </w:r>
    </w:p>
    <w:p w:rsidR="00E9008A" w:rsidRPr="00316249" w:rsidRDefault="00E9008A" w:rsidP="00E9008A">
      <w:pPr>
        <w:widowControl w:val="0"/>
        <w:autoSpaceDE w:val="0"/>
        <w:autoSpaceDN w:val="0"/>
        <w:adjustRightInd w:val="0"/>
        <w:spacing w:before="240" w:after="240"/>
        <w:ind w:right="-15"/>
        <w:jc w:val="both"/>
        <w:rPr>
          <w:rFonts w:eastAsia="Arial Unicode MS"/>
          <w:sz w:val="22"/>
          <w:szCs w:val="22"/>
        </w:rPr>
      </w:pPr>
      <w:r w:rsidRPr="00316249">
        <w:rPr>
          <w:rFonts w:eastAsia="Arial Unicode MS"/>
          <w:sz w:val="22"/>
          <w:szCs w:val="22"/>
        </w:rPr>
        <w:t xml:space="preserve">A amortização é reconhecida no resultado baseando-se no método linear de acordo com as vidas úteis estimadas de ativos intangíveis, a partir da data em que estes estão disponíveis para uso. </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Métodos de amortização, vidas úteis e valores residuais são revistos a cada encerramento de exercício financeiro e ajustados caso seja adequado (Nota Explicativa nº 16).</w:t>
      </w:r>
    </w:p>
    <w:p w:rsidR="00E9008A" w:rsidRPr="00B033FB" w:rsidRDefault="00E9008A" w:rsidP="00E9008A">
      <w:pPr>
        <w:pStyle w:val="PargrafodaLista"/>
        <w:numPr>
          <w:ilvl w:val="1"/>
          <w:numId w:val="23"/>
        </w:numPr>
        <w:spacing w:before="240" w:after="240"/>
        <w:ind w:hanging="574"/>
        <w:jc w:val="both"/>
        <w:rPr>
          <w:rFonts w:ascii="Times New Roman" w:hAnsi="Times New Roman" w:cs="Times New Roman"/>
          <w:b/>
          <w:bCs/>
          <w:lang w:val="pt-BR"/>
        </w:rPr>
      </w:pPr>
      <w:r w:rsidRPr="00B033FB">
        <w:rPr>
          <w:rFonts w:ascii="Times New Roman" w:hAnsi="Times New Roman" w:cs="Times New Roman"/>
          <w:b/>
          <w:bCs/>
          <w:lang w:val="pt-BR"/>
        </w:rPr>
        <w:t>Consolidação das Demonstrações Financeiras e Contabilização de Investimentos Societários</w:t>
      </w:r>
    </w:p>
    <w:p w:rsidR="00E9008A" w:rsidRPr="00316249"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316249">
        <w:rPr>
          <w:rFonts w:ascii="Times New Roman" w:hAnsi="Times New Roman" w:cs="Times New Roman"/>
          <w:b/>
          <w:bCs/>
          <w:lang w:val="pt-BR"/>
        </w:rPr>
        <w:t>Participações societárias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lastRenderedPageBreak/>
        <w:t>As participações societárias da CEB em sociedades controladas, controladas em conjunto e coligadas estão representadas conforme quadro a seguir:</w:t>
      </w:r>
    </w:p>
    <w:tbl>
      <w:tblPr>
        <w:tblW w:w="5000" w:type="pct"/>
        <w:tblLayout w:type="fixed"/>
        <w:tblCellMar>
          <w:left w:w="70" w:type="dxa"/>
          <w:right w:w="70" w:type="dxa"/>
        </w:tblCellMar>
        <w:tblLook w:val="04A0" w:firstRow="1" w:lastRow="0" w:firstColumn="1" w:lastColumn="0" w:noHBand="0" w:noVBand="1"/>
      </w:tblPr>
      <w:tblGrid>
        <w:gridCol w:w="4997"/>
        <w:gridCol w:w="1656"/>
        <w:gridCol w:w="1245"/>
        <w:gridCol w:w="1313"/>
      </w:tblGrid>
      <w:tr w:rsidR="00E9008A" w:rsidRPr="00316249" w:rsidTr="005B7D01">
        <w:trPr>
          <w:trHeight w:val="238"/>
          <w:tblHeader/>
        </w:trPr>
        <w:tc>
          <w:tcPr>
            <w:tcW w:w="2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rFonts w:eastAsia="Arial Unicode MS"/>
                <w:b/>
                <w:bCs/>
                <w:color w:val="000000"/>
                <w:sz w:val="18"/>
                <w:szCs w:val="18"/>
              </w:rPr>
              <w:t>Investidas</w:t>
            </w: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Atividade</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31/12/2016</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31/12/2015</w:t>
            </w:r>
          </w:p>
        </w:tc>
      </w:tr>
      <w:tr w:rsidR="00E9008A" w:rsidRPr="00316249" w:rsidTr="005B7D01">
        <w:trPr>
          <w:trHeight w:val="238"/>
        </w:trPr>
        <w:tc>
          <w:tcPr>
            <w:tcW w:w="2712" w:type="pct"/>
            <w:tcBorders>
              <w:top w:val="single" w:sz="4" w:space="0" w:color="auto"/>
              <w:left w:val="single" w:sz="4" w:space="0" w:color="auto"/>
              <w:right w:val="single" w:sz="4" w:space="0" w:color="auto"/>
            </w:tcBorders>
            <w:shd w:val="clear" w:color="auto" w:fill="auto"/>
            <w:noWrap/>
            <w:vAlign w:val="center"/>
            <w:hideMark/>
          </w:tcPr>
          <w:p w:rsidR="00E9008A" w:rsidRPr="00316249" w:rsidRDefault="00E9008A" w:rsidP="005B7D01">
            <w:pPr>
              <w:jc w:val="both"/>
              <w:rPr>
                <w:b/>
                <w:bCs/>
                <w:color w:val="000000"/>
                <w:sz w:val="18"/>
                <w:szCs w:val="18"/>
              </w:rPr>
            </w:pPr>
            <w:r w:rsidRPr="00316249">
              <w:rPr>
                <w:b/>
                <w:bCs/>
                <w:color w:val="000000"/>
                <w:sz w:val="18"/>
                <w:szCs w:val="18"/>
              </w:rPr>
              <w:t>Participações diretas</w:t>
            </w:r>
          </w:p>
        </w:tc>
        <w:tc>
          <w:tcPr>
            <w:tcW w:w="899"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676"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713"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2712" w:type="pct"/>
            <w:tcBorders>
              <w:left w:val="single" w:sz="4" w:space="0" w:color="auto"/>
              <w:right w:val="single" w:sz="4" w:space="0" w:color="auto"/>
            </w:tcBorders>
            <w:shd w:val="clear" w:color="auto" w:fill="auto"/>
            <w:noWrap/>
            <w:vAlign w:val="center"/>
            <w:hideMark/>
          </w:tcPr>
          <w:p w:rsidR="00E9008A" w:rsidRPr="00316249" w:rsidRDefault="00E9008A" w:rsidP="005B7D01">
            <w:pPr>
              <w:jc w:val="both"/>
              <w:rPr>
                <w:b/>
                <w:bCs/>
                <w:color w:val="000000"/>
                <w:sz w:val="18"/>
                <w:szCs w:val="18"/>
              </w:rPr>
            </w:pPr>
            <w:r w:rsidRPr="00316249">
              <w:rPr>
                <w:b/>
                <w:bCs/>
                <w:color w:val="000000"/>
                <w:sz w:val="18"/>
                <w:szCs w:val="18"/>
              </w:rPr>
              <w:t>Em Controladas</w:t>
            </w:r>
          </w:p>
        </w:tc>
        <w:tc>
          <w:tcPr>
            <w:tcW w:w="899" w:type="pct"/>
            <w:tcBorders>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676" w:type="pct"/>
            <w:tcBorders>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713" w:type="pct"/>
            <w:tcBorders>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r>
      <w:tr w:rsidR="00E9008A" w:rsidRPr="00316249" w:rsidTr="005B7D01">
        <w:trPr>
          <w:trHeight w:val="238"/>
        </w:trPr>
        <w:tc>
          <w:tcPr>
            <w:tcW w:w="2712" w:type="pct"/>
            <w:tcBorders>
              <w:left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CEB Distribuição S.A.</w:t>
            </w:r>
          </w:p>
        </w:tc>
        <w:tc>
          <w:tcPr>
            <w:tcW w:w="899" w:type="pct"/>
            <w:tcBorders>
              <w:left w:val="nil"/>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Distribuição</w:t>
            </w:r>
          </w:p>
        </w:tc>
        <w:tc>
          <w:tcPr>
            <w:tcW w:w="676"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100,00%</w:t>
            </w:r>
          </w:p>
        </w:tc>
        <w:tc>
          <w:tcPr>
            <w:tcW w:w="713"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100,00%</w:t>
            </w:r>
          </w:p>
        </w:tc>
      </w:tr>
      <w:tr w:rsidR="00E9008A" w:rsidRPr="00316249" w:rsidTr="005B7D01">
        <w:trPr>
          <w:trHeight w:val="238"/>
        </w:trPr>
        <w:tc>
          <w:tcPr>
            <w:tcW w:w="2712" w:type="pct"/>
            <w:tcBorders>
              <w:left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CEB Geração S.A.</w:t>
            </w:r>
          </w:p>
        </w:tc>
        <w:tc>
          <w:tcPr>
            <w:tcW w:w="899" w:type="pct"/>
            <w:tcBorders>
              <w:left w:val="nil"/>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Geração</w:t>
            </w:r>
          </w:p>
        </w:tc>
        <w:tc>
          <w:tcPr>
            <w:tcW w:w="676"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100,00%</w:t>
            </w:r>
          </w:p>
        </w:tc>
        <w:tc>
          <w:tcPr>
            <w:tcW w:w="713"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100,00%</w:t>
            </w:r>
          </w:p>
        </w:tc>
      </w:tr>
      <w:tr w:rsidR="00E9008A" w:rsidRPr="00316249" w:rsidTr="005B7D01">
        <w:trPr>
          <w:trHeight w:val="238"/>
        </w:trPr>
        <w:tc>
          <w:tcPr>
            <w:tcW w:w="2712" w:type="pct"/>
            <w:tcBorders>
              <w:left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CEB Participação S.A.</w:t>
            </w:r>
          </w:p>
        </w:tc>
        <w:tc>
          <w:tcPr>
            <w:tcW w:w="899" w:type="pct"/>
            <w:tcBorders>
              <w:left w:val="nil"/>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Comercialização</w:t>
            </w:r>
          </w:p>
        </w:tc>
        <w:tc>
          <w:tcPr>
            <w:tcW w:w="676"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100,00%</w:t>
            </w:r>
          </w:p>
        </w:tc>
        <w:tc>
          <w:tcPr>
            <w:tcW w:w="713"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100,00%</w:t>
            </w:r>
          </w:p>
        </w:tc>
      </w:tr>
      <w:tr w:rsidR="00E9008A" w:rsidRPr="00316249" w:rsidTr="005B7D01">
        <w:trPr>
          <w:trHeight w:val="238"/>
        </w:trPr>
        <w:tc>
          <w:tcPr>
            <w:tcW w:w="2712" w:type="pct"/>
            <w:tcBorders>
              <w:left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CEB Lajeado S.A.</w:t>
            </w:r>
          </w:p>
        </w:tc>
        <w:tc>
          <w:tcPr>
            <w:tcW w:w="899" w:type="pct"/>
            <w:tcBorders>
              <w:left w:val="nil"/>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Comercialização</w:t>
            </w:r>
          </w:p>
        </w:tc>
        <w:tc>
          <w:tcPr>
            <w:tcW w:w="676"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59,93%</w:t>
            </w:r>
          </w:p>
        </w:tc>
        <w:tc>
          <w:tcPr>
            <w:tcW w:w="713" w:type="pct"/>
            <w:tcBorders>
              <w:left w:val="nil"/>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59,93%</w:t>
            </w:r>
          </w:p>
        </w:tc>
      </w:tr>
      <w:tr w:rsidR="00E9008A" w:rsidRPr="00316249" w:rsidTr="005B7D01">
        <w:trPr>
          <w:trHeight w:val="238"/>
        </w:trPr>
        <w:tc>
          <w:tcPr>
            <w:tcW w:w="2712" w:type="pct"/>
            <w:tcBorders>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Companhia Brasiliense de Gás S.A.</w:t>
            </w:r>
          </w:p>
        </w:tc>
        <w:tc>
          <w:tcPr>
            <w:tcW w:w="899"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Gás</w:t>
            </w:r>
          </w:p>
        </w:tc>
        <w:tc>
          <w:tcPr>
            <w:tcW w:w="676"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17,00%</w:t>
            </w:r>
          </w:p>
        </w:tc>
        <w:tc>
          <w:tcPr>
            <w:tcW w:w="713"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17,00%</w:t>
            </w:r>
          </w:p>
        </w:tc>
      </w:tr>
      <w:tr w:rsidR="00E9008A" w:rsidRPr="00316249" w:rsidTr="005B7D01">
        <w:trPr>
          <w:trHeight w:val="238"/>
        </w:trPr>
        <w:tc>
          <w:tcPr>
            <w:tcW w:w="2712" w:type="pct"/>
            <w:tcBorders>
              <w:top w:val="single" w:sz="4" w:space="0" w:color="auto"/>
              <w:left w:val="single" w:sz="4" w:space="0" w:color="auto"/>
              <w:right w:val="single" w:sz="4" w:space="0" w:color="auto"/>
            </w:tcBorders>
            <w:shd w:val="clear" w:color="auto" w:fill="auto"/>
            <w:noWrap/>
            <w:vAlign w:val="center"/>
            <w:hideMark/>
          </w:tcPr>
          <w:p w:rsidR="00E9008A" w:rsidRPr="00316249" w:rsidRDefault="00E9008A" w:rsidP="005B7D01">
            <w:pPr>
              <w:jc w:val="both"/>
              <w:rPr>
                <w:b/>
                <w:bCs/>
                <w:color w:val="000000"/>
                <w:sz w:val="18"/>
                <w:szCs w:val="18"/>
              </w:rPr>
            </w:pPr>
            <w:r w:rsidRPr="00316249">
              <w:rPr>
                <w:b/>
                <w:bCs/>
                <w:color w:val="000000"/>
                <w:sz w:val="18"/>
                <w:szCs w:val="18"/>
              </w:rPr>
              <w:t>Em Controlada em Conjunto</w:t>
            </w:r>
          </w:p>
        </w:tc>
        <w:tc>
          <w:tcPr>
            <w:tcW w:w="899"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676"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713"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r>
      <w:tr w:rsidR="00E9008A" w:rsidRPr="00316249" w:rsidTr="005B7D01">
        <w:trPr>
          <w:trHeight w:val="238"/>
        </w:trPr>
        <w:tc>
          <w:tcPr>
            <w:tcW w:w="2712" w:type="pct"/>
            <w:tcBorders>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Energética Corumbá III S.A.</w:t>
            </w:r>
          </w:p>
        </w:tc>
        <w:tc>
          <w:tcPr>
            <w:tcW w:w="899"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Geração</w:t>
            </w:r>
          </w:p>
        </w:tc>
        <w:tc>
          <w:tcPr>
            <w:tcW w:w="676"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37,50%</w:t>
            </w:r>
          </w:p>
        </w:tc>
        <w:tc>
          <w:tcPr>
            <w:tcW w:w="713"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37,50%</w:t>
            </w:r>
          </w:p>
        </w:tc>
      </w:tr>
      <w:tr w:rsidR="00E9008A" w:rsidRPr="00316249" w:rsidTr="005B7D01">
        <w:trPr>
          <w:trHeight w:val="238"/>
        </w:trPr>
        <w:tc>
          <w:tcPr>
            <w:tcW w:w="2712" w:type="pct"/>
            <w:tcBorders>
              <w:top w:val="single" w:sz="4" w:space="0" w:color="auto"/>
              <w:left w:val="single" w:sz="4" w:space="0" w:color="auto"/>
              <w:right w:val="single" w:sz="4" w:space="0" w:color="auto"/>
            </w:tcBorders>
            <w:shd w:val="clear" w:color="auto" w:fill="auto"/>
            <w:noWrap/>
            <w:vAlign w:val="center"/>
            <w:hideMark/>
          </w:tcPr>
          <w:p w:rsidR="00E9008A" w:rsidRPr="00316249" w:rsidRDefault="00E9008A" w:rsidP="005B7D01">
            <w:pPr>
              <w:jc w:val="both"/>
              <w:rPr>
                <w:b/>
                <w:bCs/>
                <w:color w:val="000000"/>
                <w:sz w:val="18"/>
                <w:szCs w:val="18"/>
              </w:rPr>
            </w:pPr>
            <w:r w:rsidRPr="00316249">
              <w:rPr>
                <w:b/>
                <w:bCs/>
                <w:color w:val="000000"/>
                <w:sz w:val="18"/>
                <w:szCs w:val="18"/>
              </w:rPr>
              <w:t>Em Coligada</w:t>
            </w:r>
          </w:p>
        </w:tc>
        <w:tc>
          <w:tcPr>
            <w:tcW w:w="899"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676"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713"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r>
      <w:tr w:rsidR="00E9008A" w:rsidRPr="00316249" w:rsidTr="005B7D01">
        <w:trPr>
          <w:trHeight w:val="238"/>
        </w:trPr>
        <w:tc>
          <w:tcPr>
            <w:tcW w:w="2712" w:type="pct"/>
            <w:tcBorders>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Corumbá Concessões S.A.</w:t>
            </w:r>
          </w:p>
        </w:tc>
        <w:tc>
          <w:tcPr>
            <w:tcW w:w="899"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Geração</w:t>
            </w:r>
          </w:p>
        </w:tc>
        <w:tc>
          <w:tcPr>
            <w:tcW w:w="676"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47,57%</w:t>
            </w:r>
          </w:p>
        </w:tc>
        <w:tc>
          <w:tcPr>
            <w:tcW w:w="713"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47,57%</w:t>
            </w:r>
          </w:p>
        </w:tc>
      </w:tr>
      <w:tr w:rsidR="00E9008A" w:rsidRPr="00316249" w:rsidTr="005B7D01">
        <w:trPr>
          <w:trHeight w:val="238"/>
        </w:trPr>
        <w:tc>
          <w:tcPr>
            <w:tcW w:w="2712" w:type="pct"/>
            <w:tcBorders>
              <w:top w:val="single" w:sz="4" w:space="0" w:color="auto"/>
              <w:left w:val="single" w:sz="4" w:space="0" w:color="auto"/>
              <w:right w:val="single" w:sz="4" w:space="0" w:color="auto"/>
            </w:tcBorders>
            <w:shd w:val="clear" w:color="auto" w:fill="auto"/>
            <w:noWrap/>
            <w:vAlign w:val="center"/>
            <w:hideMark/>
          </w:tcPr>
          <w:p w:rsidR="00E9008A" w:rsidRPr="00316249" w:rsidRDefault="00E9008A" w:rsidP="005B7D01">
            <w:pPr>
              <w:jc w:val="both"/>
              <w:rPr>
                <w:b/>
                <w:bCs/>
                <w:color w:val="000000"/>
                <w:sz w:val="18"/>
                <w:szCs w:val="18"/>
              </w:rPr>
            </w:pPr>
            <w:r w:rsidRPr="00316249">
              <w:rPr>
                <w:b/>
                <w:bCs/>
                <w:color w:val="000000"/>
                <w:sz w:val="18"/>
                <w:szCs w:val="18"/>
              </w:rPr>
              <w:t>Participações indiretas</w:t>
            </w:r>
          </w:p>
        </w:tc>
        <w:tc>
          <w:tcPr>
            <w:tcW w:w="899"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676"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713" w:type="pct"/>
            <w:tcBorders>
              <w:top w:val="single" w:sz="4" w:space="0" w:color="auto"/>
              <w:left w:val="nil"/>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2712" w:type="pct"/>
            <w:tcBorders>
              <w:left w:val="single" w:sz="4" w:space="0" w:color="auto"/>
              <w:right w:val="single" w:sz="4" w:space="0" w:color="auto"/>
            </w:tcBorders>
            <w:shd w:val="clear" w:color="auto" w:fill="auto"/>
            <w:noWrap/>
            <w:vAlign w:val="center"/>
            <w:hideMark/>
          </w:tcPr>
          <w:p w:rsidR="00E9008A" w:rsidRPr="00316249" w:rsidRDefault="00E9008A" w:rsidP="005B7D01">
            <w:pPr>
              <w:jc w:val="both"/>
              <w:rPr>
                <w:b/>
                <w:bCs/>
                <w:color w:val="000000"/>
                <w:sz w:val="18"/>
                <w:szCs w:val="18"/>
              </w:rPr>
            </w:pPr>
            <w:r w:rsidRPr="00316249">
              <w:rPr>
                <w:b/>
                <w:bCs/>
                <w:color w:val="000000"/>
                <w:sz w:val="18"/>
                <w:szCs w:val="18"/>
              </w:rPr>
              <w:t>Em Coligada</w:t>
            </w:r>
          </w:p>
        </w:tc>
        <w:tc>
          <w:tcPr>
            <w:tcW w:w="899" w:type="pct"/>
            <w:tcBorders>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676" w:type="pct"/>
            <w:tcBorders>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713" w:type="pct"/>
            <w:tcBorders>
              <w:left w:val="nil"/>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r>
      <w:tr w:rsidR="00E9008A" w:rsidRPr="00316249" w:rsidTr="005B7D01">
        <w:trPr>
          <w:trHeight w:val="238"/>
        </w:trPr>
        <w:tc>
          <w:tcPr>
            <w:tcW w:w="2712" w:type="pct"/>
            <w:tcBorders>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both"/>
              <w:rPr>
                <w:color w:val="000000"/>
                <w:sz w:val="18"/>
                <w:szCs w:val="18"/>
              </w:rPr>
            </w:pPr>
            <w:r w:rsidRPr="00316249">
              <w:rPr>
                <w:color w:val="000000"/>
                <w:sz w:val="18"/>
                <w:szCs w:val="18"/>
              </w:rPr>
              <w:t xml:space="preserve">   </w:t>
            </w:r>
            <w:proofErr w:type="spellStart"/>
            <w:r w:rsidRPr="00316249">
              <w:rPr>
                <w:color w:val="000000"/>
                <w:sz w:val="18"/>
                <w:szCs w:val="18"/>
              </w:rPr>
              <w:t>Investco</w:t>
            </w:r>
            <w:proofErr w:type="spellEnd"/>
            <w:r w:rsidRPr="00316249">
              <w:rPr>
                <w:color w:val="000000"/>
                <w:sz w:val="18"/>
                <w:szCs w:val="18"/>
              </w:rPr>
              <w:t xml:space="preserve"> S.A.</w:t>
            </w:r>
          </w:p>
        </w:tc>
        <w:tc>
          <w:tcPr>
            <w:tcW w:w="899"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Geração</w:t>
            </w:r>
          </w:p>
        </w:tc>
        <w:tc>
          <w:tcPr>
            <w:tcW w:w="676"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11,99%</w:t>
            </w:r>
          </w:p>
        </w:tc>
        <w:tc>
          <w:tcPr>
            <w:tcW w:w="713" w:type="pct"/>
            <w:tcBorders>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11,99%</w:t>
            </w:r>
          </w:p>
        </w:tc>
      </w:tr>
      <w:tr w:rsidR="00E9008A" w:rsidRPr="00316249" w:rsidTr="005B7D01">
        <w:trPr>
          <w:trHeight w:val="238"/>
        </w:trPr>
        <w:tc>
          <w:tcPr>
            <w:tcW w:w="2712" w:type="pct"/>
            <w:tcBorders>
              <w:top w:val="single" w:sz="4" w:space="0" w:color="auto"/>
              <w:left w:val="single" w:sz="4" w:space="0" w:color="auto"/>
              <w:right w:val="single" w:sz="4" w:space="0" w:color="auto"/>
            </w:tcBorders>
            <w:shd w:val="clear" w:color="auto" w:fill="auto"/>
            <w:noWrap/>
            <w:vAlign w:val="center"/>
          </w:tcPr>
          <w:p w:rsidR="00E9008A" w:rsidRPr="00316249" w:rsidRDefault="00E9008A" w:rsidP="005B7D01">
            <w:pPr>
              <w:jc w:val="both"/>
              <w:rPr>
                <w:b/>
                <w:color w:val="000000"/>
                <w:sz w:val="18"/>
                <w:szCs w:val="18"/>
              </w:rPr>
            </w:pPr>
            <w:r w:rsidRPr="00316249">
              <w:rPr>
                <w:b/>
                <w:color w:val="000000"/>
                <w:sz w:val="18"/>
                <w:szCs w:val="18"/>
              </w:rPr>
              <w:t>Outras Participações</w:t>
            </w:r>
          </w:p>
        </w:tc>
        <w:tc>
          <w:tcPr>
            <w:tcW w:w="899" w:type="pct"/>
            <w:tcBorders>
              <w:top w:val="single" w:sz="4" w:space="0" w:color="auto"/>
              <w:left w:val="nil"/>
              <w:right w:val="single" w:sz="4" w:space="0" w:color="auto"/>
            </w:tcBorders>
            <w:shd w:val="clear" w:color="auto" w:fill="auto"/>
            <w:noWrap/>
            <w:vAlign w:val="center"/>
          </w:tcPr>
          <w:p w:rsidR="00E9008A" w:rsidRPr="00316249" w:rsidRDefault="00E9008A" w:rsidP="005B7D01">
            <w:pPr>
              <w:rPr>
                <w:color w:val="000000"/>
                <w:sz w:val="18"/>
                <w:szCs w:val="18"/>
              </w:rPr>
            </w:pPr>
          </w:p>
        </w:tc>
        <w:tc>
          <w:tcPr>
            <w:tcW w:w="676" w:type="pct"/>
            <w:tcBorders>
              <w:top w:val="single" w:sz="4" w:space="0" w:color="auto"/>
              <w:left w:val="nil"/>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13" w:type="pct"/>
            <w:tcBorders>
              <w:top w:val="single" w:sz="4" w:space="0" w:color="auto"/>
              <w:left w:val="nil"/>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2712"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both"/>
              <w:rPr>
                <w:color w:val="000000"/>
                <w:sz w:val="18"/>
                <w:szCs w:val="18"/>
              </w:rPr>
            </w:pPr>
            <w:r w:rsidRPr="00316249">
              <w:rPr>
                <w:color w:val="000000"/>
                <w:sz w:val="18"/>
                <w:szCs w:val="18"/>
              </w:rPr>
              <w:t xml:space="preserve">   BSB Energética S.A.</w:t>
            </w:r>
          </w:p>
        </w:tc>
        <w:tc>
          <w:tcPr>
            <w:tcW w:w="89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Geração</w:t>
            </w:r>
          </w:p>
        </w:tc>
        <w:tc>
          <w:tcPr>
            <w:tcW w:w="67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9,00%</w:t>
            </w:r>
          </w:p>
        </w:tc>
        <w:tc>
          <w:tcPr>
            <w:tcW w:w="71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9,00%</w:t>
            </w:r>
          </w:p>
        </w:tc>
      </w:tr>
    </w:tbl>
    <w:p w:rsidR="00E9008A" w:rsidRPr="00316249" w:rsidRDefault="00E9008A" w:rsidP="00E9008A">
      <w:pPr>
        <w:rPr>
          <w:b/>
        </w:rPr>
      </w:pPr>
    </w:p>
    <w:p w:rsidR="00E9008A" w:rsidRPr="00B033FB" w:rsidRDefault="00E9008A" w:rsidP="00E9008A">
      <w:pPr>
        <w:pStyle w:val="PargrafodaLista"/>
        <w:numPr>
          <w:ilvl w:val="3"/>
          <w:numId w:val="23"/>
        </w:numPr>
        <w:ind w:left="567" w:hanging="567"/>
        <w:rPr>
          <w:rFonts w:ascii="Times New Roman" w:hAnsi="Times New Roman" w:cs="Times New Roman"/>
          <w:b/>
          <w:iCs/>
          <w:lang w:val="pt-BR"/>
        </w:rPr>
      </w:pPr>
      <w:r w:rsidRPr="00B033FB">
        <w:rPr>
          <w:rFonts w:ascii="Times New Roman" w:hAnsi="Times New Roman" w:cs="Times New Roman"/>
          <w:b/>
          <w:iCs/>
          <w:lang w:val="pt-BR"/>
        </w:rPr>
        <w:t>Controladas</w:t>
      </w:r>
    </w:p>
    <w:p w:rsidR="00E9008A" w:rsidRPr="00B033FB" w:rsidRDefault="00E9008A" w:rsidP="00B033FB">
      <w:pPr>
        <w:pStyle w:val="PargrafodaLista"/>
        <w:numPr>
          <w:ilvl w:val="4"/>
          <w:numId w:val="23"/>
        </w:numPr>
        <w:ind w:left="1134" w:hanging="1134"/>
        <w:rPr>
          <w:rFonts w:ascii="Times New Roman" w:hAnsi="Times New Roman" w:cs="Times New Roman"/>
          <w:b/>
          <w:iCs/>
          <w:lang w:val="pt-BR"/>
        </w:rPr>
      </w:pPr>
      <w:r w:rsidRPr="00B033FB">
        <w:rPr>
          <w:rFonts w:ascii="Times New Roman" w:hAnsi="Times New Roman" w:cs="Times New Roman"/>
          <w:b/>
          <w:iCs/>
          <w:lang w:val="pt-BR"/>
        </w:rPr>
        <w:t>CEB Distribuição S.A.</w:t>
      </w:r>
    </w:p>
    <w:p w:rsidR="00E9008A" w:rsidRPr="00316249" w:rsidRDefault="00E9008A" w:rsidP="00E9008A">
      <w:pPr>
        <w:spacing w:before="240"/>
        <w:jc w:val="both"/>
        <w:rPr>
          <w:sz w:val="22"/>
          <w:szCs w:val="22"/>
        </w:rPr>
      </w:pPr>
      <w:r w:rsidRPr="00316249">
        <w:rPr>
          <w:sz w:val="22"/>
          <w:szCs w:val="22"/>
        </w:rPr>
        <w:t xml:space="preserve">A CEB Distribuição S.A. é uma sociedade anônima de capital fechado, reorganizada em conformidade com a Lei Distrital </w:t>
      </w:r>
      <w:r w:rsidRPr="00316249">
        <w:rPr>
          <w:spacing w:val="-2"/>
          <w:sz w:val="22"/>
          <w:szCs w:val="22"/>
        </w:rPr>
        <w:t>n° 2.710, de 24 de maio de 2001,</w:t>
      </w:r>
      <w:r w:rsidRPr="00316249">
        <w:rPr>
          <w:sz w:val="22"/>
          <w:szCs w:val="22"/>
        </w:rPr>
        <w:t xml:space="preserve"> com início das suas atividades em 12 de janeiro de 2006, como resultado do processo de </w:t>
      </w:r>
      <w:proofErr w:type="spellStart"/>
      <w:r w:rsidRPr="00316249">
        <w:rPr>
          <w:sz w:val="22"/>
          <w:szCs w:val="22"/>
        </w:rPr>
        <w:t>desverticalização</w:t>
      </w:r>
      <w:proofErr w:type="spellEnd"/>
      <w:r w:rsidRPr="00316249">
        <w:rPr>
          <w:sz w:val="22"/>
          <w:szCs w:val="22"/>
        </w:rPr>
        <w:t xml:space="preserve"> das atividades de distribuição e geração da Companhia Energética de Brasília – CEB. </w:t>
      </w:r>
    </w:p>
    <w:p w:rsidR="00E9008A" w:rsidRPr="00316249" w:rsidRDefault="00E9008A" w:rsidP="00E9008A">
      <w:pPr>
        <w:spacing w:before="240"/>
        <w:jc w:val="both"/>
        <w:rPr>
          <w:sz w:val="22"/>
          <w:szCs w:val="22"/>
        </w:rPr>
      </w:pPr>
      <w:r w:rsidRPr="00316249">
        <w:rPr>
          <w:sz w:val="22"/>
          <w:szCs w:val="22"/>
        </w:rPr>
        <w:t>A CEB D é uma concessionária do serviço público de energia elétrica e tem por objeto principal a distribuição e comercialização de energia elétrica, assim como serviços correlatos que lhe venham a ser concedidos ou autorizados por qualquer título de direito e atividades associadas no Distrito Federal.</w:t>
      </w:r>
    </w:p>
    <w:p w:rsidR="00E9008A" w:rsidRPr="00316249" w:rsidRDefault="00E9008A" w:rsidP="00E9008A">
      <w:pPr>
        <w:pStyle w:val="PargrafodaLista"/>
        <w:numPr>
          <w:ilvl w:val="0"/>
          <w:numId w:val="33"/>
        </w:numPr>
        <w:spacing w:before="240"/>
        <w:ind w:left="709" w:hanging="567"/>
        <w:jc w:val="both"/>
        <w:rPr>
          <w:rFonts w:ascii="Times New Roman" w:hAnsi="Times New Roman" w:cs="Times New Roman"/>
          <w:b/>
          <w:lang w:val="pt-BR"/>
        </w:rPr>
      </w:pPr>
      <w:r w:rsidRPr="00316249">
        <w:rPr>
          <w:rFonts w:ascii="Times New Roman" w:hAnsi="Times New Roman" w:cs="Times New Roman"/>
          <w:b/>
          <w:lang w:val="pt-BR"/>
        </w:rPr>
        <w:t>Informações sobre aspectos relacionados ao pressuposto da continuidade operacional da CEB D</w:t>
      </w:r>
    </w:p>
    <w:p w:rsidR="00E9008A" w:rsidRPr="00316249" w:rsidRDefault="00E9008A" w:rsidP="00E9008A">
      <w:pPr>
        <w:spacing w:before="240"/>
        <w:jc w:val="both"/>
        <w:rPr>
          <w:sz w:val="22"/>
          <w:szCs w:val="22"/>
        </w:rPr>
      </w:pPr>
      <w:r w:rsidRPr="00316249">
        <w:rPr>
          <w:sz w:val="22"/>
          <w:szCs w:val="22"/>
        </w:rPr>
        <w:t>Em 9 de Dezembro de 2015 foi celebrado, com o Ministério de Minas e Energia (MME), o Quarto Termo Aditivo ao Contrato de Concessão nº 66/1999-ANEEL, prorrogando a concessão dos serviços de Distribuição de Energia Elétrica por mais 30 anos.</w:t>
      </w:r>
    </w:p>
    <w:p w:rsidR="00E9008A" w:rsidRPr="00316249" w:rsidRDefault="00E9008A" w:rsidP="00E9008A">
      <w:pPr>
        <w:spacing w:before="240"/>
        <w:jc w:val="both"/>
        <w:rPr>
          <w:sz w:val="22"/>
          <w:szCs w:val="22"/>
        </w:rPr>
      </w:pPr>
      <w:r w:rsidRPr="00316249">
        <w:rPr>
          <w:sz w:val="22"/>
          <w:szCs w:val="22"/>
        </w:rPr>
        <w:t>A prorrogação da concessão reflete a avaliação positiva do Poder Concedente com relação às ações da Administração dirigidas à CEB Distribuição S.A., que privilegiam a busca da eficiência operacional e financeira, com retorno compatível aos investimentos realizados e em curso, bem como a eficiência técnica no atendimento aos consumidores do Distrito Federal.</w:t>
      </w:r>
    </w:p>
    <w:p w:rsidR="00E9008A" w:rsidRPr="00316249" w:rsidRDefault="00E9008A" w:rsidP="00E9008A">
      <w:pPr>
        <w:spacing w:before="240"/>
        <w:jc w:val="both"/>
        <w:rPr>
          <w:sz w:val="22"/>
          <w:szCs w:val="22"/>
        </w:rPr>
      </w:pPr>
      <w:r w:rsidRPr="00316249">
        <w:rPr>
          <w:sz w:val="22"/>
          <w:szCs w:val="22"/>
        </w:rPr>
        <w:t>A CEB Distribuição S.A. tem convivido com dois problemas estruturais: alto índice de endividamento, além de custos e despesas operacionais incompatíveis com as receitas correspondentes. Entretanto, para combater a grave crise financeira, a Administração, em 2015, concebeu um plano de trabalho que envolvia três fases: ajustes pontuais; ajustes estruturais; e reorganização societária do Grupo CEB.</w:t>
      </w:r>
    </w:p>
    <w:p w:rsidR="00E9008A" w:rsidRPr="00316249" w:rsidRDefault="00E9008A" w:rsidP="00E9008A">
      <w:pPr>
        <w:spacing w:before="240"/>
        <w:jc w:val="both"/>
        <w:rPr>
          <w:sz w:val="22"/>
          <w:szCs w:val="22"/>
        </w:rPr>
      </w:pPr>
      <w:r w:rsidRPr="00316249">
        <w:rPr>
          <w:sz w:val="22"/>
          <w:szCs w:val="22"/>
        </w:rPr>
        <w:lastRenderedPageBreak/>
        <w:t>A primeira fase, os ajustes pontuais, foi executada, o que promoveu de imediato, a redução de custos e despesas com pessoal, serviços de terceiros e outras rubricas, em montante bastante expressivo.</w:t>
      </w:r>
    </w:p>
    <w:p w:rsidR="00E9008A" w:rsidRPr="00316249" w:rsidRDefault="00E9008A" w:rsidP="00E9008A">
      <w:pPr>
        <w:spacing w:before="240"/>
        <w:jc w:val="both"/>
        <w:rPr>
          <w:sz w:val="22"/>
          <w:szCs w:val="22"/>
        </w:rPr>
      </w:pPr>
      <w:r w:rsidRPr="00316249">
        <w:rPr>
          <w:sz w:val="22"/>
          <w:szCs w:val="22"/>
        </w:rPr>
        <w:t xml:space="preserve">A segunda fase, dos ajustes estruturais </w:t>
      </w:r>
      <w:r>
        <w:rPr>
          <w:sz w:val="22"/>
          <w:szCs w:val="22"/>
        </w:rPr>
        <w:t>está em curso</w:t>
      </w:r>
      <w:r w:rsidRPr="00316249">
        <w:rPr>
          <w:sz w:val="22"/>
          <w:szCs w:val="22"/>
        </w:rPr>
        <w:t xml:space="preserve"> e além de promover, com êxito, uma redução da estrutura organizacional, com a diminuição de diretorias e racionalização de atividades meio e finalísticas</w:t>
      </w:r>
      <w:r>
        <w:rPr>
          <w:sz w:val="22"/>
          <w:szCs w:val="22"/>
        </w:rPr>
        <w:t>,</w:t>
      </w:r>
      <w:r w:rsidRPr="00316249">
        <w:rPr>
          <w:sz w:val="22"/>
          <w:szCs w:val="22"/>
        </w:rPr>
        <w:t xml:space="preserve"> já apresenta resultados positivos.</w:t>
      </w:r>
    </w:p>
    <w:p w:rsidR="00E9008A" w:rsidRPr="00316249" w:rsidRDefault="00E9008A" w:rsidP="00E9008A">
      <w:pPr>
        <w:spacing w:before="240"/>
        <w:jc w:val="both"/>
        <w:rPr>
          <w:sz w:val="22"/>
          <w:szCs w:val="22"/>
        </w:rPr>
      </w:pPr>
      <w:r w:rsidRPr="00316249">
        <w:rPr>
          <w:sz w:val="22"/>
          <w:szCs w:val="22"/>
        </w:rPr>
        <w:t xml:space="preserve">Vale mencionar que a Administração atuou </w:t>
      </w:r>
      <w:proofErr w:type="spellStart"/>
      <w:r w:rsidRPr="00316249">
        <w:rPr>
          <w:sz w:val="22"/>
          <w:szCs w:val="22"/>
        </w:rPr>
        <w:t>proativamente</w:t>
      </w:r>
      <w:proofErr w:type="spellEnd"/>
      <w:r w:rsidRPr="00316249">
        <w:rPr>
          <w:sz w:val="22"/>
          <w:szCs w:val="22"/>
        </w:rPr>
        <w:t xml:space="preserve"> para a redução dos elevados custos do Plano Assistencial, que consistiu no acompanhamento da Ação Direta de Inconstitucionalidade ajuizada, em 2014, pelo Chefe do Poder Executivo contra as Leis nº 3.010/</w:t>
      </w:r>
      <w:r>
        <w:rPr>
          <w:sz w:val="22"/>
          <w:szCs w:val="22"/>
        </w:rPr>
        <w:t>20</w:t>
      </w:r>
      <w:r w:rsidRPr="00316249">
        <w:rPr>
          <w:sz w:val="22"/>
          <w:szCs w:val="22"/>
        </w:rPr>
        <w:t>02 e 3.199/</w:t>
      </w:r>
      <w:r>
        <w:rPr>
          <w:sz w:val="22"/>
          <w:szCs w:val="22"/>
        </w:rPr>
        <w:t>20</w:t>
      </w:r>
      <w:r w:rsidRPr="00316249">
        <w:rPr>
          <w:sz w:val="22"/>
          <w:szCs w:val="22"/>
        </w:rPr>
        <w:t xml:space="preserve">03, conforme Nota Explicativa específica e Fato Relevante publicado em 29/02/2016.     </w:t>
      </w:r>
    </w:p>
    <w:p w:rsidR="00E9008A" w:rsidRPr="00316249" w:rsidRDefault="00E9008A" w:rsidP="00E9008A">
      <w:pPr>
        <w:spacing w:before="240"/>
        <w:jc w:val="both"/>
        <w:rPr>
          <w:sz w:val="22"/>
          <w:szCs w:val="22"/>
        </w:rPr>
      </w:pPr>
      <w:r w:rsidRPr="00316249">
        <w:rPr>
          <w:sz w:val="22"/>
          <w:szCs w:val="22"/>
        </w:rPr>
        <w:t>A terceira fase, a reorganização societária do Grupo CEB, consiste na alienação de ativos de geração de energia elétrica e de distribuição de gás, já autorizada na forma da Lei nº 5.577/2015, conforme Fato Relevante publicado em 23 de dezembro de 2015. A injeção de recursos decorrente da monetização dos ativos de geração contribuirá substancialmente para a redução do endividamento a níveis compatíveis com as metas fixadas pela ANEEL no novo Contrato de Concessão.</w:t>
      </w:r>
    </w:p>
    <w:p w:rsidR="00E9008A" w:rsidRPr="00316249" w:rsidRDefault="00E9008A" w:rsidP="00E9008A">
      <w:pPr>
        <w:spacing w:before="240"/>
        <w:jc w:val="both"/>
        <w:rPr>
          <w:sz w:val="22"/>
          <w:szCs w:val="22"/>
        </w:rPr>
      </w:pPr>
      <w:r w:rsidRPr="00316249">
        <w:rPr>
          <w:sz w:val="22"/>
          <w:szCs w:val="22"/>
        </w:rPr>
        <w:t xml:space="preserve">As ações gerenciais </w:t>
      </w:r>
      <w:r>
        <w:rPr>
          <w:sz w:val="22"/>
          <w:szCs w:val="22"/>
        </w:rPr>
        <w:t>mencionadas</w:t>
      </w:r>
      <w:r w:rsidRPr="00316249">
        <w:rPr>
          <w:sz w:val="22"/>
          <w:szCs w:val="22"/>
        </w:rPr>
        <w:t xml:space="preserve"> propiciaram a recuperação das condições necessárias para garantir a continuidade operacional da </w:t>
      </w:r>
      <w:r>
        <w:rPr>
          <w:sz w:val="22"/>
          <w:szCs w:val="22"/>
        </w:rPr>
        <w:t>CEB Distribuição S.A.</w:t>
      </w:r>
      <w:r w:rsidRPr="00316249">
        <w:rPr>
          <w:sz w:val="22"/>
          <w:szCs w:val="22"/>
        </w:rPr>
        <w:t xml:space="preserve">, atendendo aos requisitos </w:t>
      </w:r>
      <w:r>
        <w:rPr>
          <w:sz w:val="22"/>
          <w:szCs w:val="22"/>
        </w:rPr>
        <w:t xml:space="preserve">regulatórios </w:t>
      </w:r>
      <w:r w:rsidRPr="00316249">
        <w:rPr>
          <w:sz w:val="22"/>
          <w:szCs w:val="22"/>
        </w:rPr>
        <w:t xml:space="preserve">de qualidade do serviço </w:t>
      </w:r>
      <w:r>
        <w:rPr>
          <w:sz w:val="22"/>
          <w:szCs w:val="22"/>
        </w:rPr>
        <w:t xml:space="preserve">prestado </w:t>
      </w:r>
      <w:r w:rsidRPr="00316249">
        <w:rPr>
          <w:sz w:val="22"/>
          <w:szCs w:val="22"/>
        </w:rPr>
        <w:t xml:space="preserve">e </w:t>
      </w:r>
      <w:r>
        <w:rPr>
          <w:sz w:val="22"/>
          <w:szCs w:val="22"/>
        </w:rPr>
        <w:t>d</w:t>
      </w:r>
      <w:r w:rsidRPr="00316249">
        <w:rPr>
          <w:sz w:val="22"/>
          <w:szCs w:val="22"/>
        </w:rPr>
        <w:t>o atendimento dos seus clientes.</w:t>
      </w:r>
    </w:p>
    <w:p w:rsidR="00E9008A" w:rsidRPr="001048EE" w:rsidRDefault="00E9008A" w:rsidP="00E9008A">
      <w:pPr>
        <w:pStyle w:val="PargrafodaLista"/>
        <w:numPr>
          <w:ilvl w:val="0"/>
          <w:numId w:val="33"/>
        </w:numPr>
        <w:spacing w:before="240"/>
        <w:ind w:left="709" w:hanging="567"/>
        <w:jc w:val="both"/>
        <w:rPr>
          <w:rFonts w:ascii="Times New Roman" w:hAnsi="Times New Roman" w:cs="Times New Roman"/>
          <w:b/>
          <w:lang w:val="pt-BR"/>
        </w:rPr>
      </w:pPr>
      <w:r w:rsidRPr="00316249">
        <w:rPr>
          <w:rFonts w:ascii="Times New Roman" w:hAnsi="Times New Roman" w:cs="Times New Roman"/>
          <w:b/>
          <w:lang w:val="pt-BR"/>
        </w:rPr>
        <w:t>Revisão</w:t>
      </w:r>
      <w:r w:rsidRPr="001048EE">
        <w:rPr>
          <w:rFonts w:ascii="Times New Roman" w:hAnsi="Times New Roman" w:cs="Times New Roman"/>
          <w:b/>
          <w:lang w:val="pt-BR"/>
        </w:rPr>
        <w:t xml:space="preserve"> </w:t>
      </w:r>
      <w:r w:rsidRPr="00316249">
        <w:rPr>
          <w:rFonts w:ascii="Times New Roman" w:hAnsi="Times New Roman" w:cs="Times New Roman"/>
          <w:b/>
          <w:lang w:val="pt-BR"/>
        </w:rPr>
        <w:t>Tarifária</w:t>
      </w:r>
      <w:r w:rsidRPr="001048EE">
        <w:rPr>
          <w:rFonts w:ascii="Times New Roman" w:hAnsi="Times New Roman" w:cs="Times New Roman"/>
          <w:b/>
          <w:lang w:val="pt-BR"/>
        </w:rPr>
        <w:t xml:space="preserve"> </w:t>
      </w:r>
      <w:r w:rsidRPr="00316249">
        <w:rPr>
          <w:rFonts w:ascii="Times New Roman" w:hAnsi="Times New Roman" w:cs="Times New Roman"/>
          <w:b/>
          <w:lang w:val="pt-BR"/>
        </w:rPr>
        <w:t>Periódica</w:t>
      </w:r>
      <w:r w:rsidRPr="001048EE">
        <w:rPr>
          <w:rFonts w:ascii="Times New Roman" w:hAnsi="Times New Roman" w:cs="Times New Roman"/>
          <w:b/>
          <w:lang w:val="pt-BR"/>
        </w:rPr>
        <w:t xml:space="preserve"> – </w:t>
      </w:r>
      <w:r w:rsidRPr="00316249">
        <w:rPr>
          <w:rFonts w:ascii="Times New Roman" w:hAnsi="Times New Roman" w:cs="Times New Roman"/>
          <w:b/>
          <w:lang w:val="pt-BR"/>
        </w:rPr>
        <w:t>RTP</w:t>
      </w:r>
      <w:r w:rsidRPr="001048EE">
        <w:rPr>
          <w:rFonts w:ascii="Times New Roman" w:hAnsi="Times New Roman" w:cs="Times New Roman"/>
          <w:b/>
          <w:lang w:val="pt-BR"/>
        </w:rPr>
        <w:t xml:space="preserve"> </w:t>
      </w:r>
      <w:r w:rsidRPr="00316249">
        <w:rPr>
          <w:rFonts w:ascii="Times New Roman" w:hAnsi="Times New Roman" w:cs="Times New Roman"/>
          <w:b/>
          <w:lang w:val="pt-BR"/>
        </w:rPr>
        <w:t>2016</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Em 18 de outubro de 2016, a diretoria colegiada da ANEEL homologou o resultado </w:t>
      </w:r>
      <w:r w:rsidRPr="00D4210C">
        <w:rPr>
          <w:rFonts w:ascii="Times New Roman" w:hAnsi="Times New Roman" w:cs="Times New Roman"/>
          <w:b w:val="0"/>
          <w:bCs w:val="0"/>
          <w:sz w:val="22"/>
          <w:szCs w:val="22"/>
        </w:rPr>
        <w:t>da Audiência Pública nº49/2016 que tratou do 4º Ciclo de Revisão Tarifária Periódica da CEB D, cujo efeito médio a ser percebido pelos consumidores será de 3,42%, sendo 1,04% para os consumidores em alta tensão e 4,62% para os consumidores de baixa tensão. Foram ainda fixados os novos limites de indicadores de continuidade Duração</w:t>
      </w:r>
      <w:r w:rsidRPr="00316249">
        <w:rPr>
          <w:rFonts w:ascii="Times New Roman" w:hAnsi="Times New Roman" w:cs="Times New Roman"/>
          <w:b w:val="0"/>
          <w:bCs w:val="0"/>
          <w:sz w:val="22"/>
          <w:szCs w:val="22"/>
        </w:rPr>
        <w:t xml:space="preserve"> Equivalente de Interrupção por Unidade Consumidora – DEC e Frequência Equivalente de Interrupção por Unidade Consumidora – FEC para o período de 2017 a 2021, bem como fixado o novo referencial regulatório para perdas de energia para os reajustes de 2017 a 2020.</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Na determinação da nova Receita Requerida da Concessionária, são levados em consideração os custos referentes à Parcela A e à Parcela B, bem como custos referentes a Outras Receitas, Componentes Financeiros e Fator X. No processo tarifário em questão, foi incorporada a parcela remanescente do diferimento tarifário referente ao IRT 2014.</w:t>
      </w:r>
    </w:p>
    <w:p w:rsidR="00E9008A" w:rsidRPr="00316249" w:rsidRDefault="00E9008A" w:rsidP="00E9008A">
      <w:pPr>
        <w:spacing w:before="240"/>
        <w:jc w:val="both"/>
        <w:rPr>
          <w:sz w:val="22"/>
          <w:szCs w:val="22"/>
        </w:rPr>
      </w:pPr>
      <w:r w:rsidRPr="00316249">
        <w:rPr>
          <w:sz w:val="22"/>
          <w:szCs w:val="22"/>
        </w:rPr>
        <w:t>As informações do percentual homologado encontram-se na Resolução Homologatória nº 2.161, de 18 de outubro de 2016, já com o detalhamento dos cálculos está na Nota Técnica nº 340/2016-SGT/ANEEL, de 11 de outubro de 2016.</w:t>
      </w:r>
    </w:p>
    <w:p w:rsidR="007F7D85" w:rsidRDefault="007F7D85">
      <w:pPr>
        <w:rPr>
          <w:b/>
          <w:sz w:val="22"/>
          <w:szCs w:val="22"/>
          <w:lang w:eastAsia="en-US"/>
        </w:rPr>
      </w:pPr>
      <w:r>
        <w:rPr>
          <w:b/>
        </w:rPr>
        <w:br w:type="page"/>
      </w:r>
    </w:p>
    <w:p w:rsidR="00E9008A" w:rsidRPr="00747E73" w:rsidRDefault="00E9008A" w:rsidP="00E9008A">
      <w:pPr>
        <w:pStyle w:val="PargrafodaLista"/>
        <w:numPr>
          <w:ilvl w:val="0"/>
          <w:numId w:val="33"/>
        </w:numPr>
        <w:spacing w:before="240"/>
        <w:ind w:left="709" w:hanging="567"/>
        <w:jc w:val="both"/>
        <w:rPr>
          <w:rFonts w:ascii="Times New Roman" w:hAnsi="Times New Roman" w:cs="Times New Roman"/>
          <w:b/>
          <w:lang w:val="pt-BR"/>
        </w:rPr>
      </w:pPr>
      <w:r w:rsidRPr="00747E73">
        <w:rPr>
          <w:rFonts w:ascii="Times New Roman" w:hAnsi="Times New Roman" w:cs="Times New Roman"/>
          <w:b/>
          <w:lang w:val="pt-BR"/>
        </w:rPr>
        <w:lastRenderedPageBreak/>
        <w:t xml:space="preserve">Conta de Desenvolvimento Energético – CDE </w:t>
      </w:r>
    </w:p>
    <w:p w:rsidR="00E9008A" w:rsidRPr="00316249" w:rsidRDefault="00E9008A" w:rsidP="00E9008A">
      <w:pPr>
        <w:autoSpaceDE w:val="0"/>
        <w:autoSpaceDN w:val="0"/>
        <w:adjustRightInd w:val="0"/>
        <w:spacing w:before="240"/>
        <w:jc w:val="both"/>
        <w:rPr>
          <w:sz w:val="22"/>
          <w:szCs w:val="22"/>
        </w:rPr>
      </w:pPr>
      <w:r w:rsidRPr="00316249">
        <w:rPr>
          <w:sz w:val="22"/>
          <w:szCs w:val="22"/>
        </w:rPr>
        <w:t>A Conta de Desenvolvimento Energético – CDE foi criada pela Lei nº 10.438, de 26 de abril de 2002, visando o desenvolvimento energético dos estados.</w:t>
      </w:r>
    </w:p>
    <w:p w:rsidR="00E9008A" w:rsidRPr="00316249" w:rsidRDefault="00E9008A" w:rsidP="00E9008A">
      <w:pPr>
        <w:autoSpaceDE w:val="0"/>
        <w:autoSpaceDN w:val="0"/>
        <w:adjustRightInd w:val="0"/>
        <w:spacing w:before="240"/>
        <w:jc w:val="both"/>
        <w:rPr>
          <w:sz w:val="22"/>
          <w:szCs w:val="22"/>
        </w:rPr>
      </w:pPr>
      <w:r w:rsidRPr="00316249">
        <w:rPr>
          <w:sz w:val="22"/>
          <w:szCs w:val="22"/>
        </w:rPr>
        <w:t>A CDE tem como finalidade promover a universalização do serviço de energia elétrica; garantir recursos para atendimento da subvenção econômica destinada à modicidade da tarifa dos consumidores Residencial Baixa Renda; prover recursos para os dispêndios da Conta de Consumo de Combustíveis – CCC; destinar recursos e permitir a amortização de operações financeiras vinculados à indenização por ocasião da reversão das concessões ou para atender à finalidade de modicidade tarifária; e promover a competitividade da energia produzida a partir de fontes eólica, pequenas centrais hidrelétricas, biomassa, gás natural e carvão mineral nacional, nas áreas atendidas pelos sistemas interligados.</w:t>
      </w:r>
    </w:p>
    <w:p w:rsidR="00E9008A" w:rsidRPr="00316249" w:rsidRDefault="00E9008A" w:rsidP="00E9008A">
      <w:pPr>
        <w:autoSpaceDE w:val="0"/>
        <w:autoSpaceDN w:val="0"/>
        <w:adjustRightInd w:val="0"/>
        <w:spacing w:before="240"/>
        <w:jc w:val="both"/>
        <w:rPr>
          <w:sz w:val="22"/>
          <w:szCs w:val="22"/>
        </w:rPr>
      </w:pPr>
      <w:r w:rsidRPr="00316249">
        <w:rPr>
          <w:sz w:val="22"/>
          <w:szCs w:val="22"/>
        </w:rPr>
        <w:t>Com a publicação da Medida Provisória nº 579/2012, convertida na Lei nº 12.783/2013, e da Medida Provisória nº 605/2013, vigente no período de 23 de janeiro a 03 de junho de 2013, a CDE teve seu rol de destinações ampliado: prover recursos para compensar descontos aplicados nas tarifas de uso dos sistemas elétricos de distribuição e nas tarifas de energia elétrica; e para compensar o efeito da não adesão à prorrogação de concessões de geração de energia elétrica, assegurando o equilíbrio da redução das tarifas das concessionárias de distribuição.</w:t>
      </w:r>
    </w:p>
    <w:p w:rsidR="00E9008A" w:rsidRDefault="00E9008A" w:rsidP="00E9008A">
      <w:pPr>
        <w:autoSpaceDE w:val="0"/>
        <w:autoSpaceDN w:val="0"/>
        <w:adjustRightInd w:val="0"/>
        <w:spacing w:before="240"/>
        <w:jc w:val="both"/>
        <w:rPr>
          <w:sz w:val="22"/>
          <w:szCs w:val="22"/>
        </w:rPr>
      </w:pPr>
      <w:r w:rsidRPr="00316249">
        <w:rPr>
          <w:sz w:val="22"/>
          <w:szCs w:val="22"/>
        </w:rPr>
        <w:t>Em caráter excepcional, visando atenuar os efeitos da conjuntura hidrológica desfavorável, e diante das medidas empreendidas pelo Governo Federal em prol da modicidade tarifária, foi publicado o Decreto nº 7.945/2013, que introduziu novas alterações nos instrumentos de repasse de recursos da CDE. Assim, a CDE passou a prover ainda: recursos para o risco hidrológico, exposição involuntária; Encargos de Serviços do Sistema - ESS por segurança energética; e o valor, integral ou parcial, do saldo positivo acumulado pela Conta de Variação de Valores de Itens da Parcela A – CVA, de que trata a Portaria Interministerial MME/MF nº 25/2002, relativo ao ESS e à energia comprada para revenda (</w:t>
      </w:r>
      <w:proofErr w:type="spellStart"/>
      <w:r w:rsidRPr="00316249">
        <w:rPr>
          <w:sz w:val="22"/>
          <w:szCs w:val="22"/>
        </w:rPr>
        <w:t>CVAess</w:t>
      </w:r>
      <w:proofErr w:type="spellEnd"/>
      <w:r w:rsidRPr="00316249">
        <w:rPr>
          <w:sz w:val="22"/>
          <w:szCs w:val="22"/>
        </w:rPr>
        <w:t xml:space="preserve"> e </w:t>
      </w:r>
      <w:proofErr w:type="spellStart"/>
      <w:r w:rsidRPr="00316249">
        <w:rPr>
          <w:sz w:val="22"/>
          <w:szCs w:val="22"/>
        </w:rPr>
        <w:t>CVAenergia</w:t>
      </w:r>
      <w:proofErr w:type="spellEnd"/>
      <w:r w:rsidRPr="00316249">
        <w:rPr>
          <w:sz w:val="22"/>
          <w:szCs w:val="22"/>
        </w:rPr>
        <w:t>).</w:t>
      </w:r>
    </w:p>
    <w:p w:rsidR="00E9008A" w:rsidRPr="00316249" w:rsidRDefault="00E9008A" w:rsidP="00E9008A">
      <w:pPr>
        <w:pStyle w:val="PargrafodaLista"/>
        <w:numPr>
          <w:ilvl w:val="0"/>
          <w:numId w:val="33"/>
        </w:numPr>
        <w:spacing w:before="240"/>
        <w:ind w:left="709" w:hanging="567"/>
        <w:jc w:val="both"/>
        <w:rPr>
          <w:rFonts w:ascii="Times New Roman" w:hAnsi="Times New Roman" w:cs="Times New Roman"/>
          <w:b/>
          <w:lang w:val="pt-BR"/>
        </w:rPr>
      </w:pPr>
      <w:r w:rsidRPr="00316249">
        <w:rPr>
          <w:rFonts w:ascii="Times New Roman" w:hAnsi="Times New Roman" w:cs="Times New Roman"/>
          <w:b/>
          <w:lang w:val="pt-BR"/>
        </w:rPr>
        <w:t>Plano Assistencial – FACEB – Inconstitucionalidade das Leis nº 3.010/2002 e nº 3.199/2003</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Em 4 de dezembro de 2012, a Administração da Companhia encaminhou o Parecer nº 295/2012/JUR–CEB D à então Secretaria de Estado de Obras do Distrito Federal, solicitando pronunciamento da Procuradoria Geral do Distrito Federal – PGDF, “</w:t>
      </w:r>
      <w:r w:rsidRPr="009E33F5">
        <w:rPr>
          <w:rFonts w:ascii="Times New Roman" w:hAnsi="Times New Roman" w:cs="Times New Roman"/>
          <w:b w:val="0"/>
          <w:bCs w:val="0"/>
          <w:sz w:val="22"/>
          <w:szCs w:val="22"/>
        </w:rPr>
        <w:t>no sentido de avaliar a constitucionalidade da Lei Distrital nº 3.010/2002, alterada pela Lei Distrital nº 3.199/2003</w:t>
      </w:r>
      <w:r w:rsidRPr="00316249">
        <w:rPr>
          <w:rFonts w:ascii="Times New Roman" w:hAnsi="Times New Roman" w:cs="Times New Roman"/>
          <w:b w:val="0"/>
          <w:bCs w:val="0"/>
          <w:sz w:val="22"/>
          <w:szCs w:val="22"/>
        </w:rPr>
        <w:t xml:space="preserve">”, que dispõem sobre a extensão de benefícios do plano assistencial a </w:t>
      </w:r>
      <w:proofErr w:type="spellStart"/>
      <w:r w:rsidRPr="00316249">
        <w:rPr>
          <w:rFonts w:ascii="Times New Roman" w:hAnsi="Times New Roman" w:cs="Times New Roman"/>
          <w:b w:val="0"/>
          <w:bCs w:val="0"/>
          <w:sz w:val="22"/>
          <w:szCs w:val="22"/>
        </w:rPr>
        <w:t>ex-empregados</w:t>
      </w:r>
      <w:proofErr w:type="spellEnd"/>
      <w:r w:rsidRPr="00316249">
        <w:rPr>
          <w:rFonts w:ascii="Times New Roman" w:hAnsi="Times New Roman" w:cs="Times New Roman"/>
          <w:b w:val="0"/>
          <w:bCs w:val="0"/>
          <w:sz w:val="22"/>
          <w:szCs w:val="22"/>
        </w:rPr>
        <w:t xml:space="preserve"> da Companhia Energética de Brasília – CEB. Por sua vez, em 13 de novembro de 2014, a PGDF aprovou o Parecer nº 002/2013, que concluiu pela inconstitucionalidade das referidas leis distritais. </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Em 11 de dezembro de 2014, foi proposta a Ação Direta de Inconstitucionalidade – ADI nº 2014002032055-2, em que o Conselho Especial do Tribunal de Justiça do Distrito Federal e Territórios, conforme o Acórdão nº 893.733, disponibilizado na Edição nº 181/2015 do Diário da Justiça, de 25 de setembro de 2015, julgou procedente a referida ADI. Foi declarada com eficácia </w:t>
      </w:r>
      <w:r w:rsidRPr="009E33F5">
        <w:rPr>
          <w:rFonts w:ascii="Times New Roman" w:hAnsi="Times New Roman" w:cs="Times New Roman"/>
          <w:b w:val="0"/>
          <w:bCs w:val="0"/>
          <w:sz w:val="22"/>
          <w:szCs w:val="22"/>
        </w:rPr>
        <w:t>erga omnes</w:t>
      </w:r>
      <w:r w:rsidRPr="00316249">
        <w:rPr>
          <w:rFonts w:ascii="Times New Roman" w:hAnsi="Times New Roman" w:cs="Times New Roman"/>
          <w:b w:val="0"/>
          <w:bCs w:val="0"/>
          <w:sz w:val="22"/>
          <w:szCs w:val="22"/>
        </w:rPr>
        <w:t>, a inconstitucionalidade formal e material das Leis nº 3.010/2002 e nº 3.199/2003, restringindo seus efeitos após o prazo de dezoito meses, a contar da publicação do acórdão.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lastRenderedPageBreak/>
        <w:t xml:space="preserve">Em cumprimento ao disposto no artigo 129, </w:t>
      </w:r>
      <w:r w:rsidRPr="009E33F5">
        <w:rPr>
          <w:rFonts w:ascii="Times New Roman" w:hAnsi="Times New Roman" w:cs="Times New Roman"/>
          <w:b w:val="0"/>
          <w:bCs w:val="0"/>
          <w:sz w:val="22"/>
          <w:szCs w:val="22"/>
        </w:rPr>
        <w:t>caput</w:t>
      </w:r>
      <w:r w:rsidRPr="00316249">
        <w:rPr>
          <w:rFonts w:ascii="Times New Roman" w:hAnsi="Times New Roman" w:cs="Times New Roman"/>
          <w:b w:val="0"/>
          <w:bCs w:val="0"/>
          <w:sz w:val="22"/>
          <w:szCs w:val="22"/>
        </w:rPr>
        <w:t>, do Regimento Interno do Tribunal, o acórdão foi republicado na Edição nº 37/2016 do Diário de Justiça, de 26 de fevereiro de 2016, não cabendo mais recurso da decisão.</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Como consequência deste ato, a CEB Distribuição S.A. elaborou o laudo atuarial considerando somente os efeitos até os dezoito meses a contar da publicação do acórdão. Desta forma, o valor provisionado relativo ao plano assistencial foi de R$ 28.564, o que gerou uma reversão da provisão constituída no montante de              R$ 249.226, sendo R$ 158.514 revertidos contra a conta de ajuste de avaliação patrimonial no patrimônio líquido e R$ 90.712 revertidos contra o resultado no exercício de 2015.</w:t>
      </w:r>
    </w:p>
    <w:p w:rsidR="007F7D85" w:rsidRDefault="007F7D85">
      <w:pPr>
        <w:rPr>
          <w:b/>
          <w:sz w:val="22"/>
          <w:szCs w:val="22"/>
          <w:lang w:eastAsia="en-US"/>
        </w:rPr>
      </w:pPr>
      <w:r>
        <w:rPr>
          <w:b/>
        </w:rPr>
        <w:br w:type="page"/>
      </w:r>
    </w:p>
    <w:p w:rsidR="00E9008A" w:rsidRPr="009E33F5" w:rsidRDefault="00E9008A" w:rsidP="00E9008A">
      <w:pPr>
        <w:pStyle w:val="PargrafodaLista"/>
        <w:numPr>
          <w:ilvl w:val="0"/>
          <w:numId w:val="33"/>
        </w:numPr>
        <w:spacing w:before="240"/>
        <w:ind w:left="709" w:hanging="567"/>
        <w:jc w:val="both"/>
        <w:rPr>
          <w:rFonts w:ascii="Times New Roman" w:hAnsi="Times New Roman" w:cs="Times New Roman"/>
          <w:b/>
          <w:lang w:val="pt-BR"/>
        </w:rPr>
      </w:pPr>
      <w:proofErr w:type="spellStart"/>
      <w:r w:rsidRPr="009E33F5">
        <w:rPr>
          <w:rFonts w:ascii="Times New Roman" w:hAnsi="Times New Roman" w:cs="Times New Roman"/>
          <w:b/>
          <w:lang w:val="pt-BR"/>
        </w:rPr>
        <w:lastRenderedPageBreak/>
        <w:t>Sobrecontratação</w:t>
      </w:r>
      <w:proofErr w:type="spellEnd"/>
      <w:r>
        <w:rPr>
          <w:rFonts w:ascii="Times New Roman" w:hAnsi="Times New Roman" w:cs="Times New Roman"/>
          <w:b/>
          <w:lang w:val="pt-BR"/>
        </w:rPr>
        <w:t xml:space="preserve"> de energia elétrica</w:t>
      </w:r>
    </w:p>
    <w:p w:rsidR="00E9008A" w:rsidRPr="003C170A" w:rsidRDefault="00E9008A" w:rsidP="00E9008A">
      <w:pPr>
        <w:pStyle w:val="Corpodetexto"/>
        <w:spacing w:before="240" w:after="240"/>
        <w:rPr>
          <w:rFonts w:ascii="Times New Roman" w:hAnsi="Times New Roman" w:cs="Times New Roman"/>
          <w:b w:val="0"/>
          <w:bCs w:val="0"/>
          <w:sz w:val="22"/>
          <w:szCs w:val="22"/>
        </w:rPr>
      </w:pPr>
      <w:r>
        <w:rPr>
          <w:rFonts w:ascii="Times New Roman" w:hAnsi="Times New Roman" w:cs="Times New Roman"/>
          <w:b w:val="0"/>
          <w:bCs w:val="0"/>
          <w:sz w:val="22"/>
          <w:szCs w:val="22"/>
        </w:rPr>
        <w:t xml:space="preserve">A crise econômica que perdurou no exercício de 2016 e </w:t>
      </w:r>
      <w:r w:rsidRPr="003C170A">
        <w:rPr>
          <w:rFonts w:ascii="Times New Roman" w:hAnsi="Times New Roman" w:cs="Times New Roman"/>
          <w:b w:val="0"/>
          <w:bCs w:val="0"/>
          <w:sz w:val="22"/>
          <w:szCs w:val="22"/>
        </w:rPr>
        <w:t xml:space="preserve">o aumento das tarifas </w:t>
      </w:r>
      <w:r>
        <w:rPr>
          <w:rFonts w:ascii="Times New Roman" w:hAnsi="Times New Roman" w:cs="Times New Roman"/>
          <w:b w:val="0"/>
          <w:bCs w:val="0"/>
          <w:sz w:val="22"/>
          <w:szCs w:val="22"/>
        </w:rPr>
        <w:t xml:space="preserve">causado </w:t>
      </w:r>
      <w:r w:rsidRPr="003C170A">
        <w:rPr>
          <w:rFonts w:ascii="Times New Roman" w:hAnsi="Times New Roman" w:cs="Times New Roman"/>
          <w:b w:val="0"/>
          <w:bCs w:val="0"/>
          <w:sz w:val="22"/>
          <w:szCs w:val="22"/>
        </w:rPr>
        <w:t>pela elevação dos encargos setoriais e pel</w:t>
      </w:r>
      <w:r>
        <w:rPr>
          <w:rFonts w:ascii="Times New Roman" w:hAnsi="Times New Roman" w:cs="Times New Roman"/>
          <w:b w:val="0"/>
          <w:bCs w:val="0"/>
          <w:sz w:val="22"/>
          <w:szCs w:val="22"/>
        </w:rPr>
        <w:t>a</w:t>
      </w:r>
      <w:r w:rsidRPr="003C170A">
        <w:rPr>
          <w:rFonts w:ascii="Times New Roman" w:hAnsi="Times New Roman" w:cs="Times New Roman"/>
          <w:b w:val="0"/>
          <w:bCs w:val="0"/>
          <w:sz w:val="22"/>
          <w:szCs w:val="22"/>
        </w:rPr>
        <w:t xml:space="preserve"> amortização do financiamento que reduziu as tarifas em 2012 ocasionou </w:t>
      </w:r>
      <w:r>
        <w:rPr>
          <w:rFonts w:ascii="Times New Roman" w:hAnsi="Times New Roman" w:cs="Times New Roman"/>
          <w:b w:val="0"/>
          <w:bCs w:val="0"/>
          <w:sz w:val="22"/>
          <w:szCs w:val="22"/>
        </w:rPr>
        <w:t xml:space="preserve">a </w:t>
      </w:r>
      <w:r w:rsidRPr="003C170A">
        <w:rPr>
          <w:rFonts w:ascii="Times New Roman" w:hAnsi="Times New Roman" w:cs="Times New Roman"/>
          <w:b w:val="0"/>
          <w:bCs w:val="0"/>
          <w:sz w:val="22"/>
          <w:szCs w:val="22"/>
        </w:rPr>
        <w:t>queda do consumo de energia elétrica</w:t>
      </w:r>
      <w:r>
        <w:rPr>
          <w:rFonts w:ascii="Times New Roman" w:hAnsi="Times New Roman" w:cs="Times New Roman"/>
          <w:b w:val="0"/>
          <w:bCs w:val="0"/>
          <w:sz w:val="22"/>
          <w:szCs w:val="22"/>
        </w:rPr>
        <w:t>, produzindo</w:t>
      </w:r>
      <w:r w:rsidRPr="003C170A">
        <w:rPr>
          <w:rFonts w:ascii="Times New Roman" w:hAnsi="Times New Roman" w:cs="Times New Roman"/>
          <w:b w:val="0"/>
          <w:bCs w:val="0"/>
          <w:sz w:val="22"/>
          <w:szCs w:val="22"/>
        </w:rPr>
        <w:t xml:space="preserve"> um excedente na energia contratada superior ao limite regulatório de 5%</w:t>
      </w:r>
      <w:r>
        <w:rPr>
          <w:rFonts w:ascii="Times New Roman" w:hAnsi="Times New Roman" w:cs="Times New Roman"/>
          <w:b w:val="0"/>
          <w:bCs w:val="0"/>
          <w:sz w:val="22"/>
          <w:szCs w:val="22"/>
        </w:rPr>
        <w:t>.</w:t>
      </w:r>
      <w:r w:rsidRPr="003C170A">
        <w:rPr>
          <w:rFonts w:ascii="Times New Roman" w:hAnsi="Times New Roman" w:cs="Times New Roman"/>
          <w:b w:val="0"/>
          <w:bCs w:val="0"/>
          <w:sz w:val="22"/>
          <w:szCs w:val="22"/>
        </w:rPr>
        <w:t xml:space="preserve"> </w:t>
      </w:r>
    </w:p>
    <w:p w:rsidR="00E9008A" w:rsidRPr="003C170A" w:rsidRDefault="00E9008A" w:rsidP="00E9008A">
      <w:pPr>
        <w:pStyle w:val="Corpodetexto"/>
        <w:spacing w:before="240" w:after="240"/>
        <w:rPr>
          <w:rFonts w:ascii="Times New Roman" w:hAnsi="Times New Roman" w:cs="Times New Roman"/>
          <w:b w:val="0"/>
          <w:bCs w:val="0"/>
          <w:sz w:val="22"/>
          <w:szCs w:val="22"/>
        </w:rPr>
      </w:pPr>
      <w:r>
        <w:rPr>
          <w:rFonts w:ascii="Times New Roman" w:hAnsi="Times New Roman" w:cs="Times New Roman"/>
          <w:b w:val="0"/>
          <w:bCs w:val="0"/>
          <w:sz w:val="22"/>
          <w:szCs w:val="22"/>
        </w:rPr>
        <w:t xml:space="preserve">Por outro lado, </w:t>
      </w:r>
      <w:r w:rsidRPr="003C170A">
        <w:rPr>
          <w:rFonts w:ascii="Times New Roman" w:hAnsi="Times New Roman" w:cs="Times New Roman"/>
          <w:b w:val="0"/>
          <w:bCs w:val="0"/>
          <w:sz w:val="22"/>
          <w:szCs w:val="22"/>
        </w:rPr>
        <w:t xml:space="preserve">o aumento da migração de consumidores potencialmente livres e especiais para o Ambiente de Contratação Livre </w:t>
      </w:r>
      <w:r>
        <w:rPr>
          <w:rFonts w:ascii="Times New Roman" w:hAnsi="Times New Roman" w:cs="Times New Roman"/>
          <w:b w:val="0"/>
          <w:bCs w:val="0"/>
          <w:sz w:val="22"/>
          <w:szCs w:val="22"/>
        </w:rPr>
        <w:t>–</w:t>
      </w:r>
      <w:r w:rsidRPr="003C170A">
        <w:rPr>
          <w:rFonts w:ascii="Times New Roman" w:hAnsi="Times New Roman" w:cs="Times New Roman"/>
          <w:b w:val="0"/>
          <w:bCs w:val="0"/>
          <w:sz w:val="22"/>
          <w:szCs w:val="22"/>
        </w:rPr>
        <w:t xml:space="preserve"> AC</w:t>
      </w:r>
      <w:r>
        <w:rPr>
          <w:rFonts w:ascii="Times New Roman" w:hAnsi="Times New Roman" w:cs="Times New Roman"/>
          <w:b w:val="0"/>
          <w:bCs w:val="0"/>
          <w:sz w:val="22"/>
          <w:szCs w:val="22"/>
        </w:rPr>
        <w:t xml:space="preserve">L, bem </w:t>
      </w:r>
      <w:r w:rsidRPr="003C170A">
        <w:rPr>
          <w:rFonts w:ascii="Times New Roman" w:hAnsi="Times New Roman" w:cs="Times New Roman"/>
          <w:b w:val="0"/>
          <w:bCs w:val="0"/>
          <w:sz w:val="22"/>
          <w:szCs w:val="22"/>
        </w:rPr>
        <w:t xml:space="preserve">como </w:t>
      </w:r>
      <w:r>
        <w:rPr>
          <w:rFonts w:ascii="Times New Roman" w:hAnsi="Times New Roman" w:cs="Times New Roman"/>
          <w:b w:val="0"/>
          <w:bCs w:val="0"/>
          <w:sz w:val="22"/>
          <w:szCs w:val="22"/>
        </w:rPr>
        <w:t>a</w:t>
      </w:r>
      <w:r w:rsidRPr="003C170A">
        <w:rPr>
          <w:rFonts w:ascii="Times New Roman" w:hAnsi="Times New Roman" w:cs="Times New Roman"/>
          <w:b w:val="0"/>
          <w:bCs w:val="0"/>
          <w:sz w:val="22"/>
          <w:szCs w:val="22"/>
        </w:rPr>
        <w:t xml:space="preserve"> evolução da implantação da Geração Distribuída nas unidades consumidoras na área de concessão da CEB D</w:t>
      </w:r>
      <w:r>
        <w:rPr>
          <w:rFonts w:ascii="Times New Roman" w:hAnsi="Times New Roman" w:cs="Times New Roman"/>
          <w:b w:val="0"/>
          <w:bCs w:val="0"/>
          <w:sz w:val="22"/>
          <w:szCs w:val="22"/>
        </w:rPr>
        <w:t>, também contribuíram para o incremento das sobras de energia</w:t>
      </w:r>
      <w:r w:rsidRPr="003C170A">
        <w:rPr>
          <w:rFonts w:ascii="Times New Roman" w:hAnsi="Times New Roman" w:cs="Times New Roman"/>
          <w:b w:val="0"/>
          <w:bCs w:val="0"/>
          <w:sz w:val="22"/>
          <w:szCs w:val="22"/>
        </w:rPr>
        <w:t xml:space="preserve">. </w:t>
      </w:r>
    </w:p>
    <w:p w:rsidR="00E9008A" w:rsidRPr="00A172AD" w:rsidRDefault="00E9008A" w:rsidP="00E9008A">
      <w:pPr>
        <w:spacing w:before="240" w:after="240"/>
        <w:jc w:val="both"/>
        <w:rPr>
          <w:sz w:val="22"/>
          <w:szCs w:val="22"/>
        </w:rPr>
      </w:pPr>
      <w:r>
        <w:rPr>
          <w:sz w:val="22"/>
          <w:szCs w:val="22"/>
        </w:rPr>
        <w:t xml:space="preserve">Tais </w:t>
      </w:r>
      <w:r w:rsidRPr="00A172AD">
        <w:rPr>
          <w:sz w:val="22"/>
          <w:szCs w:val="22"/>
        </w:rPr>
        <w:t xml:space="preserve">sobras de energia da CEB Distribuição S.A. em 2016 </w:t>
      </w:r>
      <w:r>
        <w:rPr>
          <w:sz w:val="22"/>
          <w:szCs w:val="22"/>
        </w:rPr>
        <w:t>alcançou</w:t>
      </w:r>
      <w:r w:rsidRPr="00A172AD">
        <w:rPr>
          <w:sz w:val="22"/>
          <w:szCs w:val="22"/>
        </w:rPr>
        <w:t xml:space="preserve"> 16,27% em relação ao total de energia contratada que, após o desconto do limite regulatório (5% do mercado verificado), resultou na </w:t>
      </w:r>
      <w:proofErr w:type="spellStart"/>
      <w:r w:rsidRPr="00A172AD">
        <w:rPr>
          <w:sz w:val="22"/>
          <w:szCs w:val="22"/>
        </w:rPr>
        <w:t>sobrecontratação</w:t>
      </w:r>
      <w:proofErr w:type="spellEnd"/>
      <w:r w:rsidRPr="00A172AD">
        <w:rPr>
          <w:sz w:val="22"/>
          <w:szCs w:val="22"/>
        </w:rPr>
        <w:t xml:space="preserve"> de 1.020 </w:t>
      </w:r>
      <w:proofErr w:type="spellStart"/>
      <w:r w:rsidRPr="00A172AD">
        <w:rPr>
          <w:sz w:val="22"/>
          <w:szCs w:val="22"/>
        </w:rPr>
        <w:t>GWh</w:t>
      </w:r>
      <w:proofErr w:type="spellEnd"/>
      <w:r w:rsidRPr="00A172AD">
        <w:rPr>
          <w:sz w:val="22"/>
          <w:szCs w:val="22"/>
        </w:rPr>
        <w:t xml:space="preserve">, representando 12,1% da energia contratada pela Distribuidora. Após as ações gerenciais implementadas em 2016, este percentual de </w:t>
      </w:r>
      <w:proofErr w:type="spellStart"/>
      <w:r w:rsidRPr="00A172AD">
        <w:rPr>
          <w:sz w:val="22"/>
          <w:szCs w:val="22"/>
        </w:rPr>
        <w:t>sobrecontratação</w:t>
      </w:r>
      <w:proofErr w:type="spellEnd"/>
      <w:r w:rsidRPr="00A172AD">
        <w:rPr>
          <w:sz w:val="22"/>
          <w:szCs w:val="22"/>
        </w:rPr>
        <w:t xml:space="preserve"> foi reduzido para 9,5%.</w:t>
      </w:r>
    </w:p>
    <w:p w:rsidR="00E9008A" w:rsidRDefault="00E9008A" w:rsidP="00E9008A">
      <w:pPr>
        <w:spacing w:before="240" w:after="240"/>
        <w:jc w:val="both"/>
        <w:rPr>
          <w:sz w:val="22"/>
          <w:szCs w:val="22"/>
        </w:rPr>
      </w:pPr>
      <w:r>
        <w:rPr>
          <w:sz w:val="22"/>
          <w:szCs w:val="22"/>
        </w:rPr>
        <w:t>Registre-se que n</w:t>
      </w:r>
      <w:r w:rsidRPr="002D372C">
        <w:rPr>
          <w:sz w:val="22"/>
          <w:szCs w:val="22"/>
        </w:rPr>
        <w:t xml:space="preserve">o processo do 4º Ciclo de Revisão Tarifária Periódica ocorrido em 2016, o Órgão Regulador considerou toda </w:t>
      </w:r>
      <w:proofErr w:type="spellStart"/>
      <w:r w:rsidRPr="002D372C">
        <w:rPr>
          <w:sz w:val="22"/>
          <w:szCs w:val="22"/>
        </w:rPr>
        <w:t>sobrecontratação</w:t>
      </w:r>
      <w:proofErr w:type="spellEnd"/>
      <w:r w:rsidRPr="002D372C">
        <w:rPr>
          <w:sz w:val="22"/>
          <w:szCs w:val="22"/>
        </w:rPr>
        <w:t xml:space="preserve"> no cálculo das tarifas. Parte destas, relativa ao excedente de 5%, no valor de R$ 65,2 milhões, foi provisionado como Passivo Financeiro – </w:t>
      </w:r>
      <w:proofErr w:type="spellStart"/>
      <w:r w:rsidRPr="002D372C">
        <w:rPr>
          <w:sz w:val="22"/>
          <w:szCs w:val="22"/>
        </w:rPr>
        <w:t>Sobrecontratação</w:t>
      </w:r>
      <w:proofErr w:type="spellEnd"/>
      <w:r w:rsidRPr="002D372C">
        <w:rPr>
          <w:sz w:val="22"/>
          <w:szCs w:val="22"/>
        </w:rPr>
        <w:t xml:space="preserve">, em função das incertezas sobre o acolhimento da alegação de </w:t>
      </w:r>
      <w:proofErr w:type="spellStart"/>
      <w:r w:rsidRPr="002D372C">
        <w:rPr>
          <w:sz w:val="22"/>
          <w:szCs w:val="22"/>
        </w:rPr>
        <w:t>involuntariedade</w:t>
      </w:r>
      <w:proofErr w:type="spellEnd"/>
      <w:r w:rsidRPr="002D372C">
        <w:rPr>
          <w:sz w:val="22"/>
          <w:szCs w:val="22"/>
        </w:rPr>
        <w:t xml:space="preserve"> pela ANEEL, cuja decisão ocorrerá em 2017.</w:t>
      </w:r>
      <w:r w:rsidRPr="00D8097C">
        <w:rPr>
          <w:sz w:val="22"/>
          <w:szCs w:val="22"/>
        </w:rPr>
        <w:t xml:space="preserve"> </w:t>
      </w:r>
    </w:p>
    <w:p w:rsidR="00E9008A" w:rsidRPr="00B033FB" w:rsidRDefault="00E9008A" w:rsidP="00B033FB">
      <w:pPr>
        <w:pStyle w:val="PargrafodaLista"/>
        <w:numPr>
          <w:ilvl w:val="4"/>
          <w:numId w:val="23"/>
        </w:numPr>
        <w:ind w:left="1134" w:hanging="1134"/>
        <w:rPr>
          <w:rFonts w:ascii="Times New Roman" w:hAnsi="Times New Roman" w:cs="Times New Roman"/>
          <w:b/>
          <w:iCs/>
          <w:lang w:val="pt-BR"/>
        </w:rPr>
      </w:pPr>
      <w:r w:rsidRPr="00B033FB">
        <w:rPr>
          <w:rFonts w:ascii="Times New Roman" w:hAnsi="Times New Roman" w:cs="Times New Roman"/>
          <w:b/>
          <w:iCs/>
          <w:lang w:val="pt-BR"/>
        </w:rPr>
        <w:t xml:space="preserve">CEB </w:t>
      </w:r>
      <w:proofErr w:type="spellStart"/>
      <w:r w:rsidRPr="00B033FB">
        <w:rPr>
          <w:rFonts w:ascii="Times New Roman" w:hAnsi="Times New Roman" w:cs="Times New Roman"/>
          <w:b/>
          <w:iCs/>
          <w:lang w:val="pt-BR"/>
        </w:rPr>
        <w:t>Geração</w:t>
      </w:r>
      <w:proofErr w:type="spellEnd"/>
      <w:r w:rsidRPr="00B033FB">
        <w:rPr>
          <w:rFonts w:ascii="Times New Roman" w:hAnsi="Times New Roman" w:cs="Times New Roman"/>
          <w:b/>
          <w:iCs/>
          <w:lang w:val="pt-BR"/>
        </w:rPr>
        <w:t xml:space="preserve"> S.A.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CEB Geração S.A. é uma sociedade por ações de capital fechado, autorizada pela Lei Distrital nº 2.648, de 26 de dezembro de 2000, constituída como subsidiária integral, concessionária do serviço público de geração de energia elétrica, detentora de 2 (duas) concessões:</w:t>
      </w:r>
    </w:p>
    <w:p w:rsidR="00E9008A" w:rsidRPr="00316249" w:rsidRDefault="00E9008A" w:rsidP="00E9008A">
      <w:pPr>
        <w:pStyle w:val="Corpodetexto"/>
        <w:numPr>
          <w:ilvl w:val="0"/>
          <w:numId w:val="32"/>
        </w:numPr>
        <w:spacing w:before="240" w:after="240"/>
        <w:ind w:left="709" w:hanging="709"/>
        <w:rPr>
          <w:rFonts w:ascii="Times New Roman" w:hAnsi="Times New Roman" w:cs="Times New Roman"/>
          <w:bCs w:val="0"/>
          <w:sz w:val="22"/>
          <w:szCs w:val="22"/>
        </w:rPr>
      </w:pPr>
      <w:r w:rsidRPr="00316249">
        <w:rPr>
          <w:rFonts w:ascii="Times New Roman" w:hAnsi="Times New Roman" w:cs="Times New Roman"/>
          <w:iCs/>
          <w:smallCaps/>
          <w:color w:val="000000"/>
          <w:sz w:val="22"/>
          <w:szCs w:val="22"/>
        </w:rPr>
        <w:t>U</w:t>
      </w:r>
      <w:r w:rsidRPr="00316249">
        <w:rPr>
          <w:rFonts w:ascii="Times New Roman" w:hAnsi="Times New Roman" w:cs="Times New Roman"/>
          <w:bCs w:val="0"/>
          <w:sz w:val="22"/>
          <w:szCs w:val="22"/>
        </w:rPr>
        <w:t>TE Brasília</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 Usina Termelétrica de Brasília – UTE Brasília teve sua outorga prorrogada pela Portaria do Ministério de Minas Energia </w:t>
      </w:r>
      <w:r w:rsidRPr="00316249">
        <w:rPr>
          <w:rFonts w:ascii="Times New Roman" w:hAnsi="Times New Roman" w:cs="Times New Roman"/>
          <w:b w:val="0"/>
          <w:sz w:val="22"/>
          <w:szCs w:val="22"/>
        </w:rPr>
        <w:t>–</w:t>
      </w:r>
      <w:r w:rsidRPr="00316249">
        <w:rPr>
          <w:rFonts w:ascii="Times New Roman" w:hAnsi="Times New Roman" w:cs="Times New Roman"/>
          <w:b w:val="0"/>
          <w:bCs w:val="0"/>
          <w:sz w:val="22"/>
          <w:szCs w:val="22"/>
        </w:rPr>
        <w:t xml:space="preserve"> MME nº 255 de 12 de julho de 1999, com termo final da concessão em 7 de julho 2015. </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Em 29 de junho de 2012, a CEB Geração S.A. apresentou à ANEEL requerimento de prorrogação da concessão de geração de energia elétrica destinada a serviço público, definida como Usina Termelétrica, conforme </w:t>
      </w:r>
      <w:proofErr w:type="spellStart"/>
      <w:r w:rsidRPr="00316249">
        <w:rPr>
          <w:rFonts w:ascii="Times New Roman" w:hAnsi="Times New Roman" w:cs="Times New Roman"/>
          <w:b w:val="0"/>
          <w:bCs w:val="0"/>
          <w:sz w:val="22"/>
          <w:szCs w:val="22"/>
        </w:rPr>
        <w:t>Subcláusula</w:t>
      </w:r>
      <w:proofErr w:type="spellEnd"/>
      <w:r w:rsidRPr="00316249">
        <w:rPr>
          <w:rFonts w:ascii="Times New Roman" w:hAnsi="Times New Roman" w:cs="Times New Roman"/>
          <w:b w:val="0"/>
          <w:bCs w:val="0"/>
          <w:sz w:val="22"/>
          <w:szCs w:val="22"/>
        </w:rPr>
        <w:t xml:space="preserve"> Primeira e Segunda da Cláusula Segunda do Contrato de Concessão n° 65/1999-ANEEL. A Superintendência de Concessões e Autorizações de Geração da ANEEL, no dia 28 de agosto de 2012, negou o pedido de prorrogação, alegando não haver nos termos da legislação vigente, possibilidade de uma segunda prorrogação, solicitando arquivamento do pedido. </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Em 19 de novembro de 2014, mediante o Despacho nº 4.511, a Diretoria da ANEEL autorizou o início do processo de caducidade da concessão da UTE Brasília, dado que a premissa básica para a condição de operação comercial encontrava-se há tempos comprometida, estando a operação comercial suspensa desde dezembro de 2012.</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Em 3 de fevereiro de 2015, a CEB Geração S.A. recebeu o Termo de Intimação – TI nº 1001/2015-SFG/ANEEL, acerca da abertura da penalidade de caducidade da concessão para exploração da UTE Brasília, conforme Deliberação da Diretoria da ANEEL, nos termos do Despacho nº 4.511/2014.</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lastRenderedPageBreak/>
        <w:t>Em 27 de fevereiro de 2015, no prazo regulamentar, a CEB Geração S.A. se manifestou sobre o objeto do TI nº 1001/2015 e, pelas motivações apresentadas, solicitou à ANEEL que fosse afastada a intenção de aplicação de penalidade, de modo que a concessão não fosse extinta por caducidade e sim por advento do término contratual.</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Por meio do Despacho nº 1.176, de 22 de abril de 2015, a ANEEL decidiu encaminhar os autos do Processo nº 48500.003992/2008-88 ao Ministério de Minas e Energia – MME, com a recomendação de declarar a caducidade da concessão da UTE Brasília.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sz w:val="22"/>
          <w:szCs w:val="22"/>
        </w:rPr>
        <w:t>Diante disso, a CEB Geração S.A., no exercício de 2016, providenciou as medidas cabíveis relativas à destinação dos ativos remanescentes da concessão, ainda não concluídas, que, potencialmente, poderão gerar receitas não operacionais, quando das destinações das máquinas, assim como dos imóveis onde estão instaladas.</w:t>
      </w:r>
    </w:p>
    <w:p w:rsidR="00E9008A" w:rsidRPr="001048EE" w:rsidRDefault="00E9008A" w:rsidP="00E9008A">
      <w:pPr>
        <w:pStyle w:val="Corpodetexto"/>
        <w:numPr>
          <w:ilvl w:val="0"/>
          <w:numId w:val="32"/>
        </w:numPr>
        <w:spacing w:before="240" w:after="240"/>
        <w:ind w:left="709" w:hanging="709"/>
        <w:rPr>
          <w:rFonts w:ascii="Times New Roman" w:hAnsi="Times New Roman" w:cs="Times New Roman"/>
          <w:iCs/>
          <w:smallCaps/>
          <w:color w:val="000000"/>
          <w:sz w:val="22"/>
          <w:szCs w:val="22"/>
        </w:rPr>
      </w:pPr>
      <w:r w:rsidRPr="00316249">
        <w:rPr>
          <w:rFonts w:ascii="Times New Roman" w:hAnsi="Times New Roman" w:cs="Times New Roman"/>
          <w:iCs/>
          <w:smallCaps/>
          <w:color w:val="000000"/>
          <w:sz w:val="22"/>
          <w:szCs w:val="22"/>
        </w:rPr>
        <w:t>UHE</w:t>
      </w:r>
      <w:r w:rsidRPr="001048EE">
        <w:rPr>
          <w:rFonts w:ascii="Times New Roman" w:hAnsi="Times New Roman" w:cs="Times New Roman"/>
          <w:iCs/>
          <w:smallCaps/>
          <w:color w:val="000000"/>
          <w:sz w:val="22"/>
          <w:szCs w:val="22"/>
        </w:rPr>
        <w:t xml:space="preserve"> Paranoá – UPA</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 Usina Hidrelétrica do Paranoá – UHE Paranoá foi outorgada pelo Decreto nº 65.664, de 29 de outubro de 1969, e prorrogada pela Portaria MME nº 255 de 1999, com termo final da concessão em 29 de outubro de 2019. </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No dia 24 de outubro de 2014, a CEB Geração S.A. apresentou à ANEEL requerimento de prorrogação da concessão de geração de energia elétrica destinada a serviço público, definida como Usina Hidroelétrica do Paranoá, nos termos da Lei n° 12.783/2013 e Despacho ANEEL n° 3.065/2012.</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Em função da Nota Técnica nº 562/2014 </w:t>
      </w:r>
      <w:r w:rsidRPr="00316249">
        <w:rPr>
          <w:rFonts w:ascii="Times New Roman" w:hAnsi="Times New Roman" w:cs="Times New Roman"/>
          <w:b w:val="0"/>
          <w:sz w:val="22"/>
          <w:szCs w:val="22"/>
        </w:rPr>
        <w:t>–</w:t>
      </w:r>
      <w:r w:rsidRPr="00316249">
        <w:rPr>
          <w:rFonts w:ascii="Times New Roman" w:hAnsi="Times New Roman" w:cs="Times New Roman"/>
          <w:sz w:val="22"/>
          <w:szCs w:val="22"/>
        </w:rPr>
        <w:t xml:space="preserve"> </w:t>
      </w:r>
      <w:r w:rsidRPr="00316249">
        <w:rPr>
          <w:rFonts w:ascii="Times New Roman" w:hAnsi="Times New Roman" w:cs="Times New Roman"/>
          <w:b w:val="0"/>
          <w:bCs w:val="0"/>
          <w:sz w:val="22"/>
          <w:szCs w:val="22"/>
        </w:rPr>
        <w:t>ANEEL, a CEB Geração S.A. manifestou-se contrária à prorrogação da concessão de geração de energia elétrica da UHE Paranoá, apesar de requerida em 24 de outubro de 2014, por considerar empresarialmente inviável a condição apresentada pela ANEEL. A Diretoria da Companhia Energética de Brasília – CEB, em 22 de maio de 2015, acatou o encaminhamento da não antecipação da prorrogação do prazo da concessão da UHE Paranoá e o Conselho de Administração referendou essa decisão, que foi encaminhada à apreciação da 88ª Assembleia Geral de Acionistas, que ratificou a decisão daqueles colegiados.</w:t>
      </w:r>
    </w:p>
    <w:p w:rsidR="00E9008A" w:rsidRPr="00316249" w:rsidRDefault="00E9008A" w:rsidP="00E9008A">
      <w:pPr>
        <w:pStyle w:val="Corpodetexto"/>
        <w:spacing w:before="240" w:after="240"/>
        <w:rPr>
          <w:rFonts w:ascii="Times New Roman" w:hAnsi="Times New Roman" w:cs="Times New Roman"/>
          <w:b w:val="0"/>
          <w:sz w:val="22"/>
          <w:szCs w:val="22"/>
        </w:rPr>
      </w:pPr>
      <w:r w:rsidRPr="00316249">
        <w:rPr>
          <w:rFonts w:ascii="Times New Roman" w:hAnsi="Times New Roman" w:cs="Times New Roman"/>
          <w:b w:val="0"/>
          <w:sz w:val="22"/>
          <w:szCs w:val="22"/>
        </w:rPr>
        <w:t>A ANEEL, por meio do Despacho nº 2.251/2015, determinou que a Superintendência de Concessão e Autorização de Geração – SCG tomasse as providências cabíveis junto ao Ministério de Minas e Energia para a inclusão da referida usina no rol das geradoras a serem oportunamente licitadas.</w:t>
      </w:r>
    </w:p>
    <w:p w:rsidR="00E9008A" w:rsidRPr="00316249" w:rsidRDefault="00E9008A" w:rsidP="00E9008A">
      <w:pPr>
        <w:spacing w:before="240" w:after="240"/>
        <w:jc w:val="both"/>
        <w:rPr>
          <w:sz w:val="22"/>
          <w:szCs w:val="22"/>
        </w:rPr>
      </w:pPr>
      <w:r w:rsidRPr="00316249">
        <w:rPr>
          <w:sz w:val="22"/>
          <w:szCs w:val="22"/>
        </w:rPr>
        <w:t xml:space="preserve">Em novembro de 2016, houve o enquadramento da Usina Hidrelétrica do Paranoá como Pequena Central Hidroelétrica – PCH. Essa alteração proporciona redução da Tarifa de Uso do Sistema de Distribuição – TUSD de 50%, bem como a isenção da aplicação de 1% da Receita Operacional Líquida em Pesquisa e Desenvolvimento – P&amp;D, apesar da obrigatoriedade do pagamento do encargo de Uso de Bem Público – UBP. Outro benefício, do ponto de vista da receita, foi a venda de energia em dezembro de 2016 já como Fonte Incentivada, cujo preço ficou superior à energia comercializada anteriormente como Fonte Convencional. </w:t>
      </w:r>
    </w:p>
    <w:p w:rsidR="00E9008A" w:rsidRPr="00316249" w:rsidRDefault="00E9008A" w:rsidP="00E9008A">
      <w:pPr>
        <w:spacing w:before="240" w:after="240"/>
        <w:jc w:val="both"/>
        <w:rPr>
          <w:sz w:val="22"/>
          <w:szCs w:val="22"/>
        </w:rPr>
      </w:pPr>
      <w:r w:rsidRPr="00316249">
        <w:rPr>
          <w:sz w:val="22"/>
          <w:szCs w:val="22"/>
        </w:rPr>
        <w:t>Assim, com o enquadramento da UPA em PCH, foi assinado novo contrato de concessão com Agência Nacional de Energia Elétrica – ANEEL. O Contrato nº 01/2016-ANEEL, teve como objeto a transformação em PCH e a consequente alteração da modalidade da Concessão de Serviço Público para Produtor Independente de Energia, resultando em mais liberdade na gestão do empreendimento.</w:t>
      </w:r>
    </w:p>
    <w:p w:rsidR="00E9008A" w:rsidRPr="00316249" w:rsidRDefault="00E9008A" w:rsidP="00E9008A">
      <w:pPr>
        <w:spacing w:before="240" w:after="240"/>
        <w:jc w:val="both"/>
        <w:rPr>
          <w:sz w:val="22"/>
          <w:szCs w:val="22"/>
        </w:rPr>
      </w:pPr>
      <w:r w:rsidRPr="00316249">
        <w:rPr>
          <w:sz w:val="22"/>
          <w:szCs w:val="22"/>
        </w:rPr>
        <w:lastRenderedPageBreak/>
        <w:t>Também foram formalizados dois termos aditivos ao mencionado Contrato de Concessão. O primeiro, diz respeito à transferência da Concessão da Usina do Paranoá da Companhia Energética de Brasília S.A. para a CEB Geração S.A, conforme Resolução Autorizativa nº 318 da ANEEL, de 14/09/2005; o segundo prorrogou o prazo de concessão da usina, cujo vencimento passou de outubro de 2019 para abril de 2020.</w:t>
      </w:r>
    </w:p>
    <w:p w:rsidR="00E9008A" w:rsidRPr="00B033FB" w:rsidRDefault="00E9008A" w:rsidP="00B033FB">
      <w:pPr>
        <w:pStyle w:val="PargrafodaLista"/>
        <w:numPr>
          <w:ilvl w:val="4"/>
          <w:numId w:val="23"/>
        </w:numPr>
        <w:ind w:left="1134" w:hanging="1134"/>
        <w:rPr>
          <w:rFonts w:ascii="Times New Roman" w:hAnsi="Times New Roman" w:cs="Times New Roman"/>
          <w:b/>
          <w:iCs/>
          <w:lang w:val="pt-BR"/>
        </w:rPr>
      </w:pPr>
      <w:r w:rsidRPr="00B033FB">
        <w:rPr>
          <w:rFonts w:ascii="Times New Roman" w:hAnsi="Times New Roman" w:cs="Times New Roman"/>
          <w:b/>
          <w:iCs/>
          <w:lang w:val="pt-BR"/>
        </w:rPr>
        <w:t xml:space="preserve">CEB </w:t>
      </w:r>
      <w:proofErr w:type="spellStart"/>
      <w:r w:rsidRPr="00B033FB">
        <w:rPr>
          <w:rFonts w:ascii="Times New Roman" w:hAnsi="Times New Roman" w:cs="Times New Roman"/>
          <w:b/>
          <w:iCs/>
          <w:lang w:val="pt-BR"/>
        </w:rPr>
        <w:t>Participações</w:t>
      </w:r>
      <w:proofErr w:type="spellEnd"/>
      <w:r w:rsidRPr="00B033FB">
        <w:rPr>
          <w:rFonts w:ascii="Times New Roman" w:hAnsi="Times New Roman" w:cs="Times New Roman"/>
          <w:b/>
          <w:iCs/>
          <w:lang w:val="pt-BR"/>
        </w:rPr>
        <w:t xml:space="preserve"> S.A.</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CEB Participações S.A. é uma sociedade por ações de capital fechado, autorizada pela Lei Distrital nº 1.788, de 27 de novembro de 1997, constituída como subsidiária integral da CEB, que atua na compra e venda de participações acionárias ou cotas de outras empresas energéticas, de telecomunicações e de transmissão de dados, majoritária ou minoritariamente.</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sociedade atua na comercialização da energia elétrica, na proporção de sua cota-parte de 17,5% no Consórcio CEMIG/CEB, produzida pela Usina Hidrelétrica de Queimado, na condição de produtora independente de energia elétrica.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Complementarmente, a Empresa detém a participação acionária correspondente a 2,35% do capital da Corumbá Concessões </w:t>
      </w:r>
      <w:proofErr w:type="gramStart"/>
      <w:r w:rsidRPr="00316249">
        <w:rPr>
          <w:rFonts w:ascii="Times New Roman" w:hAnsi="Times New Roman" w:cs="Times New Roman"/>
          <w:b w:val="0"/>
          <w:bCs w:val="0"/>
          <w:sz w:val="22"/>
          <w:szCs w:val="22"/>
        </w:rPr>
        <w:t>S.A..</w:t>
      </w:r>
      <w:proofErr w:type="gramEnd"/>
    </w:p>
    <w:p w:rsidR="00E9008A" w:rsidRPr="00B033FB" w:rsidRDefault="00E9008A" w:rsidP="00B033FB">
      <w:pPr>
        <w:pStyle w:val="PargrafodaLista"/>
        <w:numPr>
          <w:ilvl w:val="4"/>
          <w:numId w:val="23"/>
        </w:numPr>
        <w:ind w:left="1134" w:hanging="1134"/>
        <w:rPr>
          <w:rFonts w:ascii="Times New Roman" w:hAnsi="Times New Roman" w:cs="Times New Roman"/>
          <w:b/>
          <w:iCs/>
          <w:lang w:val="pt-BR"/>
        </w:rPr>
      </w:pPr>
      <w:r w:rsidRPr="00B033FB">
        <w:rPr>
          <w:rFonts w:ascii="Times New Roman" w:hAnsi="Times New Roman" w:cs="Times New Roman"/>
          <w:b/>
          <w:iCs/>
          <w:lang w:val="pt-BR"/>
        </w:rPr>
        <w:t xml:space="preserve">CEB </w:t>
      </w:r>
      <w:proofErr w:type="spellStart"/>
      <w:r w:rsidRPr="00B033FB">
        <w:rPr>
          <w:rFonts w:ascii="Times New Roman" w:hAnsi="Times New Roman" w:cs="Times New Roman"/>
          <w:b/>
          <w:iCs/>
          <w:lang w:val="pt-BR"/>
        </w:rPr>
        <w:t>Lajeado</w:t>
      </w:r>
      <w:proofErr w:type="spellEnd"/>
      <w:r w:rsidRPr="00B033FB">
        <w:rPr>
          <w:rFonts w:ascii="Times New Roman" w:hAnsi="Times New Roman" w:cs="Times New Roman"/>
          <w:b/>
          <w:iCs/>
          <w:lang w:val="pt-BR"/>
        </w:rPr>
        <w:t xml:space="preserve"> S.A.</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 CEB Lajeado S.A. é uma sociedade por ações de capital fechado, autorizada pela Lei Distrital nº 2.515, de 31 de dezembro de 1999, controlada pela Companhia Energética de Brasília – CEB, com 59,93% do total das ações, representada por ações ordinárias. As Centrais Elétricas Brasileiras S.A. – Eletrobrás detém 40,07% do total das ações, representada por ações preferenciais. </w:t>
      </w:r>
    </w:p>
    <w:p w:rsidR="00E9008A" w:rsidRPr="00316249" w:rsidRDefault="00E9008A" w:rsidP="00E9008A">
      <w:pPr>
        <w:pStyle w:val="Corpodetexto"/>
        <w:spacing w:before="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 CEB Lajeado S.A. em conjunto com a EDP Lajeado Energia S.A. e a Paulista Lajeado Energia S.A. são titulares de ações representativas de 100% do capital votante da </w:t>
      </w:r>
      <w:proofErr w:type="spellStart"/>
      <w:r w:rsidRPr="00316249">
        <w:rPr>
          <w:rFonts w:ascii="Times New Roman" w:hAnsi="Times New Roman" w:cs="Times New Roman"/>
          <w:b w:val="0"/>
          <w:bCs w:val="0"/>
          <w:sz w:val="22"/>
          <w:szCs w:val="22"/>
        </w:rPr>
        <w:t>Investco</w:t>
      </w:r>
      <w:proofErr w:type="spellEnd"/>
      <w:r w:rsidRPr="00316249">
        <w:rPr>
          <w:rFonts w:ascii="Times New Roman" w:hAnsi="Times New Roman" w:cs="Times New Roman"/>
          <w:b w:val="0"/>
          <w:bCs w:val="0"/>
          <w:sz w:val="22"/>
          <w:szCs w:val="22"/>
        </w:rPr>
        <w:t xml:space="preserve"> </w:t>
      </w:r>
      <w:proofErr w:type="gramStart"/>
      <w:r w:rsidRPr="00316249">
        <w:rPr>
          <w:rFonts w:ascii="Times New Roman" w:hAnsi="Times New Roman" w:cs="Times New Roman"/>
          <w:b w:val="0"/>
          <w:bCs w:val="0"/>
          <w:sz w:val="22"/>
          <w:szCs w:val="22"/>
        </w:rPr>
        <w:t>S.A..</w:t>
      </w:r>
      <w:proofErr w:type="gramEnd"/>
      <w:r w:rsidRPr="00316249">
        <w:rPr>
          <w:rFonts w:ascii="Times New Roman" w:hAnsi="Times New Roman" w:cs="Times New Roman"/>
          <w:b w:val="0"/>
          <w:bCs w:val="0"/>
          <w:sz w:val="22"/>
          <w:szCs w:val="22"/>
        </w:rPr>
        <w:t xml:space="preserve"> Sobre este capital, a CEB Lajeado S.A. detém 20% de participação.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sz w:val="22"/>
          <w:szCs w:val="22"/>
        </w:rPr>
        <w:t xml:space="preserve">As referidas sociedades, juntamente com a </w:t>
      </w:r>
      <w:proofErr w:type="spellStart"/>
      <w:r w:rsidRPr="00316249">
        <w:rPr>
          <w:rFonts w:ascii="Times New Roman" w:hAnsi="Times New Roman" w:cs="Times New Roman"/>
          <w:b w:val="0"/>
          <w:sz w:val="22"/>
          <w:szCs w:val="22"/>
        </w:rPr>
        <w:t>Investco</w:t>
      </w:r>
      <w:proofErr w:type="spellEnd"/>
      <w:r w:rsidRPr="00316249">
        <w:rPr>
          <w:rFonts w:ascii="Times New Roman" w:hAnsi="Times New Roman" w:cs="Times New Roman"/>
          <w:b w:val="0"/>
          <w:sz w:val="22"/>
          <w:szCs w:val="22"/>
        </w:rPr>
        <w:t>, são parte do consórcio denominado “Consórcio Lajeado”, cujo objeto é a exploração compartilhada da concessão de uso de bem público para a exploração da UHE Luís Eduardo Magalhães e Sistema de Transmissão Associado, nos termos do Contrato de Concessão n° 05/1997 e respectivos aditivos. O prazo de duração do contrato de concessão é de 35 anos contados a partir de 16 de dezembro de 1997.</w:t>
      </w:r>
    </w:p>
    <w:p w:rsidR="00E9008A" w:rsidRPr="00B033FB" w:rsidRDefault="00E9008A" w:rsidP="00B033FB">
      <w:pPr>
        <w:pStyle w:val="PargrafodaLista"/>
        <w:numPr>
          <w:ilvl w:val="4"/>
          <w:numId w:val="23"/>
        </w:numPr>
        <w:ind w:left="1134" w:hanging="1134"/>
        <w:rPr>
          <w:rFonts w:ascii="Times New Roman" w:hAnsi="Times New Roman" w:cs="Times New Roman"/>
          <w:b/>
          <w:iCs/>
          <w:lang w:val="pt-BR"/>
        </w:rPr>
      </w:pPr>
      <w:r w:rsidRPr="00B033FB">
        <w:rPr>
          <w:rFonts w:ascii="Times New Roman" w:hAnsi="Times New Roman" w:cs="Times New Roman"/>
          <w:b/>
          <w:iCs/>
          <w:lang w:val="pt-BR"/>
        </w:rPr>
        <w:t>Companhia Brasiliense de Gás S.A.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sz w:val="22"/>
          <w:szCs w:val="22"/>
        </w:rPr>
        <w:t xml:space="preserve">A Companhia Brasiliense de Gás S.A. é uma </w:t>
      </w:r>
      <w:r w:rsidRPr="00316249">
        <w:rPr>
          <w:rFonts w:ascii="Times New Roman" w:hAnsi="Times New Roman" w:cs="Times New Roman"/>
          <w:b w:val="0"/>
          <w:bCs w:val="0"/>
          <w:sz w:val="22"/>
          <w:szCs w:val="22"/>
        </w:rPr>
        <w:t>sociedade de economia mista, constituída em 20 de março de 2001, com autorização da Lei Distrital n</w:t>
      </w:r>
      <w:r w:rsidRPr="00316249">
        <w:rPr>
          <w:rFonts w:ascii="Times New Roman" w:hAnsi="Times New Roman" w:cs="Times New Roman"/>
          <w:b w:val="0"/>
          <w:bCs w:val="0"/>
          <w:sz w:val="22"/>
          <w:szCs w:val="22"/>
          <w:vertAlign w:val="superscript"/>
        </w:rPr>
        <w:t>o</w:t>
      </w:r>
      <w:r w:rsidRPr="00316249">
        <w:rPr>
          <w:rFonts w:ascii="Times New Roman" w:hAnsi="Times New Roman" w:cs="Times New Roman"/>
          <w:b w:val="0"/>
          <w:bCs w:val="0"/>
          <w:sz w:val="22"/>
          <w:szCs w:val="22"/>
        </w:rPr>
        <w:t xml:space="preserve"> 2.518, de 10 de janeiro de 2000. Tem por objeto social a exploração, com exclusividade, do serviço de distribuição e comercialização de gás combustível canalizado, de produção própria ou de terceiros, podendo inclusive importar, para fins comerciais, industriais, residenciais, automotivos, de geração termelétrica ou quaisquer outras finalidades e usos possibilitados pelos avanços tecnológicos, em todo território do Distrito Federal. A Companhia poderá ainda:</w:t>
      </w:r>
    </w:p>
    <w:p w:rsidR="00E9008A" w:rsidRPr="00316249" w:rsidRDefault="00E9008A" w:rsidP="00E9008A">
      <w:pPr>
        <w:pStyle w:val="PargrafodaLista"/>
        <w:numPr>
          <w:ilvl w:val="0"/>
          <w:numId w:val="22"/>
        </w:numPr>
        <w:spacing w:before="240" w:after="0"/>
        <w:ind w:left="567" w:hanging="567"/>
        <w:jc w:val="both"/>
        <w:rPr>
          <w:rFonts w:ascii="Times New Roman" w:hAnsi="Times New Roman" w:cs="Times New Roman"/>
          <w:iCs/>
          <w:lang w:val="pt-BR"/>
        </w:rPr>
      </w:pPr>
      <w:r w:rsidRPr="00316249">
        <w:rPr>
          <w:rFonts w:ascii="Times New Roman" w:hAnsi="Times New Roman" w:cs="Times New Roman"/>
          <w:iCs/>
          <w:lang w:val="pt-BR"/>
        </w:rPr>
        <w:t>Efetuar a implantação e a operação das redes de distribuição de gás canalizado, podendo ainda adquirir e importar diretamente gás natural e executar os serviços de transporte;</w:t>
      </w:r>
    </w:p>
    <w:p w:rsidR="00E9008A" w:rsidRPr="00316249" w:rsidRDefault="00E9008A" w:rsidP="00E9008A">
      <w:pPr>
        <w:pStyle w:val="PargrafodaLista"/>
        <w:numPr>
          <w:ilvl w:val="0"/>
          <w:numId w:val="22"/>
        </w:numPr>
        <w:spacing w:after="0"/>
        <w:ind w:left="567" w:hanging="567"/>
        <w:jc w:val="both"/>
        <w:rPr>
          <w:rFonts w:ascii="Times New Roman" w:hAnsi="Times New Roman" w:cs="Times New Roman"/>
          <w:bCs/>
          <w:lang w:val="pt-BR"/>
        </w:rPr>
      </w:pPr>
      <w:r w:rsidRPr="00316249">
        <w:rPr>
          <w:rFonts w:ascii="Times New Roman" w:hAnsi="Times New Roman" w:cs="Times New Roman"/>
          <w:bCs/>
          <w:lang w:val="pt-BR"/>
        </w:rPr>
        <w:lastRenderedPageBreak/>
        <w:t xml:space="preserve">Exercer atividades correlatas à sua finalidade principal, especialmente execução de estudos, pesquisas e projetos relacionados com o setor de gás, inclusive, sob a forma de prestação de serviços de consultoria técnica a terceiros; e </w:t>
      </w:r>
    </w:p>
    <w:p w:rsidR="00E9008A" w:rsidRPr="00316249" w:rsidRDefault="00E9008A" w:rsidP="00E9008A">
      <w:pPr>
        <w:pStyle w:val="PargrafodaLista"/>
        <w:numPr>
          <w:ilvl w:val="0"/>
          <w:numId w:val="22"/>
        </w:numPr>
        <w:spacing w:after="0"/>
        <w:ind w:left="567" w:hanging="567"/>
        <w:jc w:val="both"/>
        <w:rPr>
          <w:rFonts w:ascii="Times New Roman" w:hAnsi="Times New Roman" w:cs="Times New Roman"/>
          <w:bCs/>
          <w:lang w:val="pt-BR"/>
        </w:rPr>
      </w:pPr>
      <w:r w:rsidRPr="00316249">
        <w:rPr>
          <w:rFonts w:ascii="Times New Roman" w:hAnsi="Times New Roman" w:cs="Times New Roman"/>
          <w:lang w:val="pt-BR"/>
        </w:rPr>
        <w:t>Constituir ou participar de outras sociedades, inclusive subsidiárias integrais, visando o êxito na realização de suas atividades.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 concessão da exploração tem prazo de vigência até 09 de janeiro de 2030, podendo ser prorrogado por mais 30 anos.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Para que sua operação seja similar à de outras empresas Distribuidoras de Gás Canalizado no Brasil, faz-se necessária a viabilização de um suprimento adequado às necessidades do Distrito Federal, por meio de um gasoduto de transporte de gás natural.</w:t>
      </w:r>
    </w:p>
    <w:p w:rsidR="00E9008A" w:rsidRPr="00316249" w:rsidRDefault="00E9008A" w:rsidP="00E9008A">
      <w:pPr>
        <w:pStyle w:val="Default"/>
        <w:spacing w:before="240" w:after="240"/>
        <w:rPr>
          <w:rFonts w:ascii="Times New Roman" w:hAnsi="Times New Roman" w:cs="Times New Roman"/>
          <w:b/>
          <w:bCs/>
          <w:sz w:val="22"/>
          <w:szCs w:val="22"/>
        </w:rPr>
      </w:pPr>
      <w:r w:rsidRPr="00316249">
        <w:rPr>
          <w:rFonts w:ascii="Times New Roman" w:hAnsi="Times New Roman" w:cs="Times New Roman"/>
          <w:sz w:val="22"/>
          <w:szCs w:val="22"/>
        </w:rPr>
        <w:t>A Companhia Energética de Brasília – CEB é controladora da Companhia Brasiliense de Gás S.A. com 51% das ações ordinárias e 17% do total das ações</w:t>
      </w:r>
      <w:r w:rsidRPr="00316249">
        <w:rPr>
          <w:rFonts w:ascii="Times New Roman" w:hAnsi="Times New Roman" w:cs="Times New Roman"/>
          <w:b/>
          <w:bCs/>
          <w:sz w:val="22"/>
          <w:szCs w:val="22"/>
        </w:rPr>
        <w:t>.</w:t>
      </w:r>
    </w:p>
    <w:p w:rsidR="007F7D85" w:rsidRDefault="007F7D85">
      <w:pPr>
        <w:rPr>
          <w:b/>
          <w:bCs/>
          <w:sz w:val="22"/>
          <w:szCs w:val="22"/>
          <w:lang w:eastAsia="en-US"/>
        </w:rPr>
      </w:pPr>
      <w:r>
        <w:rPr>
          <w:b/>
          <w:bCs/>
        </w:rPr>
        <w:br w:type="page"/>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316249">
        <w:rPr>
          <w:rFonts w:ascii="Times New Roman" w:hAnsi="Times New Roman" w:cs="Times New Roman"/>
          <w:b/>
          <w:bCs/>
          <w:lang w:val="pt-BR"/>
        </w:rPr>
        <w:lastRenderedPageBreak/>
        <w:t>Controlada em conjunto</w:t>
      </w:r>
    </w:p>
    <w:p w:rsidR="00E9008A" w:rsidRPr="00B033FB" w:rsidRDefault="00E9008A" w:rsidP="00E9008A">
      <w:pPr>
        <w:pStyle w:val="PargrafodaLista"/>
        <w:numPr>
          <w:ilvl w:val="3"/>
          <w:numId w:val="23"/>
        </w:numPr>
        <w:ind w:left="567" w:hanging="567"/>
        <w:rPr>
          <w:rFonts w:ascii="Times New Roman" w:hAnsi="Times New Roman" w:cs="Times New Roman"/>
          <w:b/>
          <w:iCs/>
          <w:lang w:val="pt-BR"/>
        </w:rPr>
      </w:pPr>
      <w:r w:rsidRPr="00B033FB">
        <w:rPr>
          <w:rFonts w:ascii="Times New Roman" w:hAnsi="Times New Roman" w:cs="Times New Roman"/>
          <w:b/>
          <w:iCs/>
          <w:lang w:val="pt-BR"/>
        </w:rPr>
        <w:t>Energética Corumbá III S.A.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Energética Corumbá III S.A. é uma sociedade por ações de capital fechado, constituída em 25 de julho de 2001, concessionária do serviço público de energia elétrica, na condição de produtora independente. A CEB detém uma participação de 37,5% do capital social, sendo 25% das ações ordinárias e 50% das ações preferenciais.</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316249">
        <w:rPr>
          <w:rFonts w:ascii="Times New Roman" w:hAnsi="Times New Roman" w:cs="Times New Roman"/>
          <w:b/>
          <w:bCs/>
          <w:lang w:val="pt-BR"/>
        </w:rPr>
        <w:t>Coligadas</w:t>
      </w:r>
    </w:p>
    <w:p w:rsidR="00E9008A" w:rsidRPr="00B033FB" w:rsidRDefault="00E9008A" w:rsidP="00E9008A">
      <w:pPr>
        <w:pStyle w:val="PargrafodaLista"/>
        <w:numPr>
          <w:ilvl w:val="3"/>
          <w:numId w:val="23"/>
        </w:numPr>
        <w:ind w:left="567" w:hanging="567"/>
        <w:rPr>
          <w:rFonts w:ascii="Times New Roman" w:hAnsi="Times New Roman" w:cs="Times New Roman"/>
          <w:b/>
          <w:iCs/>
          <w:lang w:val="pt-BR"/>
        </w:rPr>
      </w:pPr>
      <w:r w:rsidRPr="00B033FB">
        <w:rPr>
          <w:rFonts w:ascii="Times New Roman" w:hAnsi="Times New Roman" w:cs="Times New Roman"/>
          <w:b/>
          <w:iCs/>
          <w:lang w:val="pt-BR"/>
        </w:rPr>
        <w:t>Corumbá Concessões S.A.</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 Corumbá Concessões S.A. é uma sociedade por ações de capital fechado, constituída em 6 de dezembro de 2000, concessionária do serviço público de energia elétrica, atuando na geração de energia elétrica, na condição de produtora independente. A participação do Grupo no capital social da Empresa é de 47,56%, sendo 45,21% de propriedade da CEB e 2,35% de propriedade da CEB Participações </w:t>
      </w:r>
      <w:proofErr w:type="gramStart"/>
      <w:r w:rsidRPr="00316249">
        <w:rPr>
          <w:rFonts w:ascii="Times New Roman" w:hAnsi="Times New Roman" w:cs="Times New Roman"/>
          <w:b w:val="0"/>
          <w:bCs w:val="0"/>
          <w:sz w:val="22"/>
          <w:szCs w:val="22"/>
        </w:rPr>
        <w:t>S.A..</w:t>
      </w:r>
      <w:proofErr w:type="gramEnd"/>
    </w:p>
    <w:p w:rsidR="00E9008A" w:rsidRPr="00747E73" w:rsidRDefault="00E9008A" w:rsidP="00E9008A">
      <w:pPr>
        <w:pStyle w:val="Corpodetexto"/>
        <w:spacing w:before="240" w:after="240"/>
        <w:rPr>
          <w:rFonts w:ascii="Times New Roman" w:hAnsi="Times New Roman" w:cs="Times New Roman"/>
          <w:iCs/>
          <w:color w:val="000000"/>
          <w:sz w:val="22"/>
          <w:szCs w:val="22"/>
        </w:rPr>
      </w:pPr>
      <w:r w:rsidRPr="00747E73">
        <w:rPr>
          <w:rFonts w:ascii="Times New Roman" w:hAnsi="Times New Roman" w:cs="Times New Roman"/>
          <w:iCs/>
          <w:color w:val="000000"/>
          <w:sz w:val="22"/>
          <w:szCs w:val="22"/>
        </w:rPr>
        <w:t xml:space="preserve">Ação de cobrança proposta pela Saneamento de Goiás S.A. – </w:t>
      </w:r>
      <w:proofErr w:type="spellStart"/>
      <w:r w:rsidRPr="00747E73">
        <w:rPr>
          <w:rFonts w:ascii="Times New Roman" w:hAnsi="Times New Roman" w:cs="Times New Roman"/>
          <w:iCs/>
          <w:color w:val="000000"/>
          <w:sz w:val="22"/>
          <w:szCs w:val="22"/>
        </w:rPr>
        <w:t>Saneago</w:t>
      </w:r>
      <w:proofErr w:type="spellEnd"/>
    </w:p>
    <w:p w:rsidR="00E9008A" w:rsidRPr="00747E73" w:rsidRDefault="00E9008A" w:rsidP="00E9008A">
      <w:pPr>
        <w:pStyle w:val="Corpodetexto"/>
        <w:spacing w:before="240" w:after="240"/>
        <w:rPr>
          <w:rFonts w:ascii="Times New Roman" w:hAnsi="Times New Roman" w:cs="Times New Roman"/>
          <w:b w:val="0"/>
          <w:bCs w:val="0"/>
          <w:sz w:val="22"/>
          <w:szCs w:val="22"/>
        </w:rPr>
      </w:pPr>
      <w:r w:rsidRPr="00747E73">
        <w:rPr>
          <w:rFonts w:ascii="Times New Roman" w:hAnsi="Times New Roman" w:cs="Times New Roman"/>
          <w:b w:val="0"/>
          <w:bCs w:val="0"/>
          <w:sz w:val="22"/>
          <w:szCs w:val="22"/>
        </w:rPr>
        <w:t xml:space="preserve">A empresa Saneamento de Goiás S.A. – </w:t>
      </w:r>
      <w:proofErr w:type="spellStart"/>
      <w:r w:rsidRPr="00747E73">
        <w:rPr>
          <w:rFonts w:ascii="Times New Roman" w:hAnsi="Times New Roman" w:cs="Times New Roman"/>
          <w:b w:val="0"/>
          <w:bCs w:val="0"/>
          <w:sz w:val="22"/>
          <w:szCs w:val="22"/>
        </w:rPr>
        <w:t>Saneago</w:t>
      </w:r>
      <w:proofErr w:type="spellEnd"/>
      <w:r w:rsidRPr="00747E73">
        <w:rPr>
          <w:rFonts w:ascii="Times New Roman" w:hAnsi="Times New Roman" w:cs="Times New Roman"/>
          <w:b w:val="0"/>
          <w:bCs w:val="0"/>
          <w:sz w:val="22"/>
          <w:szCs w:val="22"/>
        </w:rPr>
        <w:t>, ajuizou ação de cobrança contra a Corumbá Concessões S.A., embasada no argumento de que ocorreu a inundação de uma obra de captação de água bruta, de sua propriedade, no rio Corumbá, em decorrência da formação do lago para produção de energia hidrelétrica, de responsabilidade da Corumbá Concessões S.A., restando à autora da ação judicial, o prejuízo de R$ 24.021, orçado em outubro de 2006.</w:t>
      </w:r>
    </w:p>
    <w:p w:rsidR="00E9008A" w:rsidRPr="00747E73" w:rsidRDefault="00E9008A" w:rsidP="00E9008A">
      <w:pPr>
        <w:pStyle w:val="Corpodetexto"/>
        <w:spacing w:before="240" w:after="240"/>
        <w:rPr>
          <w:rFonts w:ascii="Times New Roman" w:hAnsi="Times New Roman" w:cs="Times New Roman"/>
          <w:b w:val="0"/>
          <w:bCs w:val="0"/>
          <w:sz w:val="22"/>
          <w:szCs w:val="22"/>
        </w:rPr>
      </w:pPr>
      <w:r w:rsidRPr="00747E73">
        <w:rPr>
          <w:rFonts w:ascii="Times New Roman" w:hAnsi="Times New Roman" w:cs="Times New Roman"/>
          <w:b w:val="0"/>
          <w:bCs w:val="0"/>
          <w:sz w:val="22"/>
          <w:szCs w:val="22"/>
        </w:rPr>
        <w:t xml:space="preserve">A Corumbá Concessões S.A., por sua vez, alegou que tinha conhecimento da interferência das obras que seriam feitas sobre a construção da estação de captação de água já iniciada pela </w:t>
      </w:r>
      <w:proofErr w:type="spellStart"/>
      <w:r w:rsidRPr="00747E73">
        <w:rPr>
          <w:rFonts w:ascii="Times New Roman" w:hAnsi="Times New Roman" w:cs="Times New Roman"/>
          <w:b w:val="0"/>
          <w:bCs w:val="0"/>
          <w:sz w:val="22"/>
          <w:szCs w:val="22"/>
        </w:rPr>
        <w:t>Saneago</w:t>
      </w:r>
      <w:proofErr w:type="spellEnd"/>
      <w:r w:rsidRPr="00747E73">
        <w:rPr>
          <w:rFonts w:ascii="Times New Roman" w:hAnsi="Times New Roman" w:cs="Times New Roman"/>
          <w:b w:val="0"/>
          <w:bCs w:val="0"/>
          <w:sz w:val="22"/>
          <w:szCs w:val="22"/>
        </w:rPr>
        <w:t xml:space="preserve">, e que desde a assinatura do Termo de Compromisso, cumpriu com as obrigações referentes à primeira fase da obra, tendo sido impedida de dar prosseguimento à segunda etapa da construção, por fatos alheios à sua vontade, por parte da resistência apresentada pelos proprietários dos imóveis situados nas proximidades da área e a fiscalização do Ibama/DF. </w:t>
      </w:r>
    </w:p>
    <w:p w:rsidR="00E9008A" w:rsidRPr="00747E73" w:rsidRDefault="00E9008A" w:rsidP="00E9008A">
      <w:pPr>
        <w:pStyle w:val="Corpodetexto"/>
        <w:spacing w:before="240" w:after="240"/>
        <w:rPr>
          <w:rFonts w:ascii="Times New Roman" w:hAnsi="Times New Roman" w:cs="Times New Roman"/>
          <w:b w:val="0"/>
          <w:bCs w:val="0"/>
          <w:sz w:val="22"/>
          <w:szCs w:val="22"/>
        </w:rPr>
      </w:pPr>
      <w:r w:rsidRPr="00747E73">
        <w:rPr>
          <w:rFonts w:ascii="Times New Roman" w:hAnsi="Times New Roman" w:cs="Times New Roman"/>
          <w:b w:val="0"/>
          <w:bCs w:val="0"/>
          <w:sz w:val="22"/>
          <w:szCs w:val="22"/>
        </w:rPr>
        <w:t xml:space="preserve">Posteriormente, houve a emissão da sentença que julgou parcialmente procedente o pedido da Corumbá Concessões S.A., pela não aplicação da multa por atraso na execução da obra, eis que as resistências criadas constituíram situações não gerenciáveis pela Empresa, que a impediram de cumprir as obrigações, excluindo, portanto, sua responsabilidade pela mora, não sendo cabível a condenação ao pagamento da multa contratual. Entretanto, o juiz entendeu ser necessário, em procedimento de liquidação de sentença, se apurar a quantia devida, o que requer o auxílio de um perito para estimar o valor da obra inundada. </w:t>
      </w:r>
    </w:p>
    <w:p w:rsidR="00E9008A" w:rsidRPr="009B7673" w:rsidRDefault="00E9008A" w:rsidP="00E9008A">
      <w:pPr>
        <w:pStyle w:val="Corpodetexto"/>
        <w:spacing w:before="240" w:after="240"/>
        <w:rPr>
          <w:rFonts w:ascii="Times New Roman" w:hAnsi="Times New Roman" w:cs="Times New Roman"/>
          <w:b w:val="0"/>
          <w:bCs w:val="0"/>
          <w:sz w:val="22"/>
          <w:szCs w:val="22"/>
        </w:rPr>
      </w:pPr>
      <w:r w:rsidRPr="00747E73">
        <w:rPr>
          <w:rFonts w:ascii="Times New Roman" w:hAnsi="Times New Roman" w:cs="Times New Roman"/>
          <w:b w:val="0"/>
          <w:bCs w:val="0"/>
          <w:sz w:val="22"/>
          <w:szCs w:val="22"/>
        </w:rPr>
        <w:t xml:space="preserve">Após recursos de ambas as partes no curso da ação de cobrança, em 12 de maio de 2015, foi proposta pela </w:t>
      </w:r>
      <w:proofErr w:type="spellStart"/>
      <w:r w:rsidRPr="00747E73">
        <w:rPr>
          <w:rFonts w:ascii="Times New Roman" w:hAnsi="Times New Roman" w:cs="Times New Roman"/>
          <w:b w:val="0"/>
          <w:bCs w:val="0"/>
          <w:sz w:val="22"/>
          <w:szCs w:val="22"/>
        </w:rPr>
        <w:t>Saneago</w:t>
      </w:r>
      <w:proofErr w:type="spellEnd"/>
      <w:r w:rsidRPr="00747E73">
        <w:rPr>
          <w:rFonts w:ascii="Times New Roman" w:hAnsi="Times New Roman" w:cs="Times New Roman"/>
          <w:b w:val="0"/>
          <w:bCs w:val="0"/>
          <w:sz w:val="22"/>
          <w:szCs w:val="22"/>
        </w:rPr>
        <w:t xml:space="preserve"> ação de liquidação provisória de sentença, na qual deverá ser apurado o valor real dos prejuízos materiais sofridos pela Empresa. A perícia de liquidação ainda não foi iniciada, e o valor original da causa foi atualizado para R$ 41.969. A Administração da coligada considerou como provável a probabilidade de perda da ação, sendo esta reconhecida nas demonstrações intermediárias da Corumbá Concessões S.A., de 31 de março de 2016.</w:t>
      </w:r>
    </w:p>
    <w:p w:rsidR="00E9008A" w:rsidRPr="00B033FB" w:rsidRDefault="00E9008A" w:rsidP="00B033FB">
      <w:pPr>
        <w:pStyle w:val="PargrafodaLista"/>
        <w:numPr>
          <w:ilvl w:val="3"/>
          <w:numId w:val="23"/>
        </w:numPr>
        <w:ind w:left="567" w:hanging="567"/>
        <w:rPr>
          <w:rFonts w:ascii="Times New Roman" w:hAnsi="Times New Roman" w:cs="Times New Roman"/>
          <w:b/>
          <w:iCs/>
          <w:lang w:val="pt-BR"/>
        </w:rPr>
      </w:pPr>
      <w:proofErr w:type="spellStart"/>
      <w:r w:rsidRPr="00B033FB">
        <w:rPr>
          <w:rFonts w:ascii="Times New Roman" w:hAnsi="Times New Roman" w:cs="Times New Roman"/>
          <w:b/>
          <w:iCs/>
          <w:lang w:val="pt-BR"/>
        </w:rPr>
        <w:t>Investco</w:t>
      </w:r>
      <w:proofErr w:type="spellEnd"/>
      <w:r w:rsidRPr="00B033FB">
        <w:rPr>
          <w:rFonts w:ascii="Times New Roman" w:hAnsi="Times New Roman" w:cs="Times New Roman"/>
          <w:b/>
          <w:iCs/>
          <w:lang w:val="pt-BR"/>
        </w:rPr>
        <w:t xml:space="preserve"> S.A. (Participação Indireta)</w:t>
      </w:r>
    </w:p>
    <w:p w:rsidR="00E9008A" w:rsidRPr="00316249" w:rsidRDefault="00E9008A" w:rsidP="00E9008A">
      <w:pPr>
        <w:pStyle w:val="Corpodetexto"/>
        <w:spacing w:before="240"/>
        <w:rPr>
          <w:rFonts w:ascii="Times New Roman" w:hAnsi="Times New Roman" w:cs="Times New Roman"/>
          <w:b w:val="0"/>
          <w:sz w:val="22"/>
          <w:szCs w:val="22"/>
        </w:rPr>
      </w:pPr>
      <w:r w:rsidRPr="00316249">
        <w:rPr>
          <w:rFonts w:ascii="Times New Roman" w:hAnsi="Times New Roman" w:cs="Times New Roman"/>
          <w:b w:val="0"/>
          <w:sz w:val="22"/>
          <w:szCs w:val="22"/>
        </w:rPr>
        <w:lastRenderedPageBreak/>
        <w:t xml:space="preserve">A </w:t>
      </w:r>
      <w:proofErr w:type="spellStart"/>
      <w:r w:rsidRPr="00316249">
        <w:rPr>
          <w:rFonts w:ascii="Times New Roman" w:hAnsi="Times New Roman" w:cs="Times New Roman"/>
          <w:b w:val="0"/>
          <w:sz w:val="22"/>
          <w:szCs w:val="22"/>
        </w:rPr>
        <w:t>Investco</w:t>
      </w:r>
      <w:proofErr w:type="spellEnd"/>
      <w:r w:rsidRPr="00316249">
        <w:rPr>
          <w:rFonts w:ascii="Times New Roman" w:hAnsi="Times New Roman" w:cs="Times New Roman"/>
          <w:b w:val="0"/>
          <w:sz w:val="22"/>
          <w:szCs w:val="22"/>
        </w:rPr>
        <w:t xml:space="preserve"> S.A. é uma empresa de capital aberto que tem como objeto social a elaboração de estudos, planejamentos, projetos, constituição e exploração dos sistemas de produção, transmissão, transformação, distribuição e comércio de energia elétrica, especialmente a exploração dos ativos da Usina Hidrelétrica Luís Eduardo Magalhães e Sistema de Transmissão Associado. A CEB detém através de sua controlada CEB Lajeado S.A. uma participação direta no capital social total da </w:t>
      </w:r>
      <w:proofErr w:type="spellStart"/>
      <w:r w:rsidRPr="00316249">
        <w:rPr>
          <w:rFonts w:ascii="Times New Roman" w:hAnsi="Times New Roman" w:cs="Times New Roman"/>
          <w:b w:val="0"/>
          <w:sz w:val="22"/>
          <w:szCs w:val="22"/>
        </w:rPr>
        <w:t>Investco</w:t>
      </w:r>
      <w:proofErr w:type="spellEnd"/>
      <w:r w:rsidRPr="00316249">
        <w:rPr>
          <w:rFonts w:ascii="Times New Roman" w:hAnsi="Times New Roman" w:cs="Times New Roman"/>
          <w:b w:val="0"/>
          <w:sz w:val="22"/>
          <w:szCs w:val="22"/>
        </w:rPr>
        <w:t xml:space="preserve"> S.A. de 16,98%. Deste total, 20,0% são representados por ações ordinárias; 20,0% de ações preferenciais classe R; 6,02% de ações preferenciais classe A; e 20% de ações preferenciais classe B. </w:t>
      </w:r>
    </w:p>
    <w:p w:rsidR="00E9008A" w:rsidRPr="00316249" w:rsidRDefault="00E9008A" w:rsidP="00E9008A">
      <w:pPr>
        <w:pStyle w:val="Corpodetexto"/>
        <w:spacing w:before="240" w:after="240"/>
        <w:rPr>
          <w:rFonts w:ascii="Times New Roman" w:hAnsi="Times New Roman" w:cs="Times New Roman"/>
          <w:b w:val="0"/>
          <w:sz w:val="22"/>
          <w:szCs w:val="22"/>
        </w:rPr>
      </w:pPr>
      <w:r w:rsidRPr="00316249">
        <w:rPr>
          <w:rFonts w:ascii="Times New Roman" w:hAnsi="Times New Roman" w:cs="Times New Roman"/>
          <w:b w:val="0"/>
          <w:sz w:val="22"/>
          <w:szCs w:val="22"/>
        </w:rPr>
        <w:t xml:space="preserve">A </w:t>
      </w:r>
      <w:proofErr w:type="spellStart"/>
      <w:r w:rsidRPr="00316249">
        <w:rPr>
          <w:rFonts w:ascii="Times New Roman" w:hAnsi="Times New Roman" w:cs="Times New Roman"/>
          <w:b w:val="0"/>
          <w:sz w:val="22"/>
          <w:szCs w:val="22"/>
        </w:rPr>
        <w:t>Investco</w:t>
      </w:r>
      <w:proofErr w:type="spellEnd"/>
      <w:r w:rsidRPr="00316249">
        <w:rPr>
          <w:rFonts w:ascii="Times New Roman" w:hAnsi="Times New Roman" w:cs="Times New Roman"/>
          <w:b w:val="0"/>
          <w:sz w:val="22"/>
          <w:szCs w:val="22"/>
        </w:rPr>
        <w:t xml:space="preserve"> S.A., juntamente com as sociedades empreendedoras, é parte do consórcio denominado “Consórcio Lajeado” cujo objeto é a exploração compartilhada da concessão de uso de bem público para a exploração da UHE Luís Eduardo Magalhães, nos termos do Contrato de Concessão n° 05/1997 e respectivos aditivos da Agência Nacional de Energia Elétrica – ANEEL. O prazo de duração do contrato de concessão é de 35 anos, contados a partir da data de sua publicação no Diário Oficial ocorrida em 15 de janeiro de 1998 com vigência até 15 de janeiro de 2033, podendo ser prorrogado nas condições que forem estabelecidas, mediante requerimento das concessionárias.</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316249">
        <w:rPr>
          <w:rFonts w:ascii="Times New Roman" w:hAnsi="Times New Roman" w:cs="Times New Roman"/>
          <w:b/>
          <w:bCs/>
          <w:lang w:val="pt-BR"/>
        </w:rPr>
        <w:t>Ligada</w:t>
      </w:r>
    </w:p>
    <w:p w:rsidR="00E9008A" w:rsidRPr="00B033FB" w:rsidRDefault="00E9008A" w:rsidP="00E9008A">
      <w:pPr>
        <w:pStyle w:val="PargrafodaLista"/>
        <w:numPr>
          <w:ilvl w:val="3"/>
          <w:numId w:val="23"/>
        </w:numPr>
        <w:ind w:left="567" w:hanging="567"/>
        <w:rPr>
          <w:rFonts w:ascii="Times New Roman" w:hAnsi="Times New Roman" w:cs="Times New Roman"/>
          <w:b/>
          <w:iCs/>
          <w:lang w:val="pt-BR"/>
        </w:rPr>
      </w:pPr>
      <w:r w:rsidRPr="00B033FB">
        <w:rPr>
          <w:rFonts w:ascii="Times New Roman" w:hAnsi="Times New Roman" w:cs="Times New Roman"/>
          <w:b/>
          <w:iCs/>
          <w:lang w:val="pt-BR"/>
        </w:rPr>
        <w:t>BSB Energética S.A.</w:t>
      </w:r>
    </w:p>
    <w:p w:rsidR="00E9008A" w:rsidRPr="00316249" w:rsidRDefault="00E9008A" w:rsidP="00E9008A">
      <w:pPr>
        <w:pStyle w:val="Corpodetexto"/>
        <w:spacing w:before="240" w:after="240"/>
        <w:rPr>
          <w:rFonts w:ascii="Times New Roman" w:hAnsi="Times New Roman" w:cs="Times New Roman"/>
          <w:b w:val="0"/>
          <w:sz w:val="22"/>
          <w:szCs w:val="22"/>
        </w:rPr>
      </w:pPr>
      <w:r w:rsidRPr="00316249">
        <w:rPr>
          <w:rFonts w:ascii="Times New Roman" w:hAnsi="Times New Roman" w:cs="Times New Roman"/>
          <w:b w:val="0"/>
          <w:sz w:val="22"/>
          <w:szCs w:val="22"/>
        </w:rPr>
        <w:t xml:space="preserve">A BSB Energética S.A. é uma sociedade por ações, constituída em 24 de março de 2000, para explorar Pequenas Centrais Hidrelétricas – </w:t>
      </w:r>
      <w:proofErr w:type="spellStart"/>
      <w:r w:rsidRPr="00316249">
        <w:rPr>
          <w:rFonts w:ascii="Times New Roman" w:hAnsi="Times New Roman" w:cs="Times New Roman"/>
          <w:b w:val="0"/>
          <w:sz w:val="22"/>
          <w:szCs w:val="22"/>
        </w:rPr>
        <w:t>PCHs</w:t>
      </w:r>
      <w:proofErr w:type="spellEnd"/>
      <w:r w:rsidRPr="00316249">
        <w:rPr>
          <w:rFonts w:ascii="Times New Roman" w:hAnsi="Times New Roman" w:cs="Times New Roman"/>
          <w:b w:val="0"/>
          <w:sz w:val="22"/>
          <w:szCs w:val="22"/>
        </w:rPr>
        <w:t xml:space="preserve">, com potência global máxima instalada de 200 MW e, estatutariamente, está autorizada a participar de outros empreendimentos ou sociedades, seja como acionista ou quotista. A CEB detém uma participação acionária de 9,0% do capital social da BSB Energética </w:t>
      </w:r>
      <w:proofErr w:type="gramStart"/>
      <w:r w:rsidRPr="00316249">
        <w:rPr>
          <w:rFonts w:ascii="Times New Roman" w:hAnsi="Times New Roman" w:cs="Times New Roman"/>
          <w:b w:val="0"/>
          <w:sz w:val="22"/>
          <w:szCs w:val="22"/>
        </w:rPr>
        <w:t>S.A.</w:t>
      </w:r>
      <w:r>
        <w:rPr>
          <w:rFonts w:ascii="Times New Roman" w:hAnsi="Times New Roman" w:cs="Times New Roman"/>
          <w:b w:val="0"/>
          <w:sz w:val="22"/>
          <w:szCs w:val="22"/>
        </w:rPr>
        <w:t>.</w:t>
      </w:r>
      <w:proofErr w:type="gramEnd"/>
    </w:p>
    <w:p w:rsidR="00E9008A" w:rsidRPr="00316249"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316249">
        <w:rPr>
          <w:rFonts w:ascii="Times New Roman" w:hAnsi="Times New Roman" w:cs="Times New Roman"/>
          <w:b/>
          <w:bCs/>
          <w:lang w:val="pt-BR"/>
        </w:rPr>
        <w:t>Concessões</w:t>
      </w:r>
    </w:p>
    <w:p w:rsidR="00E9008A" w:rsidRPr="00316249" w:rsidRDefault="00E9008A" w:rsidP="00E9008A">
      <w:pPr>
        <w:pStyle w:val="Corpodetexto"/>
        <w:spacing w:before="240" w:after="240"/>
        <w:rPr>
          <w:rFonts w:ascii="Times New Roman" w:hAnsi="Times New Roman" w:cs="Times New Roman"/>
          <w:sz w:val="22"/>
          <w:szCs w:val="22"/>
        </w:rPr>
      </w:pPr>
      <w:r w:rsidRPr="00316249">
        <w:rPr>
          <w:rFonts w:ascii="Times New Roman" w:hAnsi="Times New Roman" w:cs="Times New Roman"/>
          <w:b w:val="0"/>
          <w:sz w:val="22"/>
          <w:szCs w:val="22"/>
        </w:rPr>
        <w:t>A CEB, suas controladas</w:t>
      </w:r>
      <w:r>
        <w:rPr>
          <w:rFonts w:ascii="Times New Roman" w:hAnsi="Times New Roman" w:cs="Times New Roman"/>
          <w:b w:val="0"/>
          <w:sz w:val="22"/>
          <w:szCs w:val="22"/>
        </w:rPr>
        <w:t xml:space="preserve"> </w:t>
      </w:r>
      <w:r w:rsidRPr="00316249">
        <w:rPr>
          <w:rFonts w:ascii="Times New Roman" w:hAnsi="Times New Roman" w:cs="Times New Roman"/>
          <w:b w:val="0"/>
          <w:sz w:val="22"/>
          <w:szCs w:val="22"/>
        </w:rPr>
        <w:t>e controlada em conjunto, são detentoras das seguintes concessões: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1229"/>
        <w:gridCol w:w="1276"/>
        <w:gridCol w:w="1417"/>
      </w:tblGrid>
      <w:tr w:rsidR="00E9008A" w:rsidRPr="00316249" w:rsidTr="005B7D01">
        <w:trPr>
          <w:trHeight w:val="238"/>
          <w:tblHeader/>
        </w:trPr>
        <w:tc>
          <w:tcPr>
            <w:tcW w:w="6024" w:type="dxa"/>
            <w:noWrap/>
            <w:vAlign w:val="center"/>
          </w:tcPr>
          <w:p w:rsidR="00E9008A" w:rsidRPr="00316249" w:rsidRDefault="00E9008A" w:rsidP="005B7D01">
            <w:pPr>
              <w:rPr>
                <w:b/>
                <w:bCs/>
                <w:color w:val="000000"/>
                <w:sz w:val="18"/>
                <w:szCs w:val="18"/>
              </w:rPr>
            </w:pPr>
            <w:r w:rsidRPr="00316249">
              <w:rPr>
                <w:b/>
                <w:bCs/>
                <w:color w:val="000000"/>
                <w:sz w:val="18"/>
                <w:szCs w:val="18"/>
              </w:rPr>
              <w:t>Investidas </w:t>
            </w:r>
          </w:p>
        </w:tc>
        <w:tc>
          <w:tcPr>
            <w:tcW w:w="1229" w:type="dxa"/>
            <w:noWrap/>
            <w:vAlign w:val="center"/>
          </w:tcPr>
          <w:p w:rsidR="00E9008A" w:rsidRPr="00316249" w:rsidRDefault="00E9008A" w:rsidP="005B7D01">
            <w:pPr>
              <w:jc w:val="center"/>
              <w:rPr>
                <w:b/>
                <w:bCs/>
                <w:color w:val="000000"/>
                <w:sz w:val="18"/>
                <w:szCs w:val="18"/>
              </w:rPr>
            </w:pPr>
            <w:r w:rsidRPr="00316249">
              <w:rPr>
                <w:b/>
                <w:bCs/>
                <w:color w:val="000000"/>
                <w:sz w:val="18"/>
                <w:szCs w:val="18"/>
              </w:rPr>
              <w:t>Localização</w:t>
            </w:r>
          </w:p>
        </w:tc>
        <w:tc>
          <w:tcPr>
            <w:tcW w:w="1276" w:type="dxa"/>
            <w:noWrap/>
            <w:vAlign w:val="center"/>
          </w:tcPr>
          <w:p w:rsidR="00E9008A" w:rsidRPr="00316249" w:rsidRDefault="00E9008A" w:rsidP="005B7D01">
            <w:pPr>
              <w:jc w:val="center"/>
              <w:rPr>
                <w:b/>
                <w:bCs/>
                <w:color w:val="000000"/>
                <w:sz w:val="18"/>
                <w:szCs w:val="18"/>
              </w:rPr>
            </w:pPr>
            <w:r w:rsidRPr="00316249">
              <w:rPr>
                <w:b/>
                <w:bCs/>
                <w:color w:val="000000"/>
                <w:sz w:val="18"/>
                <w:szCs w:val="18"/>
              </w:rPr>
              <w:t>Data do Ato</w:t>
            </w:r>
          </w:p>
        </w:tc>
        <w:tc>
          <w:tcPr>
            <w:tcW w:w="1417" w:type="dxa"/>
            <w:noWrap/>
            <w:vAlign w:val="center"/>
          </w:tcPr>
          <w:p w:rsidR="00E9008A" w:rsidRPr="00316249" w:rsidRDefault="00E9008A" w:rsidP="005B7D01">
            <w:pPr>
              <w:jc w:val="center"/>
              <w:rPr>
                <w:b/>
                <w:bCs/>
                <w:color w:val="000000"/>
                <w:sz w:val="18"/>
                <w:szCs w:val="18"/>
              </w:rPr>
            </w:pPr>
            <w:r w:rsidRPr="00316249">
              <w:rPr>
                <w:b/>
                <w:bCs/>
                <w:color w:val="000000"/>
                <w:sz w:val="18"/>
                <w:szCs w:val="18"/>
              </w:rPr>
              <w:t>Data de Vencimento</w:t>
            </w:r>
          </w:p>
        </w:tc>
      </w:tr>
      <w:tr w:rsidR="00E9008A" w:rsidRPr="00316249" w:rsidTr="005B7D01">
        <w:trPr>
          <w:trHeight w:val="238"/>
        </w:trPr>
        <w:tc>
          <w:tcPr>
            <w:tcW w:w="6024" w:type="dxa"/>
            <w:noWrap/>
            <w:vAlign w:val="center"/>
          </w:tcPr>
          <w:p w:rsidR="00E9008A" w:rsidRPr="00316249" w:rsidRDefault="00E9008A" w:rsidP="005B7D01">
            <w:pPr>
              <w:rPr>
                <w:b/>
                <w:bCs/>
                <w:color w:val="000000"/>
                <w:sz w:val="18"/>
                <w:szCs w:val="18"/>
              </w:rPr>
            </w:pPr>
            <w:r w:rsidRPr="00316249">
              <w:rPr>
                <w:b/>
                <w:bCs/>
                <w:color w:val="000000"/>
                <w:sz w:val="18"/>
                <w:szCs w:val="18"/>
              </w:rPr>
              <w:t>Distribuição</w:t>
            </w:r>
          </w:p>
        </w:tc>
        <w:tc>
          <w:tcPr>
            <w:tcW w:w="1229" w:type="dxa"/>
            <w:noWrap/>
            <w:vAlign w:val="center"/>
          </w:tcPr>
          <w:p w:rsidR="00E9008A" w:rsidRPr="00316249" w:rsidRDefault="00E9008A" w:rsidP="005B7D01">
            <w:pPr>
              <w:jc w:val="right"/>
              <w:rPr>
                <w:b/>
                <w:bCs/>
                <w:color w:val="000000"/>
                <w:sz w:val="18"/>
                <w:szCs w:val="18"/>
              </w:rPr>
            </w:pPr>
          </w:p>
        </w:tc>
        <w:tc>
          <w:tcPr>
            <w:tcW w:w="1276" w:type="dxa"/>
            <w:noWrap/>
            <w:vAlign w:val="center"/>
          </w:tcPr>
          <w:p w:rsidR="00E9008A" w:rsidRPr="00316249" w:rsidRDefault="00E9008A" w:rsidP="005B7D01">
            <w:pPr>
              <w:jc w:val="center"/>
              <w:rPr>
                <w:b/>
                <w:bCs/>
                <w:color w:val="000000"/>
                <w:sz w:val="18"/>
                <w:szCs w:val="18"/>
              </w:rPr>
            </w:pPr>
          </w:p>
        </w:tc>
        <w:tc>
          <w:tcPr>
            <w:tcW w:w="1417" w:type="dxa"/>
            <w:noWrap/>
            <w:vAlign w:val="center"/>
          </w:tcPr>
          <w:p w:rsidR="00E9008A" w:rsidRPr="00316249" w:rsidRDefault="00E9008A" w:rsidP="005B7D01">
            <w:pPr>
              <w:jc w:val="center"/>
              <w:rPr>
                <w:b/>
                <w:bCs/>
                <w:color w:val="000000"/>
                <w:sz w:val="18"/>
                <w:szCs w:val="18"/>
              </w:rPr>
            </w:pPr>
          </w:p>
        </w:tc>
      </w:tr>
      <w:tr w:rsidR="00E9008A" w:rsidRPr="00316249" w:rsidTr="005B7D01">
        <w:trPr>
          <w:trHeight w:val="238"/>
        </w:trPr>
        <w:tc>
          <w:tcPr>
            <w:tcW w:w="6024" w:type="dxa"/>
            <w:noWrap/>
            <w:vAlign w:val="bottom"/>
          </w:tcPr>
          <w:p w:rsidR="00E9008A" w:rsidRPr="00316249" w:rsidRDefault="00E9008A" w:rsidP="005B7D01">
            <w:pPr>
              <w:rPr>
                <w:color w:val="000000"/>
                <w:sz w:val="18"/>
                <w:szCs w:val="18"/>
              </w:rPr>
            </w:pPr>
            <w:r w:rsidRPr="00316249">
              <w:rPr>
                <w:color w:val="000000"/>
                <w:sz w:val="18"/>
                <w:szCs w:val="18"/>
              </w:rPr>
              <w:t xml:space="preserve">   CEB Distribuição S.A.</w:t>
            </w:r>
          </w:p>
        </w:tc>
        <w:tc>
          <w:tcPr>
            <w:tcW w:w="1229" w:type="dxa"/>
            <w:noWrap/>
            <w:vAlign w:val="bottom"/>
          </w:tcPr>
          <w:p w:rsidR="00E9008A" w:rsidRPr="00316249" w:rsidRDefault="00E9008A" w:rsidP="005B7D01">
            <w:pPr>
              <w:jc w:val="right"/>
              <w:rPr>
                <w:color w:val="000000"/>
                <w:sz w:val="18"/>
                <w:szCs w:val="18"/>
              </w:rPr>
            </w:pPr>
            <w:r w:rsidRPr="00316249">
              <w:rPr>
                <w:color w:val="000000"/>
                <w:sz w:val="18"/>
                <w:szCs w:val="18"/>
              </w:rPr>
              <w:t>Brasília – DF</w:t>
            </w:r>
          </w:p>
        </w:tc>
        <w:tc>
          <w:tcPr>
            <w:tcW w:w="1276" w:type="dxa"/>
            <w:noWrap/>
            <w:vAlign w:val="bottom"/>
          </w:tcPr>
          <w:p w:rsidR="00E9008A" w:rsidRPr="00316249" w:rsidRDefault="00E9008A" w:rsidP="005B7D01">
            <w:pPr>
              <w:jc w:val="center"/>
              <w:rPr>
                <w:color w:val="000000"/>
                <w:sz w:val="18"/>
                <w:szCs w:val="18"/>
              </w:rPr>
            </w:pPr>
            <w:r w:rsidRPr="00316249">
              <w:rPr>
                <w:color w:val="000000"/>
                <w:sz w:val="18"/>
                <w:szCs w:val="18"/>
              </w:rPr>
              <w:t>09/12/2015</w:t>
            </w:r>
          </w:p>
        </w:tc>
        <w:tc>
          <w:tcPr>
            <w:tcW w:w="1417" w:type="dxa"/>
            <w:noWrap/>
            <w:vAlign w:val="bottom"/>
          </w:tcPr>
          <w:p w:rsidR="00E9008A" w:rsidRPr="00316249" w:rsidRDefault="00E9008A" w:rsidP="005B7D01">
            <w:pPr>
              <w:jc w:val="center"/>
              <w:rPr>
                <w:color w:val="000000"/>
                <w:sz w:val="18"/>
                <w:szCs w:val="18"/>
              </w:rPr>
            </w:pPr>
            <w:r w:rsidRPr="00316249">
              <w:rPr>
                <w:color w:val="000000"/>
                <w:sz w:val="18"/>
                <w:szCs w:val="18"/>
              </w:rPr>
              <w:t>07/07/2045(a)</w:t>
            </w:r>
          </w:p>
        </w:tc>
      </w:tr>
      <w:tr w:rsidR="00E9008A" w:rsidRPr="00316249" w:rsidTr="005B7D01">
        <w:trPr>
          <w:trHeight w:val="238"/>
        </w:trPr>
        <w:tc>
          <w:tcPr>
            <w:tcW w:w="6024" w:type="dxa"/>
            <w:noWrap/>
            <w:vAlign w:val="bottom"/>
          </w:tcPr>
          <w:p w:rsidR="00E9008A" w:rsidRPr="00316249" w:rsidRDefault="00E9008A" w:rsidP="005B7D01">
            <w:pPr>
              <w:rPr>
                <w:b/>
                <w:bCs/>
                <w:color w:val="000000"/>
                <w:sz w:val="18"/>
                <w:szCs w:val="18"/>
              </w:rPr>
            </w:pPr>
            <w:r w:rsidRPr="00316249">
              <w:rPr>
                <w:b/>
                <w:bCs/>
                <w:color w:val="000000"/>
                <w:sz w:val="18"/>
                <w:szCs w:val="18"/>
              </w:rPr>
              <w:t>Geração</w:t>
            </w:r>
          </w:p>
        </w:tc>
        <w:tc>
          <w:tcPr>
            <w:tcW w:w="1229" w:type="dxa"/>
            <w:noWrap/>
            <w:vAlign w:val="bottom"/>
          </w:tcPr>
          <w:p w:rsidR="00E9008A" w:rsidRPr="00316249" w:rsidRDefault="00E9008A" w:rsidP="005B7D01">
            <w:pPr>
              <w:jc w:val="right"/>
              <w:rPr>
                <w:b/>
                <w:bCs/>
                <w:color w:val="000000"/>
                <w:sz w:val="18"/>
                <w:szCs w:val="18"/>
              </w:rPr>
            </w:pPr>
          </w:p>
        </w:tc>
        <w:tc>
          <w:tcPr>
            <w:tcW w:w="1276" w:type="dxa"/>
            <w:noWrap/>
            <w:vAlign w:val="bottom"/>
          </w:tcPr>
          <w:p w:rsidR="00E9008A" w:rsidRPr="00316249" w:rsidRDefault="00E9008A" w:rsidP="005B7D01">
            <w:pPr>
              <w:jc w:val="center"/>
              <w:rPr>
                <w:color w:val="000000"/>
                <w:sz w:val="18"/>
                <w:szCs w:val="18"/>
              </w:rPr>
            </w:pPr>
          </w:p>
        </w:tc>
        <w:tc>
          <w:tcPr>
            <w:tcW w:w="1417" w:type="dxa"/>
            <w:noWrap/>
            <w:vAlign w:val="bottom"/>
          </w:tcPr>
          <w:p w:rsidR="00E9008A" w:rsidRPr="00316249" w:rsidRDefault="00E9008A" w:rsidP="005B7D01">
            <w:pPr>
              <w:jc w:val="center"/>
              <w:rPr>
                <w:color w:val="000000"/>
                <w:sz w:val="18"/>
                <w:szCs w:val="18"/>
              </w:rPr>
            </w:pPr>
          </w:p>
        </w:tc>
      </w:tr>
      <w:tr w:rsidR="00E9008A" w:rsidRPr="00316249" w:rsidTr="005B7D01">
        <w:trPr>
          <w:trHeight w:val="238"/>
        </w:trPr>
        <w:tc>
          <w:tcPr>
            <w:tcW w:w="6024" w:type="dxa"/>
            <w:noWrap/>
            <w:vAlign w:val="bottom"/>
          </w:tcPr>
          <w:p w:rsidR="00E9008A" w:rsidRPr="00316249" w:rsidRDefault="00E9008A" w:rsidP="005B7D01">
            <w:pPr>
              <w:rPr>
                <w:color w:val="000000"/>
                <w:sz w:val="18"/>
                <w:szCs w:val="18"/>
              </w:rPr>
            </w:pPr>
            <w:r w:rsidRPr="00316249">
              <w:rPr>
                <w:color w:val="000000"/>
                <w:sz w:val="18"/>
                <w:szCs w:val="18"/>
              </w:rPr>
              <w:t xml:space="preserve">   CEB Participações S.A.</w:t>
            </w:r>
          </w:p>
        </w:tc>
        <w:tc>
          <w:tcPr>
            <w:tcW w:w="1229" w:type="dxa"/>
            <w:noWrap/>
            <w:vAlign w:val="bottom"/>
          </w:tcPr>
          <w:p w:rsidR="00E9008A" w:rsidRPr="00316249" w:rsidRDefault="00E9008A" w:rsidP="005B7D01">
            <w:pPr>
              <w:jc w:val="right"/>
              <w:rPr>
                <w:color w:val="000000"/>
                <w:sz w:val="18"/>
                <w:szCs w:val="18"/>
              </w:rPr>
            </w:pPr>
            <w:r w:rsidRPr="00316249">
              <w:rPr>
                <w:color w:val="000000"/>
                <w:sz w:val="18"/>
                <w:szCs w:val="18"/>
              </w:rPr>
              <w:t>Brasília – DF</w:t>
            </w:r>
          </w:p>
        </w:tc>
        <w:tc>
          <w:tcPr>
            <w:tcW w:w="1276" w:type="dxa"/>
            <w:noWrap/>
            <w:vAlign w:val="bottom"/>
          </w:tcPr>
          <w:p w:rsidR="00E9008A" w:rsidRPr="00316249" w:rsidRDefault="00E9008A" w:rsidP="005B7D01">
            <w:pPr>
              <w:jc w:val="center"/>
              <w:rPr>
                <w:color w:val="000000"/>
                <w:sz w:val="18"/>
                <w:szCs w:val="18"/>
              </w:rPr>
            </w:pPr>
            <w:r w:rsidRPr="00316249">
              <w:rPr>
                <w:color w:val="000000"/>
                <w:sz w:val="18"/>
                <w:szCs w:val="18"/>
              </w:rPr>
              <w:t>26/01/2000</w:t>
            </w:r>
          </w:p>
        </w:tc>
        <w:tc>
          <w:tcPr>
            <w:tcW w:w="1417" w:type="dxa"/>
            <w:noWrap/>
            <w:vAlign w:val="bottom"/>
          </w:tcPr>
          <w:p w:rsidR="00E9008A" w:rsidRPr="00316249" w:rsidRDefault="00E9008A" w:rsidP="005B7D01">
            <w:pPr>
              <w:jc w:val="center"/>
              <w:rPr>
                <w:color w:val="000000"/>
                <w:sz w:val="18"/>
                <w:szCs w:val="18"/>
              </w:rPr>
            </w:pPr>
            <w:r w:rsidRPr="00316249">
              <w:rPr>
                <w:color w:val="000000"/>
                <w:sz w:val="18"/>
                <w:szCs w:val="18"/>
              </w:rPr>
              <w:t>18/12/2032</w:t>
            </w:r>
          </w:p>
        </w:tc>
      </w:tr>
      <w:tr w:rsidR="00E9008A" w:rsidRPr="00316249" w:rsidTr="005B7D01">
        <w:trPr>
          <w:trHeight w:val="238"/>
        </w:trPr>
        <w:tc>
          <w:tcPr>
            <w:tcW w:w="6024" w:type="dxa"/>
            <w:noWrap/>
            <w:vAlign w:val="bottom"/>
          </w:tcPr>
          <w:p w:rsidR="00E9008A" w:rsidRPr="00316249" w:rsidRDefault="00E9008A" w:rsidP="005B7D01">
            <w:pPr>
              <w:rPr>
                <w:color w:val="000000"/>
                <w:sz w:val="18"/>
                <w:szCs w:val="18"/>
              </w:rPr>
            </w:pPr>
            <w:r w:rsidRPr="00316249">
              <w:rPr>
                <w:color w:val="000000"/>
                <w:sz w:val="18"/>
                <w:szCs w:val="18"/>
              </w:rPr>
              <w:t xml:space="preserve">   CEB Geração S.A.</w:t>
            </w:r>
          </w:p>
        </w:tc>
        <w:tc>
          <w:tcPr>
            <w:tcW w:w="1229" w:type="dxa"/>
            <w:noWrap/>
            <w:vAlign w:val="bottom"/>
          </w:tcPr>
          <w:p w:rsidR="00E9008A" w:rsidRPr="00316249" w:rsidRDefault="00E9008A" w:rsidP="005B7D01">
            <w:pPr>
              <w:jc w:val="right"/>
              <w:rPr>
                <w:color w:val="000000"/>
                <w:sz w:val="18"/>
                <w:szCs w:val="18"/>
              </w:rPr>
            </w:pPr>
            <w:r w:rsidRPr="00316249">
              <w:rPr>
                <w:color w:val="000000"/>
                <w:sz w:val="18"/>
                <w:szCs w:val="18"/>
              </w:rPr>
              <w:t>Brasília – DF</w:t>
            </w:r>
          </w:p>
        </w:tc>
        <w:tc>
          <w:tcPr>
            <w:tcW w:w="1276" w:type="dxa"/>
            <w:noWrap/>
            <w:vAlign w:val="bottom"/>
          </w:tcPr>
          <w:p w:rsidR="00E9008A" w:rsidRPr="00316249" w:rsidRDefault="00E9008A" w:rsidP="005B7D01">
            <w:pPr>
              <w:jc w:val="center"/>
              <w:rPr>
                <w:color w:val="000000"/>
                <w:sz w:val="18"/>
                <w:szCs w:val="18"/>
              </w:rPr>
            </w:pPr>
            <w:r w:rsidRPr="00316249">
              <w:rPr>
                <w:color w:val="000000"/>
                <w:sz w:val="18"/>
                <w:szCs w:val="18"/>
              </w:rPr>
              <w:t>14/09/2005</w:t>
            </w:r>
          </w:p>
        </w:tc>
        <w:tc>
          <w:tcPr>
            <w:tcW w:w="1417" w:type="dxa"/>
            <w:noWrap/>
            <w:vAlign w:val="bottom"/>
          </w:tcPr>
          <w:p w:rsidR="00E9008A" w:rsidRPr="00316249" w:rsidRDefault="00E9008A" w:rsidP="005B7D01">
            <w:pPr>
              <w:jc w:val="center"/>
              <w:rPr>
                <w:color w:val="000000"/>
                <w:sz w:val="18"/>
                <w:szCs w:val="18"/>
              </w:rPr>
            </w:pPr>
            <w:r w:rsidRPr="00316249">
              <w:rPr>
                <w:color w:val="000000"/>
                <w:sz w:val="18"/>
                <w:szCs w:val="18"/>
              </w:rPr>
              <w:t>29/04/2020</w:t>
            </w:r>
          </w:p>
        </w:tc>
      </w:tr>
      <w:tr w:rsidR="00E9008A" w:rsidRPr="00316249" w:rsidTr="005B7D01">
        <w:trPr>
          <w:trHeight w:val="238"/>
        </w:trPr>
        <w:tc>
          <w:tcPr>
            <w:tcW w:w="6024" w:type="dxa"/>
            <w:noWrap/>
            <w:vAlign w:val="bottom"/>
          </w:tcPr>
          <w:p w:rsidR="00E9008A" w:rsidRPr="00316249" w:rsidRDefault="00E9008A" w:rsidP="005B7D01">
            <w:pPr>
              <w:rPr>
                <w:color w:val="000000"/>
                <w:sz w:val="18"/>
                <w:szCs w:val="18"/>
              </w:rPr>
            </w:pPr>
            <w:r w:rsidRPr="00316249">
              <w:rPr>
                <w:color w:val="000000"/>
                <w:sz w:val="18"/>
                <w:szCs w:val="18"/>
              </w:rPr>
              <w:t xml:space="preserve">   Energética Corumbá III S.A.</w:t>
            </w:r>
          </w:p>
        </w:tc>
        <w:tc>
          <w:tcPr>
            <w:tcW w:w="1229" w:type="dxa"/>
            <w:noWrap/>
            <w:vAlign w:val="bottom"/>
          </w:tcPr>
          <w:p w:rsidR="00E9008A" w:rsidRPr="00316249" w:rsidRDefault="00E9008A" w:rsidP="005B7D01">
            <w:pPr>
              <w:jc w:val="right"/>
              <w:rPr>
                <w:color w:val="000000"/>
                <w:sz w:val="18"/>
                <w:szCs w:val="18"/>
              </w:rPr>
            </w:pPr>
            <w:r w:rsidRPr="00316249">
              <w:rPr>
                <w:color w:val="000000"/>
                <w:sz w:val="18"/>
                <w:szCs w:val="18"/>
              </w:rPr>
              <w:t>Brasília – DF</w:t>
            </w:r>
          </w:p>
        </w:tc>
        <w:tc>
          <w:tcPr>
            <w:tcW w:w="1276" w:type="dxa"/>
            <w:noWrap/>
            <w:vAlign w:val="bottom"/>
          </w:tcPr>
          <w:p w:rsidR="00E9008A" w:rsidRPr="00316249" w:rsidRDefault="00E9008A" w:rsidP="005B7D01">
            <w:pPr>
              <w:jc w:val="center"/>
              <w:rPr>
                <w:color w:val="000000"/>
                <w:sz w:val="18"/>
                <w:szCs w:val="18"/>
              </w:rPr>
            </w:pPr>
            <w:r w:rsidRPr="00316249">
              <w:rPr>
                <w:color w:val="000000"/>
                <w:sz w:val="18"/>
                <w:szCs w:val="18"/>
              </w:rPr>
              <w:t>07/11/2001</w:t>
            </w:r>
          </w:p>
        </w:tc>
        <w:tc>
          <w:tcPr>
            <w:tcW w:w="1417" w:type="dxa"/>
            <w:noWrap/>
            <w:vAlign w:val="bottom"/>
          </w:tcPr>
          <w:p w:rsidR="00E9008A" w:rsidRPr="00316249" w:rsidRDefault="00E9008A" w:rsidP="005B7D01">
            <w:pPr>
              <w:jc w:val="center"/>
              <w:rPr>
                <w:color w:val="000000"/>
                <w:sz w:val="18"/>
                <w:szCs w:val="18"/>
              </w:rPr>
            </w:pPr>
            <w:r w:rsidRPr="00316249">
              <w:rPr>
                <w:color w:val="000000"/>
                <w:sz w:val="18"/>
                <w:szCs w:val="18"/>
              </w:rPr>
              <w:t>07/11/2036</w:t>
            </w:r>
          </w:p>
        </w:tc>
      </w:tr>
      <w:tr w:rsidR="00E9008A" w:rsidRPr="00316249" w:rsidTr="005B7D01">
        <w:trPr>
          <w:trHeight w:val="238"/>
        </w:trPr>
        <w:tc>
          <w:tcPr>
            <w:tcW w:w="6024" w:type="dxa"/>
            <w:noWrap/>
            <w:vAlign w:val="bottom"/>
          </w:tcPr>
          <w:p w:rsidR="00E9008A" w:rsidRPr="00316249" w:rsidRDefault="00E9008A" w:rsidP="005B7D01">
            <w:pPr>
              <w:rPr>
                <w:color w:val="000000"/>
                <w:sz w:val="18"/>
                <w:szCs w:val="18"/>
              </w:rPr>
            </w:pPr>
            <w:r w:rsidRPr="00316249">
              <w:rPr>
                <w:color w:val="000000"/>
                <w:sz w:val="18"/>
                <w:szCs w:val="18"/>
              </w:rPr>
              <w:t xml:space="preserve">   CEB Lajeado S.A.</w:t>
            </w:r>
          </w:p>
        </w:tc>
        <w:tc>
          <w:tcPr>
            <w:tcW w:w="1229" w:type="dxa"/>
            <w:noWrap/>
            <w:vAlign w:val="bottom"/>
          </w:tcPr>
          <w:p w:rsidR="00E9008A" w:rsidRPr="00316249" w:rsidRDefault="00E9008A" w:rsidP="005B7D01">
            <w:pPr>
              <w:jc w:val="right"/>
              <w:rPr>
                <w:color w:val="000000"/>
                <w:sz w:val="18"/>
                <w:szCs w:val="18"/>
              </w:rPr>
            </w:pPr>
            <w:r w:rsidRPr="00316249">
              <w:rPr>
                <w:color w:val="000000"/>
                <w:sz w:val="18"/>
                <w:szCs w:val="18"/>
              </w:rPr>
              <w:t>Brasília – DF</w:t>
            </w:r>
          </w:p>
        </w:tc>
        <w:tc>
          <w:tcPr>
            <w:tcW w:w="1276" w:type="dxa"/>
            <w:noWrap/>
            <w:vAlign w:val="bottom"/>
          </w:tcPr>
          <w:p w:rsidR="00E9008A" w:rsidRPr="00316249" w:rsidRDefault="00E9008A" w:rsidP="005B7D01">
            <w:pPr>
              <w:jc w:val="center"/>
              <w:rPr>
                <w:color w:val="000000"/>
                <w:sz w:val="18"/>
                <w:szCs w:val="18"/>
              </w:rPr>
            </w:pPr>
            <w:r w:rsidRPr="00316249">
              <w:rPr>
                <w:color w:val="000000"/>
                <w:sz w:val="18"/>
                <w:szCs w:val="18"/>
              </w:rPr>
              <w:t>31/12/1999</w:t>
            </w:r>
          </w:p>
        </w:tc>
        <w:tc>
          <w:tcPr>
            <w:tcW w:w="1417" w:type="dxa"/>
            <w:noWrap/>
            <w:vAlign w:val="bottom"/>
          </w:tcPr>
          <w:p w:rsidR="00E9008A" w:rsidRPr="00316249" w:rsidRDefault="00E9008A" w:rsidP="005B7D01">
            <w:pPr>
              <w:jc w:val="center"/>
              <w:rPr>
                <w:color w:val="000000"/>
                <w:sz w:val="18"/>
                <w:szCs w:val="18"/>
              </w:rPr>
            </w:pPr>
            <w:r w:rsidRPr="00316249">
              <w:rPr>
                <w:color w:val="000000"/>
                <w:sz w:val="18"/>
                <w:szCs w:val="18"/>
              </w:rPr>
              <w:t>15/12/2032</w:t>
            </w:r>
          </w:p>
        </w:tc>
      </w:tr>
      <w:tr w:rsidR="00E9008A" w:rsidRPr="00316249" w:rsidTr="005B7D01">
        <w:trPr>
          <w:trHeight w:val="238"/>
        </w:trPr>
        <w:tc>
          <w:tcPr>
            <w:tcW w:w="6024" w:type="dxa"/>
            <w:noWrap/>
            <w:vAlign w:val="bottom"/>
          </w:tcPr>
          <w:p w:rsidR="00E9008A" w:rsidRPr="00316249" w:rsidRDefault="00E9008A" w:rsidP="005B7D01">
            <w:pPr>
              <w:rPr>
                <w:b/>
                <w:bCs/>
                <w:color w:val="000000"/>
                <w:sz w:val="18"/>
                <w:szCs w:val="18"/>
              </w:rPr>
            </w:pPr>
            <w:r w:rsidRPr="00316249">
              <w:rPr>
                <w:b/>
                <w:bCs/>
                <w:color w:val="000000"/>
                <w:sz w:val="18"/>
                <w:szCs w:val="18"/>
              </w:rPr>
              <w:t>Outros</w:t>
            </w:r>
          </w:p>
        </w:tc>
        <w:tc>
          <w:tcPr>
            <w:tcW w:w="1229" w:type="dxa"/>
            <w:noWrap/>
            <w:vAlign w:val="bottom"/>
          </w:tcPr>
          <w:p w:rsidR="00E9008A" w:rsidRPr="00316249" w:rsidRDefault="00E9008A" w:rsidP="005B7D01">
            <w:pPr>
              <w:jc w:val="right"/>
              <w:rPr>
                <w:b/>
                <w:bCs/>
                <w:color w:val="000000"/>
                <w:sz w:val="18"/>
                <w:szCs w:val="18"/>
              </w:rPr>
            </w:pPr>
          </w:p>
        </w:tc>
        <w:tc>
          <w:tcPr>
            <w:tcW w:w="1276" w:type="dxa"/>
            <w:noWrap/>
            <w:vAlign w:val="bottom"/>
          </w:tcPr>
          <w:p w:rsidR="00E9008A" w:rsidRPr="00316249" w:rsidRDefault="00E9008A" w:rsidP="005B7D01">
            <w:pPr>
              <w:jc w:val="center"/>
              <w:rPr>
                <w:color w:val="000000"/>
                <w:sz w:val="18"/>
                <w:szCs w:val="18"/>
              </w:rPr>
            </w:pPr>
          </w:p>
        </w:tc>
        <w:tc>
          <w:tcPr>
            <w:tcW w:w="1417" w:type="dxa"/>
            <w:noWrap/>
            <w:vAlign w:val="bottom"/>
          </w:tcPr>
          <w:p w:rsidR="00E9008A" w:rsidRPr="00316249" w:rsidRDefault="00E9008A" w:rsidP="005B7D01">
            <w:pPr>
              <w:jc w:val="center"/>
              <w:rPr>
                <w:color w:val="000000"/>
                <w:sz w:val="18"/>
                <w:szCs w:val="18"/>
              </w:rPr>
            </w:pPr>
          </w:p>
        </w:tc>
      </w:tr>
      <w:tr w:rsidR="00E9008A" w:rsidRPr="00316249" w:rsidTr="005B7D01">
        <w:trPr>
          <w:trHeight w:val="238"/>
        </w:trPr>
        <w:tc>
          <w:tcPr>
            <w:tcW w:w="6024" w:type="dxa"/>
            <w:noWrap/>
            <w:vAlign w:val="bottom"/>
          </w:tcPr>
          <w:p w:rsidR="00E9008A" w:rsidRPr="00316249" w:rsidRDefault="00E9008A" w:rsidP="005B7D01">
            <w:pPr>
              <w:rPr>
                <w:color w:val="000000"/>
                <w:sz w:val="18"/>
                <w:szCs w:val="18"/>
              </w:rPr>
            </w:pPr>
            <w:r w:rsidRPr="00316249">
              <w:rPr>
                <w:color w:val="000000"/>
                <w:sz w:val="18"/>
                <w:szCs w:val="18"/>
              </w:rPr>
              <w:t xml:space="preserve">   Companhia Brasiliense de Gás S.A.</w:t>
            </w:r>
          </w:p>
        </w:tc>
        <w:tc>
          <w:tcPr>
            <w:tcW w:w="1229" w:type="dxa"/>
            <w:noWrap/>
            <w:vAlign w:val="bottom"/>
          </w:tcPr>
          <w:p w:rsidR="00E9008A" w:rsidRPr="00316249" w:rsidRDefault="00E9008A" w:rsidP="005B7D01">
            <w:pPr>
              <w:jc w:val="right"/>
              <w:rPr>
                <w:color w:val="000000"/>
                <w:sz w:val="18"/>
                <w:szCs w:val="18"/>
              </w:rPr>
            </w:pPr>
            <w:r w:rsidRPr="00316249">
              <w:rPr>
                <w:color w:val="000000"/>
                <w:sz w:val="18"/>
                <w:szCs w:val="18"/>
              </w:rPr>
              <w:t>Brasília – DF</w:t>
            </w:r>
          </w:p>
        </w:tc>
        <w:tc>
          <w:tcPr>
            <w:tcW w:w="1276" w:type="dxa"/>
            <w:noWrap/>
            <w:vAlign w:val="bottom"/>
          </w:tcPr>
          <w:p w:rsidR="00E9008A" w:rsidRPr="00316249" w:rsidRDefault="00E9008A" w:rsidP="005B7D01">
            <w:pPr>
              <w:jc w:val="center"/>
              <w:rPr>
                <w:color w:val="000000"/>
                <w:sz w:val="18"/>
                <w:szCs w:val="18"/>
              </w:rPr>
            </w:pPr>
            <w:r w:rsidRPr="00316249">
              <w:rPr>
                <w:color w:val="000000"/>
                <w:sz w:val="18"/>
                <w:szCs w:val="18"/>
              </w:rPr>
              <w:t>23/03/2001</w:t>
            </w:r>
          </w:p>
        </w:tc>
        <w:tc>
          <w:tcPr>
            <w:tcW w:w="1417" w:type="dxa"/>
            <w:noWrap/>
            <w:vAlign w:val="bottom"/>
          </w:tcPr>
          <w:p w:rsidR="00E9008A" w:rsidRPr="00316249" w:rsidRDefault="00E9008A" w:rsidP="005B7D01">
            <w:pPr>
              <w:jc w:val="center"/>
              <w:rPr>
                <w:color w:val="000000"/>
                <w:sz w:val="18"/>
                <w:szCs w:val="18"/>
              </w:rPr>
            </w:pPr>
            <w:r w:rsidRPr="00316249">
              <w:rPr>
                <w:color w:val="000000"/>
                <w:sz w:val="18"/>
                <w:szCs w:val="18"/>
              </w:rPr>
              <w:t>09/01/2030</w:t>
            </w:r>
          </w:p>
        </w:tc>
      </w:tr>
    </w:tbl>
    <w:p w:rsidR="00E9008A" w:rsidRPr="00316249" w:rsidRDefault="00E9008A" w:rsidP="00E9008A">
      <w:pPr>
        <w:jc w:val="both"/>
        <w:rPr>
          <w:spacing w:val="-5"/>
          <w:sz w:val="18"/>
          <w:szCs w:val="22"/>
          <w:shd w:val="clear" w:color="auto" w:fill="FFFFFF"/>
        </w:rPr>
      </w:pPr>
      <w:r w:rsidRPr="00316249">
        <w:rPr>
          <w:rFonts w:eastAsia="Arial Unicode MS"/>
          <w:bCs/>
          <w:iCs/>
          <w:sz w:val="18"/>
          <w:szCs w:val="22"/>
        </w:rPr>
        <w:t>(a)</w:t>
      </w:r>
      <w:r w:rsidRPr="00316249">
        <w:rPr>
          <w:rFonts w:eastAsia="Arial Unicode MS"/>
          <w:b/>
          <w:bCs/>
          <w:iCs/>
          <w:sz w:val="18"/>
          <w:szCs w:val="22"/>
        </w:rPr>
        <w:t xml:space="preserve"> </w:t>
      </w:r>
      <w:r w:rsidRPr="00316249">
        <w:rPr>
          <w:sz w:val="18"/>
          <w:szCs w:val="22"/>
        </w:rPr>
        <w:t>A CEB Distribuição S.A</w:t>
      </w:r>
      <w:r>
        <w:rPr>
          <w:sz w:val="18"/>
          <w:szCs w:val="22"/>
        </w:rPr>
        <w:t>.</w:t>
      </w:r>
      <w:r w:rsidRPr="00316249">
        <w:rPr>
          <w:sz w:val="18"/>
          <w:szCs w:val="22"/>
        </w:rPr>
        <w:t xml:space="preserve"> era detentora do Contrato de Concessão de Distribuição de Energia Elétrica nº 66/1999, celebrado com a União Federal, por intermédio da ANEEL, em 26 de agosto de 1999, cujo vencimento ocorreu em 07 de julho de 2015. </w:t>
      </w:r>
      <w:r w:rsidRPr="00316249">
        <w:rPr>
          <w:spacing w:val="-5"/>
          <w:sz w:val="18"/>
          <w:szCs w:val="22"/>
          <w:shd w:val="clear" w:color="auto" w:fill="FFFFFF"/>
        </w:rPr>
        <w:t>Em 09 de dezembro de 2015, foi celebrado o aditamento do contrato nº 66/1999, que tem como objeto a prorrogação do Contrato de Concessão do Serviço Público de Distribuição de Energia Elétrica da CEB Distribuição S.A., até 7 de julho de 2045. O aditamento ocorreu com base no Despacho do Ministro de Estado de Minas e Energia, com fulcro na Lei nº 12.783, de 11 de janeiro de 2013; no Decreto nº 7.805, de 14 de setembro de 2012; e no Decreto nº 8.461, de 2 de janeiro de 2015.</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B033FB">
        <w:rPr>
          <w:rFonts w:ascii="Times New Roman" w:hAnsi="Times New Roman" w:cs="Times New Roman"/>
          <w:b/>
          <w:bCs/>
          <w:lang w:val="pt-BR"/>
        </w:rPr>
        <w:t>Participação de acionistas não-controladores</w:t>
      </w:r>
    </w:p>
    <w:p w:rsidR="00E9008A" w:rsidRPr="00316249" w:rsidRDefault="00E9008A" w:rsidP="00E9008A">
      <w:pPr>
        <w:spacing w:before="240" w:after="240"/>
        <w:jc w:val="both"/>
        <w:rPr>
          <w:sz w:val="22"/>
          <w:szCs w:val="22"/>
        </w:rPr>
      </w:pPr>
      <w:r w:rsidRPr="00316249">
        <w:rPr>
          <w:sz w:val="22"/>
          <w:szCs w:val="22"/>
        </w:rPr>
        <w:t>É registrado como transações entre acionistas. Consequentemente, nenhum ágio ou deságio é reconhecido como resultado de tais transações.</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B033FB">
        <w:rPr>
          <w:rFonts w:ascii="Times New Roman" w:hAnsi="Times New Roman" w:cs="Times New Roman"/>
          <w:b/>
          <w:bCs/>
          <w:lang w:val="pt-BR"/>
        </w:rPr>
        <w:lastRenderedPageBreak/>
        <w:t>Transações eliminadas na consolidação</w:t>
      </w:r>
    </w:p>
    <w:p w:rsidR="00E9008A" w:rsidRPr="00316249" w:rsidRDefault="00E9008A" w:rsidP="00E9008A">
      <w:pPr>
        <w:spacing w:before="240" w:after="240"/>
        <w:jc w:val="both"/>
        <w:rPr>
          <w:sz w:val="22"/>
          <w:szCs w:val="22"/>
        </w:rPr>
      </w:pPr>
      <w:r w:rsidRPr="00316249">
        <w:rPr>
          <w:sz w:val="22"/>
          <w:szCs w:val="22"/>
        </w:rPr>
        <w:t xml:space="preserve">Saldos e transações </w:t>
      </w:r>
      <w:proofErr w:type="spellStart"/>
      <w:r w:rsidRPr="00316249">
        <w:rPr>
          <w:sz w:val="22"/>
          <w:szCs w:val="22"/>
        </w:rPr>
        <w:t>intragrupo</w:t>
      </w:r>
      <w:proofErr w:type="spellEnd"/>
      <w:r w:rsidRPr="00316249">
        <w:rPr>
          <w:sz w:val="22"/>
          <w:szCs w:val="22"/>
        </w:rPr>
        <w:t xml:space="preserve"> e quaisquer receitas ou despesas derivadas de transações </w:t>
      </w:r>
      <w:proofErr w:type="spellStart"/>
      <w:r w:rsidRPr="00316249">
        <w:rPr>
          <w:sz w:val="22"/>
          <w:szCs w:val="22"/>
        </w:rPr>
        <w:t>intragrupo</w:t>
      </w:r>
      <w:proofErr w:type="spellEnd"/>
      <w:r w:rsidRPr="00316249">
        <w:rPr>
          <w:sz w:val="22"/>
          <w:szCs w:val="22"/>
        </w:rPr>
        <w:t>, são eliminados na preparação das demonstrações financeiras consolidadas. Ganhos não realizados oriundos de transações com companhias investidas registrados por equivalência patrimonial são eliminados contra o investimento na proporção da participação da Controladora na Companhia investida.  Prejuízos não realizados são eliminados da mesma maneira como são eliminados os ganhos não realizados, mas somente até o ponto em que não haja evidência de perda por redução ao valor recuperável.</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iCs/>
          <w:lang w:val="pt-BR"/>
        </w:rPr>
      </w:pPr>
      <w:r w:rsidRPr="00316249">
        <w:rPr>
          <w:rFonts w:ascii="Times New Roman" w:eastAsia="Arial Unicode MS" w:hAnsi="Times New Roman" w:cs="Times New Roman"/>
          <w:b/>
          <w:bCs/>
          <w:iCs/>
          <w:lang w:val="pt-BR"/>
        </w:rPr>
        <w:t>Conversão de moeda estrangeira</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B033FB">
        <w:rPr>
          <w:rFonts w:ascii="Times New Roman" w:hAnsi="Times New Roman" w:cs="Times New Roman"/>
          <w:b/>
          <w:bCs/>
          <w:lang w:val="pt-BR"/>
        </w:rPr>
        <w:t>Moeda funcional e moeda de apresentação</w:t>
      </w:r>
    </w:p>
    <w:p w:rsidR="00E9008A" w:rsidRPr="00316249" w:rsidRDefault="00E9008A" w:rsidP="00E9008A">
      <w:pPr>
        <w:spacing w:before="240" w:after="240"/>
        <w:jc w:val="both"/>
        <w:rPr>
          <w:sz w:val="22"/>
          <w:szCs w:val="22"/>
        </w:rPr>
      </w:pPr>
      <w:r w:rsidRPr="00316249">
        <w:rPr>
          <w:sz w:val="22"/>
          <w:szCs w:val="22"/>
        </w:rPr>
        <w:t>Os itens incluídos nas demonstrações financeiras de cada uma das empresas do Grupo são mensurados usando a moeda do principal ambiente econômico no qual a empresa atua ("a moeda funcional"). As demonstrações financeiras individuais e consolidadas estão apresentadas em Real, que é a moeda funcional da Companhia e, também, a moeda de apresentação do Grupo.</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B033FB">
        <w:rPr>
          <w:rFonts w:ascii="Times New Roman" w:hAnsi="Times New Roman" w:cs="Times New Roman"/>
          <w:b/>
          <w:bCs/>
          <w:lang w:val="pt-BR"/>
        </w:rPr>
        <w:t>Transações em moeda estrangeira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Companhia definiu que sua moeda funcional para todo o Grupo é o Real de acordo com as definições do Pronunciamento Técnico CPC nº 2 (R2) – Efeitos nas Mudanças nas Taxas de Câmbio e Conversão de Demonstrações Financeiras (IAS 21).</w:t>
      </w:r>
    </w:p>
    <w:p w:rsidR="00E9008A" w:rsidRPr="00316249" w:rsidRDefault="00E9008A" w:rsidP="00E9008A">
      <w:pPr>
        <w:widowControl w:val="0"/>
        <w:autoSpaceDE w:val="0"/>
        <w:autoSpaceDN w:val="0"/>
        <w:adjustRightInd w:val="0"/>
        <w:spacing w:before="240" w:after="240"/>
        <w:jc w:val="both"/>
        <w:rPr>
          <w:rFonts w:eastAsia="Arial Unicode MS"/>
          <w:bCs/>
          <w:i/>
          <w:iCs/>
          <w:sz w:val="22"/>
          <w:szCs w:val="22"/>
        </w:rPr>
      </w:pPr>
      <w:r w:rsidRPr="00316249">
        <w:rPr>
          <w:bCs/>
          <w:sz w:val="22"/>
          <w:szCs w:val="22"/>
        </w:rPr>
        <w:t>As transações em moeda estrangeira, isto é, todas aquelas que não realizadas na moeda funcional, são convertidas pela taxa de câmbio das datas de cada transação. Ativos e passivos monetários em moeda estrangeira são convertidos para a moeda funcional pela taxa de câmbio da data do fechamento. Os ganhos e as perdas de variações nas taxas de câmbio sobre os ativos e os passivos monetários são reconhecidos na demonstração de resultados.</w:t>
      </w:r>
    </w:p>
    <w:p w:rsidR="00E9008A" w:rsidRPr="00B033FB"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Pr>
          <w:rFonts w:ascii="Times New Roman" w:eastAsia="Arial Unicode MS" w:hAnsi="Times New Roman" w:cs="Times New Roman"/>
          <w:b/>
          <w:bCs/>
          <w:iCs/>
          <w:lang w:val="pt-BR"/>
        </w:rPr>
        <w:t>Caixa e Equivalentes de C</w:t>
      </w:r>
      <w:r w:rsidRPr="00316249">
        <w:rPr>
          <w:rFonts w:ascii="Times New Roman" w:eastAsia="Arial Unicode MS" w:hAnsi="Times New Roman" w:cs="Times New Roman"/>
          <w:b/>
          <w:bCs/>
          <w:iCs/>
          <w:lang w:val="pt-BR"/>
        </w:rPr>
        <w:t>aixa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Incluem saldos de caixa, de depósitos bancários em contas-correntes e de aplicações financeiras resgatáveis sem custo no prazo máximo de 90 dias das datas dos balanços e com risco insignificante de mudança de seu valor de mercado. São registrados inicialmente pelo valor justo das transações que lhes deram origem e são atualizados, quando aplicável, com base nos encargos contratuais (Nota Explicativa nº 5).</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Pr>
          <w:rFonts w:ascii="Times New Roman" w:eastAsia="Arial Unicode MS" w:hAnsi="Times New Roman" w:cs="Times New Roman"/>
          <w:b/>
          <w:bCs/>
          <w:iCs/>
          <w:lang w:val="pt-BR"/>
        </w:rPr>
        <w:t>Ativos F</w:t>
      </w:r>
      <w:r w:rsidRPr="00316249">
        <w:rPr>
          <w:rFonts w:ascii="Times New Roman" w:eastAsia="Arial Unicode MS" w:hAnsi="Times New Roman" w:cs="Times New Roman"/>
          <w:b/>
          <w:bCs/>
          <w:iCs/>
          <w:lang w:val="pt-BR"/>
        </w:rPr>
        <w:t xml:space="preserve">inanceiros </w:t>
      </w:r>
    </w:p>
    <w:p w:rsidR="00E9008A" w:rsidRPr="00B033FB"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B033FB">
        <w:rPr>
          <w:rFonts w:ascii="Times New Roman" w:hAnsi="Times New Roman" w:cs="Times New Roman"/>
          <w:b/>
          <w:bCs/>
          <w:lang w:val="pt-BR"/>
        </w:rPr>
        <w:t>Classificação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Grupo classifica os ativos financeiros não derivativos nas seguintes categorias: ativos mensurados ao valor justo por meio do resultado; empréstimos e recebíveis; ativos financeiros mantidos até o vencimento; e ativos financeiros disponíveis para venda. A classificação depende da finalidade para a qual os ativos financeiros foram adquiridos.</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Ativos financeiros registrados pelo valor justo por meio do resultado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lastRenderedPageBreak/>
        <w:t>Um ativo financeiro é classificado pelo valor justo por meio do resultado caso seja classificado como mantido para negociação, ou seja, designado como tal no momento do reconhecimento inicial. Os ativos financeiros são designados pelo valor justo por meio do resultado se o Grupo gerencia tais investimentos e toma decisões de compra e venda baseadas em seus valores justos de acordo com a gestão de riscos documentadas e a estratégia de investimentos do Grupo. Ativos financeiros registrados pelo valor justo por meio do resultado são medidos pelo valor justo, e mudanças no valor justo desses ativos são reconhecidas no resultado do exercício. Nesta categoria foram consideradas as Aplicações Financeiras registradas em caixa e o equivalentes de caixa (Nota Explicativa nº 5) e as Aplicações Financeiras com prazo superior a noventa dias (Nota Explicativa nº 12).</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Ativos financeiros mantidos até o vencimento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Grupo tem a intenção e a capacidade de manter títulos de dívida até o vencimento, então tais ativos financeiros são classificados como mantidos até o vencimento. Os investimentos mantidos até o vencimento são reconhecidos inicialmente pelo valor justo e acrescido de quaisquer custos de transação diretamente atribuíveis. Após o seu reconhecimento inicial, os investimentos mantidos até o vencimento são mensurados pelo custo amortizado através do método dos juros efetivos, decrescidos de qualquer perda por redução ao valor recuperável.</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Empréstimos e recebíveis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Empréstimos e recebíveis são ativos financeiros com pagamentos fixos ou calculáveis que não são cotados no mercado ativo. Tais ativos são reconhecidos inicialmente pelo valor justo acrescido de quaisquer custos de transação atribuíveis. Após o reconhecimento inicial, os empréstimos e recebíveis são medidos pelo custo amortizado através do método dos juros efetivos, decrescidos de qualquer perda por redução ao valor recuperável.</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Os empréstimos e recebíveis abrangem: caixa e bancos (Nota Explicativa nº 5); contas a receber (Nota Explicativa nº 6); valores a receber de Parcela A e outros itens financeiros (Nota Explicativa nº 8).</w:t>
      </w:r>
    </w:p>
    <w:p w:rsidR="00E9008A" w:rsidRPr="00316249" w:rsidRDefault="00E9008A" w:rsidP="00E9008A">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Ativos financeiros disponíveis para venda</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 xml:space="preserve">Ativos financeiros disponíveis para venda são ativos financeiros não derivativos que são designados como disponíveis para venda ou não são classificados em nenhuma das categorias anteriores. </w:t>
      </w:r>
      <w:r w:rsidRPr="00316249">
        <w:rPr>
          <w:sz w:val="22"/>
          <w:szCs w:val="22"/>
        </w:rPr>
        <w:t>Ativos financeiros disponíveis para venda são registrados inicialmente pelo seu valor justo, acrescido de qualquer custo de transação diretamente atribuível.</w:t>
      </w:r>
      <w:r w:rsidRPr="00316249">
        <w:rPr>
          <w:rFonts w:eastAsia="Arial Unicode MS"/>
          <w:sz w:val="22"/>
          <w:szCs w:val="22"/>
        </w:rPr>
        <w:t xml:space="preserve"> Após o reconhecimento inicial, eles são medidos pelo valor justo e as mudanças, que não sejam perdas por redução ao valor recuperável e diferenças de moedas estrangeiras sobre instrumentos de dívida disponíveis para venda são reconhecidas em outros resultados abrangentes e apresentadas dentro do patrimônio líquido. Quando um investimento é baixado, o resultado acumulado em outros resultados abrangentes é transferido para o resultado.</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O Grupo classificou o ativo financeiro indenizável da concessão dentro da categoria de ativos financeiros disponíveis para venda (Nota Explicativa nº11).</w:t>
      </w:r>
    </w:p>
    <w:p w:rsidR="00E9008A" w:rsidRPr="001048EE"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1048EE">
        <w:rPr>
          <w:rFonts w:ascii="Times New Roman" w:hAnsi="Times New Roman" w:cs="Times New Roman"/>
          <w:b/>
          <w:bCs/>
          <w:lang w:val="pt-BR"/>
        </w:rPr>
        <w:t>Reconhecimento e mensuração</w:t>
      </w:r>
    </w:p>
    <w:p w:rsidR="00E9008A" w:rsidRPr="00316249" w:rsidRDefault="00E9008A" w:rsidP="00E9008A">
      <w:pPr>
        <w:spacing w:before="240" w:after="240" w:line="252" w:lineRule="auto"/>
        <w:jc w:val="both"/>
        <w:rPr>
          <w:sz w:val="22"/>
          <w:szCs w:val="22"/>
          <w:lang w:eastAsia="en-GB"/>
        </w:rPr>
      </w:pPr>
      <w:r w:rsidRPr="00316249">
        <w:rPr>
          <w:sz w:val="22"/>
          <w:szCs w:val="22"/>
          <w:lang w:eastAsia="en-GB"/>
        </w:rPr>
        <w:t>O Grupo reconhece os empréstimos e recebíveis e depósitos inicialmente na data em que foram originados. Todos os outros ativos financeiros (incluindo os ativos designados pelo valor justo por meio do resultado) são reconhecidos inicialmente na data da negociação na qual a Companhia ou suas controladas e coligadas se torna uma parte das disposições contratuais do instrumento.</w:t>
      </w:r>
    </w:p>
    <w:p w:rsidR="00E9008A" w:rsidRPr="00316249" w:rsidRDefault="00E9008A" w:rsidP="00E9008A">
      <w:pPr>
        <w:spacing w:before="240" w:after="240" w:line="252" w:lineRule="auto"/>
        <w:jc w:val="both"/>
        <w:rPr>
          <w:sz w:val="22"/>
          <w:szCs w:val="22"/>
          <w:lang w:eastAsia="en-GB"/>
        </w:rPr>
      </w:pPr>
      <w:r w:rsidRPr="00316249">
        <w:rPr>
          <w:sz w:val="22"/>
          <w:szCs w:val="22"/>
          <w:lang w:eastAsia="en-GB"/>
        </w:rPr>
        <w:lastRenderedPageBreak/>
        <w:t xml:space="preserve">O Grupo </w:t>
      </w:r>
      <w:proofErr w:type="spellStart"/>
      <w:r w:rsidRPr="00316249">
        <w:rPr>
          <w:sz w:val="22"/>
          <w:szCs w:val="22"/>
          <w:lang w:eastAsia="en-GB"/>
        </w:rPr>
        <w:t>desreconhece</w:t>
      </w:r>
      <w:proofErr w:type="spellEnd"/>
      <w:r w:rsidRPr="00316249">
        <w:rPr>
          <w:sz w:val="22"/>
          <w:szCs w:val="22"/>
          <w:lang w:eastAsia="en-GB"/>
        </w:rPr>
        <w:t xml:space="preserve"> um ativo financeiro quando os direitos contratuais aos fluxos de caixa correspondentes expiram, ou quando a Companhia ou suas controladas e coligadas repassam os direitos daqueles fluxos de caixa por meio de uma transação, na qual, todos os riscos e benefícios da titularidade do ativo financeiro são transferidos. Eventuais participações que sejam criadas ou retidas pela Companhia nos ativos financeiros são reconhecidas como um ativo ou passivo individual.</w:t>
      </w:r>
    </w:p>
    <w:p w:rsidR="00E9008A" w:rsidRDefault="00E9008A" w:rsidP="00E9008A">
      <w:pPr>
        <w:spacing w:before="240" w:after="240" w:line="252" w:lineRule="auto"/>
        <w:jc w:val="both"/>
        <w:rPr>
          <w:sz w:val="22"/>
          <w:szCs w:val="22"/>
          <w:lang w:eastAsia="en-GB"/>
        </w:rPr>
      </w:pPr>
      <w:r w:rsidRPr="00316249">
        <w:rPr>
          <w:sz w:val="22"/>
          <w:szCs w:val="22"/>
          <w:lang w:eastAsia="en-GB"/>
        </w:rPr>
        <w:t>Os ativos ou passivos financeiros são compensados e o valor líquido apresentado no balanço patrimonial quando a Companhia ou suas controladas e coligadas têm o direito legal de compensar os valores e tenham a intenção de liquidar ou realizar o ativo e o passivo, simultaneamente.</w:t>
      </w:r>
    </w:p>
    <w:p w:rsidR="00E9008A" w:rsidRPr="001048EE"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1048EE">
        <w:rPr>
          <w:rFonts w:ascii="Times New Roman" w:hAnsi="Times New Roman" w:cs="Times New Roman"/>
          <w:b/>
          <w:bCs/>
          <w:lang w:val="pt-BR"/>
        </w:rPr>
        <w:t>Perda por redução ao valor recuperável de ativos financeiros (</w:t>
      </w:r>
      <w:proofErr w:type="spellStart"/>
      <w:r w:rsidRPr="001048EE">
        <w:rPr>
          <w:rFonts w:ascii="Times New Roman" w:hAnsi="Times New Roman" w:cs="Times New Roman"/>
          <w:b/>
          <w:bCs/>
          <w:lang w:val="pt-BR"/>
        </w:rPr>
        <w:t>impairment</w:t>
      </w:r>
      <w:proofErr w:type="spellEnd"/>
      <w:r w:rsidRPr="001048EE">
        <w:rPr>
          <w:rFonts w:ascii="Times New Roman" w:hAnsi="Times New Roman" w:cs="Times New Roman"/>
          <w:b/>
          <w:bCs/>
          <w:lang w:val="pt-BR"/>
        </w:rPr>
        <w:t>)</w:t>
      </w:r>
    </w:p>
    <w:p w:rsidR="00E9008A" w:rsidRPr="001048EE" w:rsidRDefault="00E9008A" w:rsidP="00E9008A">
      <w:pPr>
        <w:pStyle w:val="PargrafodaLista"/>
        <w:numPr>
          <w:ilvl w:val="3"/>
          <w:numId w:val="23"/>
        </w:numPr>
        <w:ind w:left="567" w:hanging="567"/>
        <w:rPr>
          <w:rFonts w:ascii="Times New Roman" w:hAnsi="Times New Roman" w:cs="Times New Roman"/>
          <w:b/>
          <w:iCs/>
          <w:lang w:val="pt-BR"/>
        </w:rPr>
      </w:pPr>
      <w:r w:rsidRPr="001048EE">
        <w:rPr>
          <w:rFonts w:ascii="Times New Roman" w:hAnsi="Times New Roman" w:cs="Times New Roman"/>
          <w:b/>
          <w:iCs/>
          <w:lang w:val="pt-BR"/>
        </w:rPr>
        <w:t>Ativos mensurados ao custo amortizado</w:t>
      </w:r>
    </w:p>
    <w:p w:rsidR="00E9008A" w:rsidRPr="00316249" w:rsidRDefault="00E9008A" w:rsidP="00E9008A">
      <w:pPr>
        <w:spacing w:before="240" w:after="240" w:line="252" w:lineRule="auto"/>
        <w:jc w:val="both"/>
        <w:rPr>
          <w:sz w:val="22"/>
          <w:szCs w:val="22"/>
        </w:rPr>
      </w:pPr>
      <w:r w:rsidRPr="00316249">
        <w:rPr>
          <w:sz w:val="22"/>
          <w:szCs w:val="22"/>
          <w:lang w:eastAsia="en-GB"/>
        </w:rPr>
        <w:t>O Grupo avalia na data de cada balanço, se há evidência objetiva de que um ativo ou grupo de</w:t>
      </w:r>
      <w:r w:rsidRPr="00316249">
        <w:rPr>
          <w:sz w:val="22"/>
          <w:szCs w:val="22"/>
        </w:rPr>
        <w:t xml:space="preserve"> </w:t>
      </w:r>
      <w:r w:rsidRPr="00316249">
        <w:rPr>
          <w:sz w:val="22"/>
          <w:szCs w:val="22"/>
          <w:lang w:eastAsia="en-GB"/>
        </w:rPr>
        <w:t xml:space="preserve">ativos financeiros está deteriorado. Há evidência objetiva de </w:t>
      </w:r>
      <w:proofErr w:type="spellStart"/>
      <w:r w:rsidRPr="00316249">
        <w:rPr>
          <w:i/>
          <w:sz w:val="22"/>
          <w:szCs w:val="22"/>
          <w:lang w:eastAsia="en-GB"/>
        </w:rPr>
        <w:t>impairment</w:t>
      </w:r>
      <w:proofErr w:type="spellEnd"/>
      <w:r w:rsidRPr="00316249">
        <w:rPr>
          <w:sz w:val="22"/>
          <w:szCs w:val="22"/>
          <w:lang w:eastAsia="en-GB"/>
        </w:rPr>
        <w:t xml:space="preserve"> se, após o reconhecimento inicial dos ativos, for constatada perda apurada por meio de fluxos de caixa futuros, estimada de maneira confiável.</w:t>
      </w:r>
    </w:p>
    <w:p w:rsidR="00E9008A" w:rsidRPr="00316249" w:rsidRDefault="00E9008A" w:rsidP="00E9008A">
      <w:pPr>
        <w:spacing w:before="240" w:after="240" w:line="252" w:lineRule="auto"/>
        <w:jc w:val="both"/>
        <w:rPr>
          <w:bCs/>
          <w:sz w:val="22"/>
          <w:szCs w:val="22"/>
          <w:lang w:eastAsia="en-GB"/>
        </w:rPr>
      </w:pPr>
      <w:r w:rsidRPr="00316249">
        <w:rPr>
          <w:sz w:val="22"/>
          <w:szCs w:val="22"/>
          <w:lang w:eastAsia="en-GB"/>
        </w:rPr>
        <w:t xml:space="preserve">Os critérios que o Grupo usa para determinar se há evidência objetiva de uma perda por </w:t>
      </w:r>
      <w:proofErr w:type="spellStart"/>
      <w:r w:rsidRPr="00316249">
        <w:rPr>
          <w:i/>
          <w:sz w:val="22"/>
          <w:szCs w:val="22"/>
          <w:lang w:eastAsia="en-GB"/>
        </w:rPr>
        <w:t>impairment</w:t>
      </w:r>
      <w:proofErr w:type="spellEnd"/>
      <w:r w:rsidRPr="00316249">
        <w:rPr>
          <w:bCs/>
          <w:sz w:val="22"/>
          <w:szCs w:val="22"/>
          <w:lang w:eastAsia="en-GB"/>
        </w:rPr>
        <w:t xml:space="preserve"> </w:t>
      </w:r>
      <w:r w:rsidRPr="00316249">
        <w:rPr>
          <w:sz w:val="22"/>
          <w:szCs w:val="22"/>
          <w:lang w:eastAsia="en-GB"/>
        </w:rPr>
        <w:t>incluem:</w:t>
      </w:r>
    </w:p>
    <w:p w:rsidR="00E9008A" w:rsidRPr="00316249" w:rsidRDefault="00E9008A" w:rsidP="00E9008A">
      <w:pPr>
        <w:pStyle w:val="PargrafodaLista"/>
        <w:numPr>
          <w:ilvl w:val="0"/>
          <w:numId w:val="22"/>
        </w:numPr>
        <w:spacing w:after="0"/>
        <w:ind w:left="426" w:hanging="426"/>
        <w:jc w:val="both"/>
        <w:rPr>
          <w:rFonts w:ascii="Times New Roman" w:hAnsi="Times New Roman" w:cs="Times New Roman"/>
          <w:lang w:val="pt-BR"/>
        </w:rPr>
      </w:pPr>
      <w:r w:rsidRPr="00316249">
        <w:rPr>
          <w:rFonts w:ascii="Times New Roman" w:hAnsi="Times New Roman" w:cs="Times New Roman"/>
          <w:lang w:val="pt-BR"/>
        </w:rPr>
        <w:t>Dificuldade financeira relevante do emissor ou devedor;</w:t>
      </w:r>
    </w:p>
    <w:p w:rsidR="00E9008A" w:rsidRPr="00316249" w:rsidRDefault="00E9008A" w:rsidP="00E9008A">
      <w:pPr>
        <w:pStyle w:val="PargrafodaLista"/>
        <w:numPr>
          <w:ilvl w:val="0"/>
          <w:numId w:val="22"/>
        </w:numPr>
        <w:spacing w:after="0"/>
        <w:ind w:left="426" w:hanging="426"/>
        <w:jc w:val="both"/>
        <w:rPr>
          <w:rFonts w:ascii="Times New Roman" w:hAnsi="Times New Roman" w:cs="Times New Roman"/>
          <w:lang w:val="pt-BR"/>
        </w:rPr>
      </w:pPr>
      <w:r w:rsidRPr="00316249">
        <w:rPr>
          <w:rFonts w:ascii="Times New Roman" w:hAnsi="Times New Roman" w:cs="Times New Roman"/>
          <w:lang w:val="pt-BR"/>
        </w:rPr>
        <w:t>Uma quebra de contrato, como inadimplência ou mora no pagamento dos juros ou principal;</w:t>
      </w:r>
    </w:p>
    <w:p w:rsidR="00E9008A" w:rsidRPr="00316249" w:rsidRDefault="00E9008A" w:rsidP="00E9008A">
      <w:pPr>
        <w:pStyle w:val="PargrafodaLista"/>
        <w:numPr>
          <w:ilvl w:val="0"/>
          <w:numId w:val="22"/>
        </w:numPr>
        <w:spacing w:after="0"/>
        <w:ind w:left="426" w:hanging="426"/>
        <w:jc w:val="both"/>
        <w:rPr>
          <w:rFonts w:ascii="Times New Roman" w:hAnsi="Times New Roman" w:cs="Times New Roman"/>
          <w:lang w:val="pt-BR"/>
        </w:rPr>
      </w:pPr>
      <w:r w:rsidRPr="00316249">
        <w:rPr>
          <w:rFonts w:ascii="Times New Roman" w:hAnsi="Times New Roman" w:cs="Times New Roman"/>
          <w:lang w:val="pt-BR"/>
        </w:rPr>
        <w:t>O Grupo, por razões econômicas ou jurídicas relativas à dificuldade financeira do tomador de empréstimo, estende ao tomador uma concessão que um credor normalmente não consideraria;</w:t>
      </w:r>
    </w:p>
    <w:p w:rsidR="00E9008A" w:rsidRPr="00316249" w:rsidRDefault="00E9008A" w:rsidP="00E9008A">
      <w:pPr>
        <w:pStyle w:val="PargrafodaLista"/>
        <w:numPr>
          <w:ilvl w:val="0"/>
          <w:numId w:val="22"/>
        </w:numPr>
        <w:spacing w:after="0"/>
        <w:ind w:left="426" w:hanging="426"/>
        <w:jc w:val="both"/>
        <w:rPr>
          <w:rFonts w:ascii="Times New Roman" w:hAnsi="Times New Roman" w:cs="Times New Roman"/>
          <w:lang w:val="pt-BR"/>
        </w:rPr>
      </w:pPr>
      <w:r w:rsidRPr="00316249">
        <w:rPr>
          <w:rFonts w:ascii="Times New Roman" w:hAnsi="Times New Roman" w:cs="Times New Roman"/>
          <w:lang w:val="pt-BR"/>
        </w:rPr>
        <w:t>Torna-se provável que o tomador declare falência ou outra reorganização financeira;</w:t>
      </w:r>
    </w:p>
    <w:p w:rsidR="00E9008A" w:rsidRPr="00316249" w:rsidRDefault="00E9008A" w:rsidP="00E9008A">
      <w:pPr>
        <w:pStyle w:val="PargrafodaLista"/>
        <w:numPr>
          <w:ilvl w:val="0"/>
          <w:numId w:val="22"/>
        </w:numPr>
        <w:spacing w:after="0"/>
        <w:ind w:left="426" w:hanging="426"/>
        <w:jc w:val="both"/>
        <w:rPr>
          <w:rFonts w:ascii="Times New Roman" w:hAnsi="Times New Roman" w:cs="Times New Roman"/>
          <w:lang w:val="pt-BR"/>
        </w:rPr>
      </w:pPr>
      <w:r w:rsidRPr="00316249">
        <w:rPr>
          <w:rFonts w:ascii="Times New Roman" w:hAnsi="Times New Roman" w:cs="Times New Roman"/>
          <w:lang w:val="pt-BR"/>
        </w:rPr>
        <w:t>O desaparecimento de um mercado ativo para aquele ativo financeiro devido às dificuldades financeiras; ou</w:t>
      </w:r>
    </w:p>
    <w:p w:rsidR="00E9008A" w:rsidRPr="00316249" w:rsidRDefault="00E9008A" w:rsidP="00E9008A">
      <w:pPr>
        <w:pStyle w:val="PargrafodaLista"/>
        <w:numPr>
          <w:ilvl w:val="0"/>
          <w:numId w:val="22"/>
        </w:numPr>
        <w:spacing w:after="0"/>
        <w:ind w:left="426" w:hanging="426"/>
        <w:jc w:val="both"/>
        <w:rPr>
          <w:rFonts w:ascii="Times New Roman" w:hAnsi="Times New Roman" w:cs="Times New Roman"/>
          <w:lang w:val="pt-BR"/>
        </w:rPr>
      </w:pPr>
      <w:r w:rsidRPr="00316249">
        <w:rPr>
          <w:rFonts w:ascii="Times New Roman" w:hAnsi="Times New Roman" w:cs="Times New Roman"/>
          <w:lang w:val="pt-BR"/>
        </w:rPr>
        <w:t>Dados observáveis indicando que há uma redução mensurável nos futuros fluxos de caixa estimados a partir de uma carteira de ativos financeiros desde o reconhecimento inicial daqueles ativos, embora a diminuição não possa ainda ser identificada com os ativos financeiros individuais na carteira, incluindo:</w:t>
      </w:r>
    </w:p>
    <w:p w:rsidR="00E9008A" w:rsidRPr="00316249" w:rsidRDefault="00E9008A" w:rsidP="00E9008A">
      <w:pPr>
        <w:pStyle w:val="Default"/>
        <w:numPr>
          <w:ilvl w:val="0"/>
          <w:numId w:val="24"/>
        </w:numPr>
        <w:ind w:left="709" w:hanging="283"/>
        <w:jc w:val="both"/>
        <w:rPr>
          <w:rFonts w:ascii="Times New Roman" w:hAnsi="Times New Roman" w:cs="Times New Roman"/>
        </w:rPr>
      </w:pPr>
      <w:r w:rsidRPr="00316249">
        <w:rPr>
          <w:rFonts w:ascii="Times New Roman" w:hAnsi="Times New Roman" w:cs="Times New Roman"/>
          <w:sz w:val="22"/>
          <w:szCs w:val="22"/>
        </w:rPr>
        <w:t>Mudanças adversas na situação do pagamento dos tomadores de empréstimo na carteira; e</w:t>
      </w:r>
    </w:p>
    <w:p w:rsidR="00E9008A" w:rsidRPr="00316249" w:rsidRDefault="00E9008A" w:rsidP="00E9008A">
      <w:pPr>
        <w:pStyle w:val="Default"/>
        <w:numPr>
          <w:ilvl w:val="0"/>
          <w:numId w:val="24"/>
        </w:numPr>
        <w:ind w:left="709" w:hanging="283"/>
        <w:jc w:val="both"/>
        <w:rPr>
          <w:rFonts w:ascii="Times New Roman" w:hAnsi="Times New Roman" w:cs="Times New Roman"/>
        </w:rPr>
      </w:pPr>
      <w:r w:rsidRPr="00316249">
        <w:rPr>
          <w:rFonts w:ascii="Times New Roman" w:hAnsi="Times New Roman" w:cs="Times New Roman"/>
          <w:sz w:val="22"/>
          <w:szCs w:val="22"/>
        </w:rPr>
        <w:t>Condições econômicas nacionais ou locais que se correlacionam com as inadimplências sobre os ativos na carteira.</w:t>
      </w:r>
    </w:p>
    <w:p w:rsidR="00E9008A" w:rsidRPr="00316249" w:rsidRDefault="00E9008A" w:rsidP="00E9008A">
      <w:pPr>
        <w:spacing w:before="240" w:after="240" w:line="247" w:lineRule="auto"/>
        <w:jc w:val="both"/>
        <w:rPr>
          <w:sz w:val="22"/>
          <w:szCs w:val="22"/>
          <w:lang w:eastAsia="en-GB"/>
        </w:rPr>
      </w:pPr>
      <w:r w:rsidRPr="00316249">
        <w:rPr>
          <w:sz w:val="22"/>
          <w:szCs w:val="22"/>
          <w:lang w:eastAsia="en-GB"/>
        </w:rPr>
        <w:t xml:space="preserve">O montante de perda por </w:t>
      </w:r>
      <w:proofErr w:type="spellStart"/>
      <w:r w:rsidRPr="00316249">
        <w:rPr>
          <w:i/>
          <w:sz w:val="22"/>
          <w:szCs w:val="22"/>
          <w:lang w:eastAsia="en-GB"/>
        </w:rPr>
        <w:t>impairment</w:t>
      </w:r>
      <w:proofErr w:type="spellEnd"/>
      <w:r w:rsidRPr="00316249">
        <w:rPr>
          <w:sz w:val="22"/>
          <w:szCs w:val="22"/>
          <w:lang w:eastAsia="en-GB"/>
        </w:rPr>
        <w:t xml:space="preserve"> quando incorrido é registrado no resultado e, se num período subsequente, o valor dessa perda diminuir, em função de um evento que ocorreu após a</w:t>
      </w:r>
      <w:r w:rsidRPr="00316249">
        <w:rPr>
          <w:i/>
          <w:sz w:val="22"/>
          <w:szCs w:val="22"/>
          <w:lang w:eastAsia="en-GB"/>
        </w:rPr>
        <w:t xml:space="preserve"> </w:t>
      </w:r>
      <w:r w:rsidRPr="00316249">
        <w:rPr>
          <w:sz w:val="22"/>
          <w:szCs w:val="22"/>
          <w:lang w:eastAsia="en-GB"/>
        </w:rPr>
        <w:t>deterioração anteriormente reconhecida, tal perda deverá ser revertida na demonstração do resultado.</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Instrumentos </w:t>
      </w:r>
      <w:r>
        <w:rPr>
          <w:rFonts w:ascii="Times New Roman" w:eastAsia="Arial Unicode MS" w:hAnsi="Times New Roman" w:cs="Times New Roman"/>
          <w:b/>
          <w:bCs/>
          <w:iCs/>
          <w:lang w:val="pt-BR"/>
        </w:rPr>
        <w:t>F</w:t>
      </w:r>
      <w:r w:rsidRPr="00316249">
        <w:rPr>
          <w:rFonts w:ascii="Times New Roman" w:eastAsia="Arial Unicode MS" w:hAnsi="Times New Roman" w:cs="Times New Roman"/>
          <w:b/>
          <w:bCs/>
          <w:iCs/>
          <w:lang w:val="pt-BR"/>
        </w:rPr>
        <w:t xml:space="preserve">inanceiros </w:t>
      </w:r>
      <w:r>
        <w:rPr>
          <w:rFonts w:ascii="Times New Roman" w:eastAsia="Arial Unicode MS" w:hAnsi="Times New Roman" w:cs="Times New Roman"/>
          <w:b/>
          <w:bCs/>
          <w:iCs/>
          <w:lang w:val="pt-BR"/>
        </w:rPr>
        <w:t>D</w:t>
      </w:r>
      <w:r w:rsidRPr="00316249">
        <w:rPr>
          <w:rFonts w:ascii="Times New Roman" w:eastAsia="Arial Unicode MS" w:hAnsi="Times New Roman" w:cs="Times New Roman"/>
          <w:b/>
          <w:bCs/>
          <w:iCs/>
          <w:lang w:val="pt-BR"/>
        </w:rPr>
        <w:t>erivativos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Grupo não opera com instrumentos financeiros derivativos.</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Contas a </w:t>
      </w:r>
      <w:r>
        <w:rPr>
          <w:rFonts w:ascii="Times New Roman" w:eastAsia="Arial Unicode MS" w:hAnsi="Times New Roman" w:cs="Times New Roman"/>
          <w:b/>
          <w:bCs/>
          <w:iCs/>
          <w:lang w:val="pt-BR"/>
        </w:rPr>
        <w:t>R</w:t>
      </w:r>
      <w:r w:rsidRPr="00316249">
        <w:rPr>
          <w:rFonts w:ascii="Times New Roman" w:eastAsia="Arial Unicode MS" w:hAnsi="Times New Roman" w:cs="Times New Roman"/>
          <w:b/>
          <w:bCs/>
          <w:iCs/>
          <w:lang w:val="pt-BR"/>
        </w:rPr>
        <w:t xml:space="preserve">eceber </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lastRenderedPageBreak/>
        <w:t>O Grupo classifica os valores a receber dos consumidores, dos revendedores, das concessionárias e das permissionárias na rubrica contas a receber. Os recebíveis são reconhecidos inicialmente pelo seu valor justo e estão apresentados pelo valor presente e são deduzidos pelo ajuste para redução ao seu provável valor de recuperação por meio da constituição de estimativa de perda com crédito de liquidação duvidosa.</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Os saldos de contas a receber de consumidores, revendedores, concessionários e permissionários incluem valores faturados e não faturados referentes aos serviços de distribuição de energia elétrica e de prestação de serviços de manutenção e obras de Iluminação pública; incluem ainda o uso do sistema de distribuição por clientes livres, bem como o saldo de energia vendida no mercado de curto prazo comercializada na Câmara de Comercialização de Energia Elétrica – CCEE (Nota Explicativa nº 6).</w:t>
      </w:r>
    </w:p>
    <w:p w:rsidR="00E9008A" w:rsidRPr="001048EE"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1048EE">
        <w:rPr>
          <w:rFonts w:ascii="Times New Roman" w:hAnsi="Times New Roman" w:cs="Times New Roman"/>
          <w:b/>
          <w:bCs/>
          <w:lang w:val="pt-BR"/>
        </w:rPr>
        <w:t>Estimativa de perdas com créditos de liquidação duvidosa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estimativa de perdas com créditos de liquidação duvidosa foi constituída com base na estimativa das prováveis perdas que possam ocorrer na cobrança dos créditos, sendo os saldos demonstrados no ativo circulante ou não circulante, de acordo com a classificação do título que as originaram. O critério utilizado pelo Grupo para constituir a provisão para créditos de liquidação duvidosa é considerado pela Administração como adequado para estimar as perdas com créditos decorrentes de fornecimento de energia e pode ser assim demonstrado:</w:t>
      </w:r>
    </w:p>
    <w:p w:rsidR="00E9008A" w:rsidRPr="00316249" w:rsidRDefault="00E9008A" w:rsidP="00E9008A">
      <w:pPr>
        <w:pStyle w:val="Corpodetexto"/>
        <w:spacing w:before="240" w:after="240"/>
        <w:rPr>
          <w:rFonts w:ascii="Times New Roman" w:hAnsi="Times New Roman" w:cs="Times New Roman"/>
          <w:sz w:val="22"/>
          <w:szCs w:val="22"/>
        </w:rPr>
      </w:pPr>
      <w:r w:rsidRPr="00316249">
        <w:rPr>
          <w:rFonts w:ascii="Times New Roman" w:hAnsi="Times New Roman" w:cs="Times New Roman"/>
          <w:sz w:val="22"/>
          <w:szCs w:val="22"/>
        </w:rPr>
        <w:t>Consumidores</w:t>
      </w:r>
    </w:p>
    <w:p w:rsidR="00E9008A" w:rsidRPr="00316249" w:rsidRDefault="00E9008A" w:rsidP="00E9008A">
      <w:pPr>
        <w:pStyle w:val="Default"/>
        <w:numPr>
          <w:ilvl w:val="0"/>
          <w:numId w:val="22"/>
        </w:numPr>
        <w:ind w:left="426" w:hanging="426"/>
        <w:jc w:val="both"/>
        <w:rPr>
          <w:rFonts w:ascii="Times New Roman" w:hAnsi="Times New Roman" w:cs="Times New Roman"/>
          <w:sz w:val="22"/>
          <w:szCs w:val="22"/>
        </w:rPr>
      </w:pPr>
      <w:r w:rsidRPr="00316249">
        <w:rPr>
          <w:rFonts w:ascii="Times New Roman" w:hAnsi="Times New Roman" w:cs="Times New Roman"/>
          <w:sz w:val="22"/>
          <w:szCs w:val="22"/>
        </w:rPr>
        <w:t>Classe residencial: consumidores com contas vencidas há mais de 90 dias;</w:t>
      </w:r>
    </w:p>
    <w:p w:rsidR="00E9008A" w:rsidRPr="00316249" w:rsidRDefault="00E9008A" w:rsidP="00E9008A">
      <w:pPr>
        <w:pStyle w:val="Default"/>
        <w:numPr>
          <w:ilvl w:val="0"/>
          <w:numId w:val="22"/>
        </w:numPr>
        <w:ind w:left="426" w:hanging="426"/>
        <w:jc w:val="both"/>
        <w:rPr>
          <w:rFonts w:ascii="Times New Roman" w:hAnsi="Times New Roman" w:cs="Times New Roman"/>
          <w:sz w:val="22"/>
          <w:szCs w:val="22"/>
        </w:rPr>
      </w:pPr>
      <w:r w:rsidRPr="00316249">
        <w:rPr>
          <w:rFonts w:ascii="Times New Roman" w:hAnsi="Times New Roman" w:cs="Times New Roman"/>
          <w:sz w:val="22"/>
          <w:szCs w:val="22"/>
        </w:rPr>
        <w:t>Classe comercial: consumidores com contas vencidas há mais de 180 dias; e</w:t>
      </w:r>
    </w:p>
    <w:p w:rsidR="00E9008A" w:rsidRPr="00316249" w:rsidRDefault="00E9008A" w:rsidP="00E9008A">
      <w:pPr>
        <w:pStyle w:val="Default"/>
        <w:numPr>
          <w:ilvl w:val="0"/>
          <w:numId w:val="22"/>
        </w:numPr>
        <w:ind w:left="426" w:hanging="426"/>
        <w:jc w:val="both"/>
        <w:rPr>
          <w:rFonts w:ascii="Times New Roman" w:hAnsi="Times New Roman" w:cs="Times New Roman"/>
          <w:sz w:val="22"/>
          <w:szCs w:val="22"/>
        </w:rPr>
      </w:pPr>
      <w:r w:rsidRPr="00316249">
        <w:rPr>
          <w:rFonts w:ascii="Times New Roman" w:hAnsi="Times New Roman" w:cs="Times New Roman"/>
          <w:sz w:val="22"/>
          <w:szCs w:val="22"/>
        </w:rPr>
        <w:t xml:space="preserve">Classe industrial e rural e outros, com contas vencidas há mais de 360 dias. </w:t>
      </w:r>
    </w:p>
    <w:p w:rsidR="007F7D85" w:rsidRDefault="007F7D85">
      <w:pPr>
        <w:rPr>
          <w:rFonts w:eastAsia="Arial Unicode MS"/>
          <w:b/>
          <w:bCs/>
          <w:iCs/>
          <w:sz w:val="22"/>
          <w:szCs w:val="22"/>
          <w:lang w:eastAsia="en-US"/>
        </w:rPr>
      </w:pPr>
      <w:r>
        <w:rPr>
          <w:rFonts w:eastAsia="Arial Unicode MS"/>
          <w:b/>
          <w:bCs/>
          <w:iCs/>
        </w:rPr>
        <w:br w:type="page"/>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lastRenderedPageBreak/>
        <w:t>Estoques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Representam os materiais e os equipamentos em estoque (almoxarifado de manutenção e administrativo), classificados no ativo circulante e aqueles destinados a investimentos (material de depósito), classificados no ativo não circulante – imobilizado, que estão registrados pelo custo médio de aquisição. Quando exceder os custos de reposição ou valores de realização, são deduzidos pelo ajuste para redução ao seu provável valor de recuperação.</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Reconhecimento dos </w:t>
      </w:r>
      <w:r>
        <w:rPr>
          <w:rFonts w:ascii="Times New Roman" w:eastAsia="Arial Unicode MS" w:hAnsi="Times New Roman" w:cs="Times New Roman"/>
          <w:b/>
          <w:bCs/>
          <w:iCs/>
          <w:lang w:val="pt-BR"/>
        </w:rPr>
        <w:t>V</w:t>
      </w:r>
      <w:r w:rsidRPr="00316249">
        <w:rPr>
          <w:rFonts w:ascii="Times New Roman" w:eastAsia="Arial Unicode MS" w:hAnsi="Times New Roman" w:cs="Times New Roman"/>
          <w:b/>
          <w:bCs/>
          <w:iCs/>
          <w:lang w:val="pt-BR"/>
        </w:rPr>
        <w:t xml:space="preserve">alores a </w:t>
      </w:r>
      <w:r>
        <w:rPr>
          <w:rFonts w:ascii="Times New Roman" w:eastAsia="Arial Unicode MS" w:hAnsi="Times New Roman" w:cs="Times New Roman"/>
          <w:b/>
          <w:bCs/>
          <w:iCs/>
          <w:lang w:val="pt-BR"/>
        </w:rPr>
        <w:t>R</w:t>
      </w:r>
      <w:r w:rsidRPr="00316249">
        <w:rPr>
          <w:rFonts w:ascii="Times New Roman" w:eastAsia="Arial Unicode MS" w:hAnsi="Times New Roman" w:cs="Times New Roman"/>
          <w:b/>
          <w:bCs/>
          <w:iCs/>
          <w:lang w:val="pt-BR"/>
        </w:rPr>
        <w:t>eceber/</w:t>
      </w:r>
      <w:r>
        <w:rPr>
          <w:rFonts w:ascii="Times New Roman" w:eastAsia="Arial Unicode MS" w:hAnsi="Times New Roman" w:cs="Times New Roman"/>
          <w:b/>
          <w:bCs/>
          <w:iCs/>
          <w:lang w:val="pt-BR"/>
        </w:rPr>
        <w:t>P</w:t>
      </w:r>
      <w:r w:rsidRPr="00316249">
        <w:rPr>
          <w:rFonts w:ascii="Times New Roman" w:eastAsia="Arial Unicode MS" w:hAnsi="Times New Roman" w:cs="Times New Roman"/>
          <w:b/>
          <w:bCs/>
          <w:iCs/>
          <w:lang w:val="pt-BR"/>
        </w:rPr>
        <w:t xml:space="preserve">agar de Parcela A e </w:t>
      </w:r>
      <w:r>
        <w:rPr>
          <w:rFonts w:ascii="Times New Roman" w:eastAsia="Arial Unicode MS" w:hAnsi="Times New Roman" w:cs="Times New Roman"/>
          <w:b/>
          <w:bCs/>
          <w:iCs/>
          <w:lang w:val="pt-BR"/>
        </w:rPr>
        <w:t>O</w:t>
      </w:r>
      <w:r w:rsidRPr="00316249">
        <w:rPr>
          <w:rFonts w:ascii="Times New Roman" w:eastAsia="Arial Unicode MS" w:hAnsi="Times New Roman" w:cs="Times New Roman"/>
          <w:b/>
          <w:bCs/>
          <w:iCs/>
          <w:lang w:val="pt-BR"/>
        </w:rPr>
        <w:t xml:space="preserve">utros </w:t>
      </w:r>
      <w:r>
        <w:rPr>
          <w:rFonts w:ascii="Times New Roman" w:eastAsia="Arial Unicode MS" w:hAnsi="Times New Roman" w:cs="Times New Roman"/>
          <w:b/>
          <w:bCs/>
          <w:iCs/>
          <w:lang w:val="pt-BR"/>
        </w:rPr>
        <w:t>I</w:t>
      </w:r>
      <w:r w:rsidRPr="00316249">
        <w:rPr>
          <w:rFonts w:ascii="Times New Roman" w:eastAsia="Arial Unicode MS" w:hAnsi="Times New Roman" w:cs="Times New Roman"/>
          <w:b/>
          <w:bCs/>
          <w:iCs/>
          <w:lang w:val="pt-BR"/>
        </w:rPr>
        <w:t xml:space="preserve">tens </w:t>
      </w:r>
      <w:r>
        <w:rPr>
          <w:rFonts w:ascii="Times New Roman" w:eastAsia="Arial Unicode MS" w:hAnsi="Times New Roman" w:cs="Times New Roman"/>
          <w:b/>
          <w:bCs/>
          <w:iCs/>
          <w:lang w:val="pt-BR"/>
        </w:rPr>
        <w:t>F</w:t>
      </w:r>
      <w:r w:rsidRPr="00316249">
        <w:rPr>
          <w:rFonts w:ascii="Times New Roman" w:eastAsia="Arial Unicode MS" w:hAnsi="Times New Roman" w:cs="Times New Roman"/>
          <w:b/>
          <w:bCs/>
          <w:iCs/>
          <w:lang w:val="pt-BR"/>
        </w:rPr>
        <w:t>inanceiros</w:t>
      </w:r>
    </w:p>
    <w:p w:rsidR="00E9008A" w:rsidRPr="00316249" w:rsidRDefault="00E9008A" w:rsidP="00E9008A">
      <w:pPr>
        <w:spacing w:before="240" w:after="240"/>
        <w:jc w:val="both"/>
        <w:rPr>
          <w:sz w:val="22"/>
          <w:szCs w:val="22"/>
        </w:rPr>
      </w:pPr>
      <w:r w:rsidRPr="00316249">
        <w:rPr>
          <w:sz w:val="22"/>
          <w:szCs w:val="22"/>
        </w:rPr>
        <w:t>Em 25 de novembro de 2014, a ANEEL aditou os contratos de concessão e permissão das companhias de distribuição de energia elétrica, visando eliminar eventuais incertezas quanto ao reconhecimento e à realização das diferenças temporais, cujos valores são repassados à tarifa de distribuição de energia elétrica – Parcela A (CVA) e outros componentes financeiros. No termo aditivo emitido pela ANEEL, o Órgão Regulador garante que os valores de CVA e outros componentes financeiros serão incorporados no cálculo da indenização, quando da extinção da concessão.</w:t>
      </w:r>
    </w:p>
    <w:p w:rsidR="00E9008A" w:rsidRPr="00316249" w:rsidRDefault="00E9008A" w:rsidP="00E9008A">
      <w:pPr>
        <w:spacing w:before="240" w:after="240"/>
        <w:jc w:val="both"/>
        <w:rPr>
          <w:sz w:val="22"/>
          <w:szCs w:val="22"/>
        </w:rPr>
      </w:pPr>
      <w:r w:rsidRPr="00316249">
        <w:rPr>
          <w:sz w:val="22"/>
          <w:szCs w:val="22"/>
        </w:rPr>
        <w:t>Como consequência, foi emitido pelo CPC a Orientação Técnica OCPC08</w:t>
      </w:r>
      <w:r>
        <w:rPr>
          <w:sz w:val="22"/>
          <w:szCs w:val="22"/>
        </w:rPr>
        <w:t>,</w:t>
      </w:r>
      <w:r w:rsidRPr="00316249">
        <w:rPr>
          <w:sz w:val="22"/>
          <w:szCs w:val="22"/>
        </w:rPr>
        <w:t xml:space="preserve"> que teve por objetivo tratar dos requisitos básicos de reconhecimento, mensuração e evidenciação destes ativos ou passivos financeiros, que passam a ter a característica de direito (ou obrigação) incondicional de receber (ou entregar) caixa ou outro instrumento financeiro a uma contraparte claramente identificada.</w:t>
      </w:r>
    </w:p>
    <w:p w:rsidR="00E9008A" w:rsidRPr="00316249" w:rsidRDefault="00E9008A" w:rsidP="00E9008A">
      <w:pPr>
        <w:spacing w:before="240" w:after="240"/>
        <w:jc w:val="both"/>
        <w:rPr>
          <w:sz w:val="22"/>
          <w:szCs w:val="22"/>
        </w:rPr>
      </w:pPr>
      <w:r w:rsidRPr="00316249">
        <w:rPr>
          <w:sz w:val="22"/>
          <w:szCs w:val="22"/>
        </w:rPr>
        <w:t>De acordo com a OCPC 08, o aditamento do contrato de concessão representou um elemento novo, que eliminou as eventuais incertezas quando à realização do ativo ou exigibilidade do passivo dos itens da Parcela A e outros componentes financeiros, que até então, não eram reconhecidos.</w:t>
      </w:r>
    </w:p>
    <w:p w:rsidR="00E9008A" w:rsidRPr="00316249" w:rsidRDefault="00E9008A" w:rsidP="00E9008A">
      <w:pPr>
        <w:spacing w:before="240" w:after="240"/>
        <w:jc w:val="both"/>
        <w:rPr>
          <w:sz w:val="22"/>
          <w:szCs w:val="22"/>
        </w:rPr>
      </w:pPr>
      <w:r w:rsidRPr="00316249">
        <w:rPr>
          <w:sz w:val="22"/>
          <w:szCs w:val="22"/>
        </w:rPr>
        <w:t>Por se tratar de evento novo, o Grupo efetuou o reconhecimento dos saldos de CVA e outros componentes financeiros de forma prospectiva, a partir da assinatura dos respectivos aditivos contratuais. O registro dos valores a receber foi efetuado em contas de ativo em contrapartida ao resultado deste exercício na rubrica de receita de vendas de bens e serviços (Nota Explicativa nº 8).</w:t>
      </w:r>
    </w:p>
    <w:p w:rsidR="00E9008A" w:rsidRDefault="00E9008A" w:rsidP="00E9008A">
      <w:pPr>
        <w:spacing w:before="240" w:after="240"/>
        <w:jc w:val="both"/>
        <w:rPr>
          <w:sz w:val="22"/>
          <w:szCs w:val="22"/>
        </w:rPr>
      </w:pPr>
      <w:r w:rsidRPr="00316249">
        <w:rPr>
          <w:sz w:val="22"/>
          <w:szCs w:val="22"/>
        </w:rPr>
        <w:t>O Grupo reconhece os valores a receber/pagar da Parcela A e outros itens financeiros,</w:t>
      </w:r>
      <w:r>
        <w:rPr>
          <w:sz w:val="22"/>
          <w:szCs w:val="22"/>
        </w:rPr>
        <w:t xml:space="preserve"> pelo regime de competência. E</w:t>
      </w:r>
      <w:r w:rsidRPr="00316249">
        <w:rPr>
          <w:sz w:val="22"/>
          <w:szCs w:val="22"/>
        </w:rPr>
        <w:t>sta forma de apresentação, além de atender aos preceitos da Lei n</w:t>
      </w:r>
      <w:r w:rsidRPr="00316249">
        <w:rPr>
          <w:sz w:val="22"/>
          <w:szCs w:val="22"/>
          <w:vertAlign w:val="superscript"/>
        </w:rPr>
        <w:t>o</w:t>
      </w:r>
      <w:r w:rsidRPr="00316249">
        <w:rPr>
          <w:sz w:val="22"/>
          <w:szCs w:val="22"/>
        </w:rPr>
        <w:t xml:space="preserve"> 6.404/1976, art. 177, resulta em uma informação mais confiável e relevante para a compreensão dos efeitos destas transações nas demonstrações financeiras.</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Ativo </w:t>
      </w:r>
      <w:r>
        <w:rPr>
          <w:rFonts w:ascii="Times New Roman" w:eastAsia="Arial Unicode MS" w:hAnsi="Times New Roman" w:cs="Times New Roman"/>
          <w:b/>
          <w:bCs/>
          <w:iCs/>
          <w:lang w:val="pt-BR"/>
        </w:rPr>
        <w:t>N</w:t>
      </w:r>
      <w:r w:rsidRPr="00316249">
        <w:rPr>
          <w:rFonts w:ascii="Times New Roman" w:eastAsia="Arial Unicode MS" w:hAnsi="Times New Roman" w:cs="Times New Roman"/>
          <w:b/>
          <w:bCs/>
          <w:iCs/>
          <w:lang w:val="pt-BR"/>
        </w:rPr>
        <w:t xml:space="preserve">ão </w:t>
      </w:r>
      <w:r>
        <w:rPr>
          <w:rFonts w:ascii="Times New Roman" w:eastAsia="Arial Unicode MS" w:hAnsi="Times New Roman" w:cs="Times New Roman"/>
          <w:b/>
          <w:bCs/>
          <w:iCs/>
          <w:lang w:val="pt-BR"/>
        </w:rPr>
        <w:t>C</w:t>
      </w:r>
      <w:r w:rsidRPr="00316249">
        <w:rPr>
          <w:rFonts w:ascii="Times New Roman" w:eastAsia="Arial Unicode MS" w:hAnsi="Times New Roman" w:cs="Times New Roman"/>
          <w:b/>
          <w:bCs/>
          <w:iCs/>
          <w:lang w:val="pt-BR"/>
        </w:rPr>
        <w:t xml:space="preserve">irculante </w:t>
      </w:r>
      <w:r>
        <w:rPr>
          <w:rFonts w:ascii="Times New Roman" w:eastAsia="Arial Unicode MS" w:hAnsi="Times New Roman" w:cs="Times New Roman"/>
          <w:b/>
          <w:bCs/>
          <w:iCs/>
          <w:lang w:val="pt-BR"/>
        </w:rPr>
        <w:t>M</w:t>
      </w:r>
      <w:r w:rsidRPr="00316249">
        <w:rPr>
          <w:rFonts w:ascii="Times New Roman" w:eastAsia="Arial Unicode MS" w:hAnsi="Times New Roman" w:cs="Times New Roman"/>
          <w:b/>
          <w:bCs/>
          <w:iCs/>
          <w:lang w:val="pt-BR"/>
        </w:rPr>
        <w:t xml:space="preserve">antido </w:t>
      </w:r>
      <w:r>
        <w:rPr>
          <w:rFonts w:ascii="Times New Roman" w:eastAsia="Arial Unicode MS" w:hAnsi="Times New Roman" w:cs="Times New Roman"/>
          <w:b/>
          <w:bCs/>
          <w:iCs/>
          <w:lang w:val="pt-BR"/>
        </w:rPr>
        <w:t>P</w:t>
      </w:r>
      <w:r w:rsidRPr="00316249">
        <w:rPr>
          <w:rFonts w:ascii="Times New Roman" w:eastAsia="Arial Unicode MS" w:hAnsi="Times New Roman" w:cs="Times New Roman"/>
          <w:b/>
          <w:bCs/>
          <w:iCs/>
          <w:lang w:val="pt-BR"/>
        </w:rPr>
        <w:t xml:space="preserve">ara </w:t>
      </w:r>
      <w:r>
        <w:rPr>
          <w:rFonts w:ascii="Times New Roman" w:eastAsia="Arial Unicode MS" w:hAnsi="Times New Roman" w:cs="Times New Roman"/>
          <w:b/>
          <w:bCs/>
          <w:iCs/>
          <w:lang w:val="pt-BR"/>
        </w:rPr>
        <w:t>V</w:t>
      </w:r>
      <w:r w:rsidRPr="00316249">
        <w:rPr>
          <w:rFonts w:ascii="Times New Roman" w:eastAsia="Arial Unicode MS" w:hAnsi="Times New Roman" w:cs="Times New Roman"/>
          <w:b/>
          <w:bCs/>
          <w:iCs/>
          <w:lang w:val="pt-BR"/>
        </w:rPr>
        <w:t>enda</w:t>
      </w:r>
    </w:p>
    <w:p w:rsidR="00E9008A" w:rsidRPr="00316249" w:rsidRDefault="00E9008A" w:rsidP="00E9008A">
      <w:pPr>
        <w:spacing w:before="240" w:after="240"/>
        <w:jc w:val="both"/>
        <w:rPr>
          <w:sz w:val="22"/>
          <w:szCs w:val="22"/>
        </w:rPr>
      </w:pPr>
      <w:r w:rsidRPr="00316249">
        <w:rPr>
          <w:sz w:val="22"/>
          <w:szCs w:val="22"/>
        </w:rPr>
        <w:t>A Companhia classifica um ativo não circulante como mantido para a venda, se o seu valor contábil for recuperável por meio de transação de alienação. Neste caso, deve estar disponível para venda imediata em suas condições atuais, sujeito apenas aos procedimentos habituais para operações desta natureza. Além disso, sua venda deve ser altamente provável.</w:t>
      </w:r>
    </w:p>
    <w:p w:rsidR="00E9008A" w:rsidRPr="00316249" w:rsidRDefault="00E9008A" w:rsidP="00E9008A">
      <w:pPr>
        <w:spacing w:before="240" w:after="240"/>
        <w:jc w:val="both"/>
        <w:rPr>
          <w:sz w:val="22"/>
          <w:szCs w:val="22"/>
        </w:rPr>
      </w:pPr>
      <w:r w:rsidRPr="00316249">
        <w:rPr>
          <w:sz w:val="22"/>
          <w:szCs w:val="22"/>
        </w:rPr>
        <w:t>A Administração deve estar comprometida com o plano de venda do ativo, e iniciar um programa firme para localizar um comprador e concluir o plano. O ativo mantido para alienação deve ser efetivamente colocado à venda por preço que seja razoável em relação ao seu valor justo corrente. Espera-se, ainda, que a operação de desmobilização do ativo seja concluída em até um ano a partir da data da classificação.</w:t>
      </w:r>
    </w:p>
    <w:p w:rsidR="00E9008A" w:rsidRPr="00316249" w:rsidRDefault="00E9008A" w:rsidP="00E9008A">
      <w:pPr>
        <w:spacing w:before="240" w:after="240"/>
        <w:jc w:val="both"/>
        <w:rPr>
          <w:sz w:val="22"/>
          <w:szCs w:val="22"/>
        </w:rPr>
      </w:pPr>
      <w:r w:rsidRPr="00316249">
        <w:rPr>
          <w:sz w:val="22"/>
          <w:szCs w:val="22"/>
        </w:rPr>
        <w:t xml:space="preserve">O grupo de ativos mantidos para a venda é mensurado pelo menor valor entre seu “valor contábil” e o “valor justo menos as despesas de venda”. Caso o valor contábil seja superior ao seu valor justo, uma </w:t>
      </w:r>
      <w:r w:rsidRPr="00316249">
        <w:rPr>
          <w:sz w:val="22"/>
          <w:szCs w:val="22"/>
        </w:rPr>
        <w:lastRenderedPageBreak/>
        <w:t xml:space="preserve">perda por </w:t>
      </w:r>
      <w:proofErr w:type="spellStart"/>
      <w:r w:rsidRPr="00316249">
        <w:rPr>
          <w:i/>
          <w:sz w:val="22"/>
          <w:szCs w:val="22"/>
        </w:rPr>
        <w:t>impairment</w:t>
      </w:r>
      <w:proofErr w:type="spellEnd"/>
      <w:r w:rsidRPr="00316249">
        <w:rPr>
          <w:sz w:val="22"/>
          <w:szCs w:val="22"/>
        </w:rPr>
        <w:t xml:space="preserve"> é reconhecida em contrapartida do resultado. Qualquer reversão ou ganho somente será registrado até o limite da perda reconhecida.</w:t>
      </w:r>
    </w:p>
    <w:p w:rsidR="00E9008A" w:rsidRPr="00316249" w:rsidRDefault="00E9008A" w:rsidP="00E9008A">
      <w:pPr>
        <w:spacing w:before="240" w:after="240"/>
        <w:jc w:val="both"/>
        <w:rPr>
          <w:sz w:val="22"/>
          <w:szCs w:val="22"/>
        </w:rPr>
      </w:pPr>
      <w:r w:rsidRPr="00316249">
        <w:rPr>
          <w:sz w:val="22"/>
          <w:szCs w:val="22"/>
        </w:rPr>
        <w:t>A depreciação dos ativos mantidos para negociação cessa quando um grupo de ativos é designado como mantido para a venda.</w:t>
      </w:r>
    </w:p>
    <w:p w:rsidR="00E9008A" w:rsidRPr="00316249" w:rsidRDefault="00E9008A" w:rsidP="00E9008A">
      <w:pPr>
        <w:spacing w:before="240" w:after="240"/>
        <w:jc w:val="both"/>
        <w:rPr>
          <w:sz w:val="22"/>
          <w:szCs w:val="22"/>
        </w:rPr>
      </w:pPr>
      <w:r w:rsidRPr="00316249">
        <w:rPr>
          <w:sz w:val="22"/>
          <w:szCs w:val="22"/>
        </w:rPr>
        <w:t>O grupo tem classificado como ativos mantidos para venda apenas terrenos e prédios (Nota Explicativa nº 13).</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Contrato de </w:t>
      </w:r>
      <w:r>
        <w:rPr>
          <w:rFonts w:ascii="Times New Roman" w:eastAsia="Arial Unicode MS" w:hAnsi="Times New Roman" w:cs="Times New Roman"/>
          <w:b/>
          <w:bCs/>
          <w:iCs/>
          <w:lang w:val="pt-BR"/>
        </w:rPr>
        <w:t>C</w:t>
      </w:r>
      <w:r w:rsidRPr="00316249">
        <w:rPr>
          <w:rFonts w:ascii="Times New Roman" w:eastAsia="Arial Unicode MS" w:hAnsi="Times New Roman" w:cs="Times New Roman"/>
          <w:b/>
          <w:bCs/>
          <w:iCs/>
          <w:lang w:val="pt-BR"/>
        </w:rPr>
        <w:t>oncessão (</w:t>
      </w:r>
      <w:r>
        <w:rPr>
          <w:rFonts w:ascii="Times New Roman" w:eastAsia="Arial Unicode MS" w:hAnsi="Times New Roman" w:cs="Times New Roman"/>
          <w:b/>
          <w:bCs/>
          <w:iCs/>
          <w:lang w:val="pt-BR"/>
        </w:rPr>
        <w:t>a</w:t>
      </w:r>
      <w:r w:rsidRPr="00316249">
        <w:rPr>
          <w:rFonts w:ascii="Times New Roman" w:eastAsia="Arial Unicode MS" w:hAnsi="Times New Roman" w:cs="Times New Roman"/>
          <w:b/>
          <w:bCs/>
          <w:iCs/>
          <w:lang w:val="pt-BR"/>
        </w:rPr>
        <w:t xml:space="preserve">tivo intangível de concessão e ativo financeiro indenizável) – Atividade de </w:t>
      </w:r>
      <w:r>
        <w:rPr>
          <w:rFonts w:ascii="Times New Roman" w:eastAsia="Arial Unicode MS" w:hAnsi="Times New Roman" w:cs="Times New Roman"/>
          <w:b/>
          <w:bCs/>
          <w:iCs/>
          <w:lang w:val="pt-BR"/>
        </w:rPr>
        <w:t>D</w:t>
      </w:r>
      <w:r w:rsidRPr="00316249">
        <w:rPr>
          <w:rFonts w:ascii="Times New Roman" w:eastAsia="Arial Unicode MS" w:hAnsi="Times New Roman" w:cs="Times New Roman"/>
          <w:b/>
          <w:bCs/>
          <w:iCs/>
          <w:lang w:val="pt-BR"/>
        </w:rPr>
        <w:t>istribuição</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 Interpretação ICPC 1/IFRIC 12 prevê que uma vez considerado que o concessionário não controla os ativos subjacentes, a infraestrutura de concessões (incluindo energia elétrica) não pode ser reconhecida como ativo imobilizado passando a ser reconhecida de acordo com um dos modelos contábeis previstos na interpretação. Dependendo do tipo de compromisso de remuneração do concessionário assumido junto ao Poder Concedente, conforme contrato estabelecido entre as partes (modelos do ativo financeiro, do ativo intangível e do bifurcado).</w:t>
      </w:r>
    </w:p>
    <w:p w:rsidR="00E9008A" w:rsidRPr="00316249" w:rsidRDefault="00E9008A" w:rsidP="00E9008A">
      <w:pPr>
        <w:pStyle w:val="17TEXTOcorpojustificado"/>
        <w:widowControl w:val="0"/>
        <w:spacing w:before="240" w:after="240" w:line="240" w:lineRule="auto"/>
        <w:rPr>
          <w:rFonts w:ascii="Times New Roman" w:hAnsi="Times New Roman"/>
          <w:szCs w:val="22"/>
        </w:rPr>
      </w:pPr>
      <w:r w:rsidRPr="00316249">
        <w:rPr>
          <w:rFonts w:ascii="Times New Roman" w:hAnsi="Times New Roman"/>
          <w:szCs w:val="22"/>
        </w:rPr>
        <w:t>Na atividade de concessão de distribuição de energia elétrica, é aplicado o modelo denominado bifurcado em razão de as empresas do segmento possuir o direito às seguintes fontes de remuneração, derivadas da concessão:</w:t>
      </w:r>
    </w:p>
    <w:p w:rsidR="00E9008A" w:rsidRPr="00316249" w:rsidRDefault="00E9008A" w:rsidP="00E9008A">
      <w:pPr>
        <w:pStyle w:val="Default"/>
        <w:numPr>
          <w:ilvl w:val="0"/>
          <w:numId w:val="22"/>
        </w:numPr>
        <w:ind w:left="426" w:hanging="426"/>
        <w:jc w:val="both"/>
        <w:rPr>
          <w:rFonts w:ascii="Times New Roman" w:hAnsi="Times New Roman" w:cs="Times New Roman"/>
          <w:szCs w:val="22"/>
        </w:rPr>
      </w:pPr>
      <w:r w:rsidRPr="00316249">
        <w:rPr>
          <w:rFonts w:ascii="Times New Roman" w:hAnsi="Times New Roman" w:cs="Times New Roman"/>
          <w:sz w:val="22"/>
          <w:szCs w:val="22"/>
        </w:rPr>
        <w:t>Do Poder Concedente, no tocante ao valor contábil da infraestrutura ao final do contrato de concessão (ativo financeiro da concessão); e</w:t>
      </w:r>
    </w:p>
    <w:p w:rsidR="00E9008A" w:rsidRPr="00316249" w:rsidRDefault="00E9008A" w:rsidP="00E9008A">
      <w:pPr>
        <w:pStyle w:val="Default"/>
        <w:numPr>
          <w:ilvl w:val="0"/>
          <w:numId w:val="22"/>
        </w:numPr>
        <w:ind w:left="426" w:hanging="426"/>
        <w:jc w:val="both"/>
        <w:rPr>
          <w:rFonts w:ascii="Times New Roman" w:hAnsi="Times New Roman" w:cs="Times New Roman"/>
          <w:szCs w:val="22"/>
        </w:rPr>
      </w:pPr>
      <w:r w:rsidRPr="00316249">
        <w:rPr>
          <w:rFonts w:ascii="Times New Roman" w:hAnsi="Times New Roman" w:cs="Times New Roman"/>
          <w:sz w:val="22"/>
          <w:szCs w:val="22"/>
        </w:rPr>
        <w:t>Dos usuários, pela parte que lhes cabe dos serviços de construção e pela prestação do serviço de fornecimento de energia elétrica (ativo intangível).</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Na avaliação da Administração da Companhia, em conjunto com consultoria técnica externa, não é aplicável a adoção do ICPC 1/IFRIC 12 nas concessões relativas à geração de energia </w:t>
      </w:r>
      <w:r>
        <w:rPr>
          <w:sz w:val="22"/>
          <w:szCs w:val="22"/>
        </w:rPr>
        <w:t>d</w:t>
      </w:r>
      <w:r w:rsidRPr="00316249">
        <w:rPr>
          <w:sz w:val="22"/>
          <w:szCs w:val="22"/>
        </w:rPr>
        <w:t>o Grupo.</w:t>
      </w:r>
    </w:p>
    <w:p w:rsidR="00E9008A" w:rsidRPr="00316249" w:rsidRDefault="00E9008A" w:rsidP="00E9008A">
      <w:pPr>
        <w:pStyle w:val="17TEXTOcorpojustificado"/>
        <w:widowControl w:val="0"/>
        <w:spacing w:before="240" w:after="240" w:line="240" w:lineRule="auto"/>
        <w:rPr>
          <w:rFonts w:ascii="Times New Roman" w:hAnsi="Times New Roman"/>
          <w:szCs w:val="22"/>
        </w:rPr>
      </w:pPr>
      <w:r w:rsidRPr="00316249">
        <w:rPr>
          <w:rFonts w:ascii="Times New Roman" w:hAnsi="Times New Roman"/>
          <w:szCs w:val="22"/>
        </w:rPr>
        <w:t>Os ativos classificados como financeiros representam a parcela estimada dos investimentos realizados e não amortizados até o final da concessão, sobre a qual a CEB D possui o direito incondicional de receber dinheiro ou outro ativo financeiro do Poder Concedente a título de indenização pela reversão da infraestrutura do serviço público.</w:t>
      </w:r>
    </w:p>
    <w:p w:rsidR="00E9008A" w:rsidRPr="00316249" w:rsidRDefault="00E9008A" w:rsidP="00E9008A">
      <w:pPr>
        <w:pStyle w:val="17TEXTOcorpojustificado"/>
        <w:widowControl w:val="0"/>
        <w:spacing w:before="240" w:after="240" w:line="240" w:lineRule="auto"/>
        <w:rPr>
          <w:rFonts w:ascii="Times New Roman" w:hAnsi="Times New Roman"/>
          <w:szCs w:val="22"/>
        </w:rPr>
      </w:pPr>
      <w:r w:rsidRPr="00316249">
        <w:rPr>
          <w:rFonts w:ascii="Times New Roman" w:hAnsi="Times New Roman"/>
          <w:szCs w:val="22"/>
        </w:rPr>
        <w:t>Os ativos financeiros relacionados ao contrato de concessão são classificados como disponíveis para venda e em 31 de dezembro de 2015, foram valorizados com base na BRR – Base de Remuneração Regulatória, conceito de valor de reposição, que é utilizada para a determinação tarifária. A valorização pela BRR, apesar de não haver legislação que confirmasse que a indenização seria neste conceito, guarda coerência com o critério utilizado pela ANEEL para determinar a tarifa de energia das distribuidoras.</w:t>
      </w:r>
    </w:p>
    <w:p w:rsidR="00E9008A" w:rsidRPr="00316249" w:rsidRDefault="00E9008A" w:rsidP="00E9008A">
      <w:pPr>
        <w:pStyle w:val="17TEXTOcorpojustificado"/>
        <w:widowControl w:val="0"/>
        <w:spacing w:before="240" w:after="240" w:line="240" w:lineRule="auto"/>
        <w:rPr>
          <w:rFonts w:ascii="Times New Roman" w:hAnsi="Times New Roman"/>
          <w:szCs w:val="22"/>
        </w:rPr>
      </w:pPr>
      <w:r w:rsidRPr="00316249">
        <w:rPr>
          <w:rFonts w:ascii="Times New Roman" w:hAnsi="Times New Roman"/>
          <w:szCs w:val="22"/>
        </w:rPr>
        <w:t>Com a introdução da Medida Provisória nº 579, convertida na Lei n</w:t>
      </w:r>
      <w:r w:rsidRPr="00316249">
        <w:rPr>
          <w:rFonts w:ascii="Times New Roman" w:hAnsi="Times New Roman"/>
          <w:szCs w:val="22"/>
          <w:vertAlign w:val="superscript"/>
        </w:rPr>
        <w:t xml:space="preserve">o </w:t>
      </w:r>
      <w:r w:rsidRPr="00316249">
        <w:rPr>
          <w:rFonts w:ascii="Times New Roman" w:hAnsi="Times New Roman"/>
          <w:szCs w:val="22"/>
        </w:rPr>
        <w:t xml:space="preserve">12.783/2013, ficaram definidos os critérios utilizados pelo Poder Concedente para apurar o valor de indenização a ser pago ao término do contrato de concessão. A indenização será determinada com base no valor novo de reposição depreciado, utilizando a Base de Remuneração Regulatória – BRR. Desta forma, o valor da indenização a ser recebido (fluxo de caixa) através deste ativo financeiro foi estabelecido com base nessas informações. Conforme estabelecido pelo pronunciamento técnico CPC 38 – Instrumentos Financeiros: Reconhecimento e Mensuração, as variações na estimativa de fluxo de caixa são </w:t>
      </w:r>
      <w:r w:rsidRPr="00316249">
        <w:rPr>
          <w:rFonts w:ascii="Times New Roman" w:hAnsi="Times New Roman"/>
          <w:szCs w:val="22"/>
        </w:rPr>
        <w:lastRenderedPageBreak/>
        <w:t>registradas diretamente no resultado do exercício. Portanto, com o advento da Medida Provisória nº 579, confirmou-se que as variações no valor da indenização decorrentes da atualização monetária ou dos valores de reposição constituem-se em elemento do fluxo de caixa esperado e, consequentemente, devem ser registrados no resultado.</w:t>
      </w:r>
    </w:p>
    <w:p w:rsidR="00E9008A" w:rsidRPr="00316249" w:rsidRDefault="00E9008A" w:rsidP="00E9008A">
      <w:pPr>
        <w:pStyle w:val="17TEXTOcorpojustificado"/>
        <w:widowControl w:val="0"/>
        <w:spacing w:before="240" w:after="240" w:line="240" w:lineRule="auto"/>
        <w:rPr>
          <w:rFonts w:ascii="Times New Roman" w:hAnsi="Times New Roman"/>
          <w:szCs w:val="22"/>
        </w:rPr>
      </w:pPr>
      <w:r w:rsidRPr="00316249">
        <w:rPr>
          <w:rFonts w:ascii="Times New Roman" w:hAnsi="Times New Roman"/>
          <w:szCs w:val="22"/>
        </w:rPr>
        <w:t>De acordo, ainda, com o Pronunciamento Técnico CPC 38, as alterações resultantes de mudanças nas condições de mercado (variações em taxas de juros) são registradas no patrimônio líquido em outros resultados abrangentes. Por não existir um mercado ativo para negociação deste ativo financeiro, a CEB D mensura seu valor justo utilizando os mesmos componentes da taxa de remuneração regulatória estabelecida pela ANEEL (WACC regulatório). Caso a CEB D verifique uma mudança no WACC regulatório durante os períodos de revisão tarifária, essa nova taxa de juros é utilizada pela Empresa para trazer a valor presente os fluxos de caixa estimados. A Administração entende que esta metodologia é a que melhor reflete o valor justo na visão dos participantes do mercado, uma vez que a taxa de retorno estabelecida pela ANEEL leva em consideração, além das taxas livres de riscos, os demais riscos inerentes ao setor. Portanto, os ajustes decorrentes da diferença entre o WACC de mercado e o WACC regulatório serão reconhecidos no patrimônio líquido. Em 31 de dezembro de 2016, não há saldo registrado em outros resultados abrangentes, uma vez que a CEB D concluiu que naquela data não havia diferença entre essas taxas.</w:t>
      </w:r>
    </w:p>
    <w:p w:rsidR="00E9008A" w:rsidRPr="00316249" w:rsidRDefault="00E9008A" w:rsidP="00E9008A">
      <w:pPr>
        <w:pStyle w:val="17TEXTOcorpojustificado"/>
        <w:widowControl w:val="0"/>
        <w:spacing w:before="240" w:after="240" w:line="240" w:lineRule="auto"/>
        <w:rPr>
          <w:rFonts w:ascii="Times New Roman" w:hAnsi="Times New Roman"/>
          <w:szCs w:val="22"/>
        </w:rPr>
      </w:pPr>
      <w:r w:rsidRPr="00316249">
        <w:rPr>
          <w:rFonts w:ascii="Times New Roman" w:hAnsi="Times New Roman"/>
          <w:szCs w:val="22"/>
        </w:rPr>
        <w:t>Os ativos classificados como intangível representam o direito da CEB D de cobrar os consumidores pelo uso da infraestrutura do serviço público. Os ativos intangíveis foram mensurados pelo valor contábil na data de transição para os Pronunciamentos, Interpretações e Orientações emitidas pelo CPC e IFRS (1º de janeiro de 2009). Esses ativos foram mensurados com base nas práticas contábeis anteriores à transição e eram mensurados com base nos mesmos critérios do ativo imobilizado descritos abaixo. As adições subsequentes são reconhecidas inicialmente pelo valor justo na data de sua aquisição ou construção. Após o seu reconhecimento inicial, os ativos intangíveis são amortizados com base no prazo de benefício econômico esperado até o final do prazo da concessão.</w:t>
      </w:r>
    </w:p>
    <w:p w:rsidR="00E9008A" w:rsidRPr="00316249" w:rsidRDefault="00E9008A" w:rsidP="00E9008A">
      <w:pPr>
        <w:pStyle w:val="17TEXTOcorpojustificado"/>
        <w:widowControl w:val="0"/>
        <w:spacing w:before="240" w:after="240" w:line="240" w:lineRule="auto"/>
        <w:rPr>
          <w:rFonts w:ascii="Times New Roman" w:hAnsi="Times New Roman"/>
          <w:szCs w:val="22"/>
        </w:rPr>
      </w:pPr>
      <w:r w:rsidRPr="00316249">
        <w:rPr>
          <w:rFonts w:ascii="Times New Roman" w:hAnsi="Times New Roman"/>
          <w:szCs w:val="22"/>
        </w:rPr>
        <w:t>A CEB D mantém outros ativos intangíveis que têm vidas úteis finitas limitadas ao prazo da concessão e que são mensurados pelo custo, deduzido da amortização acumulada e das perdas para redução ao valor recuperável, quando aplicável (Nota Explicativa nº 11).</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Propriedade </w:t>
      </w:r>
      <w:r>
        <w:rPr>
          <w:rFonts w:ascii="Times New Roman" w:eastAsia="Arial Unicode MS" w:hAnsi="Times New Roman" w:cs="Times New Roman"/>
          <w:b/>
          <w:bCs/>
          <w:iCs/>
          <w:lang w:val="pt-BR"/>
        </w:rPr>
        <w:t>P</w:t>
      </w:r>
      <w:r w:rsidRPr="00316249">
        <w:rPr>
          <w:rFonts w:ascii="Times New Roman" w:eastAsia="Arial Unicode MS" w:hAnsi="Times New Roman" w:cs="Times New Roman"/>
          <w:b/>
          <w:bCs/>
          <w:iCs/>
          <w:lang w:val="pt-BR"/>
        </w:rPr>
        <w:t xml:space="preserve">ara </w:t>
      </w:r>
      <w:r>
        <w:rPr>
          <w:rFonts w:ascii="Times New Roman" w:eastAsia="Arial Unicode MS" w:hAnsi="Times New Roman" w:cs="Times New Roman"/>
          <w:b/>
          <w:bCs/>
          <w:iCs/>
          <w:lang w:val="pt-BR"/>
        </w:rPr>
        <w:t>I</w:t>
      </w:r>
      <w:r w:rsidRPr="00316249">
        <w:rPr>
          <w:rFonts w:ascii="Times New Roman" w:eastAsia="Arial Unicode MS" w:hAnsi="Times New Roman" w:cs="Times New Roman"/>
          <w:b/>
          <w:bCs/>
          <w:iCs/>
          <w:lang w:val="pt-BR"/>
        </w:rPr>
        <w:t>nvestimento</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Propriedade para investimento é aquela mantida visando auferir receita de aluguel e/ou alcançar valorização de capital, não disponível para venda no curso normal dos negócios e não utilizada na produção ou no fornecimento de produtos e serviços para propósitos administrativos. Além disso, a propriedade para investimento é mensurada pelo custo.</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O custo inclui despesa que é diretamente atribuível à aquisição de uma propriedade para investimento. O custo da propriedade para investimento construída pelo proprietário inclui os custos de material e mão de obra direta, qualquer custo diretamente atribuído para colocar essa propriedade para investimento em condição de uso conforme o seu propósito e os juros capitalizados dos empréstimos.</w:t>
      </w:r>
    </w:p>
    <w:p w:rsidR="00E9008A" w:rsidRPr="00316249" w:rsidRDefault="00E9008A" w:rsidP="00E9008A">
      <w:pPr>
        <w:spacing w:before="240" w:after="240"/>
        <w:jc w:val="both"/>
        <w:rPr>
          <w:sz w:val="22"/>
          <w:szCs w:val="22"/>
        </w:rPr>
      </w:pPr>
      <w:r w:rsidRPr="00316249">
        <w:rPr>
          <w:sz w:val="22"/>
          <w:szCs w:val="22"/>
        </w:rPr>
        <w:t>Os ganhos e perdas na alienação de uma propriedade para investimento (calculado pela diferença entre o valor líquido recebido e o valor contábil) são reconhecidos no resultado do exercício. Quando uma propriedade para investimento previamente reconhecida como ativo imobilizado é vendida, qualquer montante reconhecido em ajuste de avaliação patrimonial é transferido para lucros acumulados.</w:t>
      </w:r>
    </w:p>
    <w:p w:rsidR="00E9008A" w:rsidRDefault="00E9008A" w:rsidP="00E9008A">
      <w:pPr>
        <w:spacing w:before="240" w:after="240"/>
        <w:jc w:val="both"/>
        <w:rPr>
          <w:rFonts w:eastAsia="Arial Unicode MS"/>
          <w:sz w:val="22"/>
          <w:szCs w:val="22"/>
        </w:rPr>
      </w:pPr>
      <w:r w:rsidRPr="00316249">
        <w:rPr>
          <w:rFonts w:eastAsia="Arial Unicode MS"/>
          <w:sz w:val="22"/>
          <w:szCs w:val="22"/>
        </w:rPr>
        <w:lastRenderedPageBreak/>
        <w:t>Quando a utilização da propriedade muda de tal forma que ela é reclassificada como imobilizado, seu valor contábil apurado na data da reclassificação se torna seu custo para a contabilização subsequente (Nota Explicativa nº 14.3).</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Intangível</w:t>
      </w:r>
    </w:p>
    <w:p w:rsidR="00E9008A" w:rsidRPr="001048EE"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1048EE">
        <w:rPr>
          <w:rFonts w:ascii="Times New Roman" w:hAnsi="Times New Roman" w:cs="Times New Roman"/>
          <w:b/>
          <w:bCs/>
          <w:lang w:val="pt-BR"/>
        </w:rPr>
        <w:t>Ativos intangíveis vinculados à concessão – Atividade de distribuição</w:t>
      </w:r>
    </w:p>
    <w:p w:rsidR="00E9008A" w:rsidRPr="00316249" w:rsidRDefault="00E9008A" w:rsidP="00E9008A">
      <w:pPr>
        <w:spacing w:before="240" w:after="240"/>
        <w:jc w:val="both"/>
        <w:rPr>
          <w:sz w:val="22"/>
          <w:szCs w:val="22"/>
        </w:rPr>
      </w:pPr>
      <w:r w:rsidRPr="00316249">
        <w:rPr>
          <w:sz w:val="22"/>
          <w:szCs w:val="22"/>
        </w:rPr>
        <w:t>A parcela dos ativos da concessão que será integralmente utilizada durante a concessão é registrada como um ativo intangível e amortizada integralmente durante o período de vigência do contrato de concessão.</w:t>
      </w:r>
    </w:p>
    <w:p w:rsidR="00E9008A" w:rsidRPr="00316249" w:rsidRDefault="00E9008A" w:rsidP="00E9008A">
      <w:pPr>
        <w:spacing w:before="240" w:after="240"/>
        <w:jc w:val="both"/>
        <w:rPr>
          <w:sz w:val="22"/>
          <w:szCs w:val="22"/>
        </w:rPr>
      </w:pPr>
      <w:r w:rsidRPr="00316249">
        <w:rPr>
          <w:sz w:val="22"/>
          <w:szCs w:val="22"/>
        </w:rPr>
        <w:t>A amortização reflete o padrão de consumo dos direitos adquiridos, sendo calculada sobre o saldo dos ativos vinculados à concessão pelo método linear, tendo como base a aplicação das taxas determinadas pela ANEEL para a atividade de distribuição de energia elétrica.</w:t>
      </w:r>
    </w:p>
    <w:p w:rsidR="00E9008A" w:rsidRPr="00316249" w:rsidRDefault="00E9008A" w:rsidP="00E9008A">
      <w:pPr>
        <w:spacing w:before="240" w:after="240"/>
        <w:jc w:val="both"/>
        <w:rPr>
          <w:sz w:val="22"/>
          <w:szCs w:val="22"/>
        </w:rPr>
      </w:pPr>
      <w:r w:rsidRPr="00316249">
        <w:rPr>
          <w:sz w:val="22"/>
          <w:szCs w:val="22"/>
        </w:rPr>
        <w:t>O Grupo mensura a parcela do valor dos ativos que não estará integralmente amortizada até o final da concessão, registrando esse valor como um ativo financeiro por ser um direito incondicional de receber caixa ou outro ativo financeiro diretamente do Poder Concedente.</w:t>
      </w:r>
    </w:p>
    <w:p w:rsidR="00E9008A" w:rsidRPr="00316249" w:rsidRDefault="00E9008A" w:rsidP="00E9008A">
      <w:pPr>
        <w:spacing w:before="240" w:after="240"/>
        <w:jc w:val="both"/>
        <w:rPr>
          <w:sz w:val="22"/>
          <w:szCs w:val="22"/>
        </w:rPr>
      </w:pPr>
      <w:r w:rsidRPr="00316249">
        <w:rPr>
          <w:sz w:val="22"/>
          <w:szCs w:val="22"/>
        </w:rPr>
        <w:t>Os novos ativos são registrados inicialmente no ativo intangível, mensurados pelo custo de aquisição, incluindo os custos de empréstimos capitalizados.</w:t>
      </w:r>
    </w:p>
    <w:p w:rsidR="00E9008A" w:rsidRPr="00316249" w:rsidRDefault="00E9008A" w:rsidP="00E9008A">
      <w:pPr>
        <w:spacing w:before="240" w:after="240"/>
        <w:jc w:val="both"/>
        <w:rPr>
          <w:sz w:val="22"/>
          <w:szCs w:val="22"/>
        </w:rPr>
      </w:pPr>
      <w:r w:rsidRPr="00316249">
        <w:rPr>
          <w:sz w:val="22"/>
          <w:szCs w:val="22"/>
        </w:rPr>
        <w:t xml:space="preserve">Quando da sua entrada em operação são bifurcados entre ativos financeiro e intangível, conforme critério mencionado no item 2.10 – </w:t>
      </w:r>
      <w:r w:rsidRPr="00316249">
        <w:rPr>
          <w:bCs/>
          <w:iCs/>
          <w:sz w:val="22"/>
          <w:szCs w:val="22"/>
        </w:rPr>
        <w:t>Contrato de concessão (ativo intangível de concessão e ativo financeiro indenizável). A</w:t>
      </w:r>
      <w:r w:rsidRPr="00316249">
        <w:rPr>
          <w:sz w:val="22"/>
          <w:szCs w:val="22"/>
        </w:rPr>
        <w:t xml:space="preserve"> parcela dos ativos que é registrada no ativo financeiro é avaliada com base no custo novo de reposição, tendo como referência os valores homologados pela ANEEL da Base de Remuneração de Ativos nos processos de revisão tarifária (Nota Explicativa nº 16).</w:t>
      </w:r>
    </w:p>
    <w:p w:rsidR="00E9008A" w:rsidRPr="00316249" w:rsidRDefault="00E9008A" w:rsidP="00E9008A">
      <w:pPr>
        <w:spacing w:before="240" w:after="240"/>
        <w:jc w:val="both"/>
        <w:rPr>
          <w:sz w:val="22"/>
          <w:szCs w:val="22"/>
        </w:rPr>
      </w:pPr>
      <w:r w:rsidRPr="00316249">
        <w:rPr>
          <w:sz w:val="22"/>
          <w:szCs w:val="22"/>
        </w:rPr>
        <w:t>O valor contábil dos bens substituídos é baixado em contrapartida ao resultado do exercício.</w:t>
      </w:r>
    </w:p>
    <w:p w:rsidR="00E9008A" w:rsidRPr="009752FC"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9752FC">
        <w:rPr>
          <w:rFonts w:ascii="Times New Roman" w:hAnsi="Times New Roman" w:cs="Times New Roman"/>
          <w:b/>
          <w:bCs/>
          <w:lang w:val="pt-BR"/>
        </w:rPr>
        <w:t>Direito de exploração da concessão</w:t>
      </w:r>
    </w:p>
    <w:p w:rsidR="00E9008A" w:rsidRPr="00316249" w:rsidRDefault="00E9008A" w:rsidP="00E9008A">
      <w:pPr>
        <w:spacing w:before="240" w:after="240"/>
        <w:jc w:val="both"/>
        <w:rPr>
          <w:bCs/>
          <w:iCs/>
          <w:sz w:val="22"/>
          <w:szCs w:val="22"/>
        </w:rPr>
      </w:pPr>
      <w:r w:rsidRPr="00316249">
        <w:rPr>
          <w:bCs/>
          <w:iCs/>
          <w:sz w:val="22"/>
          <w:szCs w:val="22"/>
        </w:rPr>
        <w:t>Refere-se ao direito da concessão pelo uso de bem público para exploração de aproveitamento hidroelétrico. É constituído pelo valor de aquisição do direito relacionado com o uso do bem público até o final do prazo de concessão e amortizado pelo prazo de concessão (Nota Explicativa nº 16).</w:t>
      </w:r>
    </w:p>
    <w:p w:rsidR="00E9008A" w:rsidRPr="009752FC" w:rsidRDefault="00E9008A" w:rsidP="00E9008A">
      <w:pPr>
        <w:pStyle w:val="PargrafodaLista"/>
        <w:numPr>
          <w:ilvl w:val="2"/>
          <w:numId w:val="23"/>
        </w:numPr>
        <w:spacing w:before="240" w:after="240"/>
        <w:ind w:left="851" w:hanging="851"/>
        <w:jc w:val="both"/>
        <w:rPr>
          <w:rFonts w:ascii="Times New Roman" w:hAnsi="Times New Roman" w:cs="Times New Roman"/>
          <w:b/>
          <w:bCs/>
          <w:lang w:val="pt-BR"/>
        </w:rPr>
      </w:pPr>
      <w:r w:rsidRPr="009752FC">
        <w:rPr>
          <w:rFonts w:ascii="Times New Roman" w:hAnsi="Times New Roman" w:cs="Times New Roman"/>
          <w:b/>
          <w:bCs/>
          <w:lang w:val="pt-BR"/>
        </w:rPr>
        <w:t>Outros ativos intangíveis</w:t>
      </w:r>
    </w:p>
    <w:p w:rsidR="00E9008A" w:rsidRPr="00316249" w:rsidRDefault="00E9008A" w:rsidP="00E9008A">
      <w:pPr>
        <w:spacing w:before="240" w:after="240"/>
        <w:jc w:val="both"/>
        <w:rPr>
          <w:sz w:val="22"/>
          <w:szCs w:val="22"/>
        </w:rPr>
      </w:pPr>
      <w:r w:rsidRPr="00316249">
        <w:rPr>
          <w:sz w:val="22"/>
          <w:szCs w:val="22"/>
        </w:rPr>
        <w:t>Ativos intangíveis com vida útil definida, adquiridos separadamente, são registrados ao custo, deduzido da amortização e das perdas por redução ao valor recuperável, acumuladas. A amortização é reconhecida linearmente com base na vida útil estimada dos ativos. A vida útil estimada e o método de amortização são revisados no fim de cada exercício e o efeito de quaisquer mudanças nas estimativas é contabilizado prospectivamente (Nota Explicativa nº 16).</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Ativo </w:t>
      </w:r>
      <w:r>
        <w:rPr>
          <w:rFonts w:ascii="Times New Roman" w:eastAsia="Arial Unicode MS" w:hAnsi="Times New Roman" w:cs="Times New Roman"/>
          <w:b/>
          <w:bCs/>
          <w:iCs/>
          <w:lang w:val="pt-BR"/>
        </w:rPr>
        <w:t>I</w:t>
      </w:r>
      <w:r w:rsidRPr="00316249">
        <w:rPr>
          <w:rFonts w:ascii="Times New Roman" w:eastAsia="Arial Unicode MS" w:hAnsi="Times New Roman" w:cs="Times New Roman"/>
          <w:b/>
          <w:bCs/>
          <w:iCs/>
          <w:lang w:val="pt-BR"/>
        </w:rPr>
        <w:t>mobilizado</w:t>
      </w:r>
    </w:p>
    <w:p w:rsidR="00E9008A" w:rsidRPr="00316249" w:rsidRDefault="00E9008A" w:rsidP="00E9008A">
      <w:pPr>
        <w:pStyle w:val="Corpodetexto"/>
        <w:spacing w:before="240" w:after="240"/>
        <w:rPr>
          <w:rFonts w:ascii="Times New Roman" w:hAnsi="Times New Roman" w:cs="Times New Roman"/>
          <w:b w:val="0"/>
          <w:iCs/>
          <w:sz w:val="22"/>
          <w:szCs w:val="22"/>
        </w:rPr>
      </w:pPr>
      <w:r w:rsidRPr="00316249">
        <w:rPr>
          <w:rFonts w:ascii="Times New Roman" w:hAnsi="Times New Roman" w:cs="Times New Roman"/>
          <w:b w:val="0"/>
          <w:iCs/>
          <w:sz w:val="22"/>
          <w:szCs w:val="22"/>
        </w:rPr>
        <w:t>Os itens do imobilizado são mensurados pelo custo de aquisição ou construção, deduzido de depreciação acumulada e perdas de redução ao valor recuperável (</w:t>
      </w:r>
      <w:proofErr w:type="spellStart"/>
      <w:r w:rsidRPr="00316249">
        <w:rPr>
          <w:rFonts w:ascii="Times New Roman" w:hAnsi="Times New Roman" w:cs="Times New Roman"/>
          <w:b w:val="0"/>
          <w:i/>
          <w:iCs/>
          <w:sz w:val="22"/>
          <w:szCs w:val="22"/>
        </w:rPr>
        <w:t>impairment</w:t>
      </w:r>
      <w:proofErr w:type="spellEnd"/>
      <w:r w:rsidRPr="00316249">
        <w:rPr>
          <w:rFonts w:ascii="Times New Roman" w:hAnsi="Times New Roman" w:cs="Times New Roman"/>
          <w:b w:val="0"/>
          <w:iCs/>
          <w:sz w:val="22"/>
          <w:szCs w:val="22"/>
        </w:rPr>
        <w:t>), acumuladas, quando aplicável.</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lastRenderedPageBreak/>
        <w:t>O custo inclui gastos que são diretamente atribuíveis à aquisição de um ativo. O custo de ativos construídos pelo Grupo inclui:</w:t>
      </w:r>
    </w:p>
    <w:p w:rsidR="00E9008A" w:rsidRPr="00316249" w:rsidRDefault="00E9008A" w:rsidP="00E9008A">
      <w:pPr>
        <w:pStyle w:val="Default"/>
        <w:numPr>
          <w:ilvl w:val="0"/>
          <w:numId w:val="22"/>
        </w:numPr>
        <w:ind w:left="426" w:hanging="426"/>
        <w:jc w:val="both"/>
        <w:rPr>
          <w:rFonts w:ascii="Times New Roman" w:hAnsi="Times New Roman" w:cs="Times New Roman"/>
          <w:sz w:val="22"/>
          <w:szCs w:val="22"/>
        </w:rPr>
      </w:pPr>
      <w:r w:rsidRPr="00316249">
        <w:rPr>
          <w:rFonts w:ascii="Times New Roman" w:hAnsi="Times New Roman" w:cs="Times New Roman"/>
          <w:sz w:val="22"/>
          <w:szCs w:val="22"/>
        </w:rPr>
        <w:t>O custo de materiais e mão de obra direta;</w:t>
      </w:r>
    </w:p>
    <w:p w:rsidR="00E9008A" w:rsidRPr="00316249" w:rsidRDefault="00E9008A" w:rsidP="00E9008A">
      <w:pPr>
        <w:pStyle w:val="Default"/>
        <w:numPr>
          <w:ilvl w:val="0"/>
          <w:numId w:val="22"/>
        </w:numPr>
        <w:ind w:left="426" w:hanging="426"/>
        <w:jc w:val="both"/>
        <w:rPr>
          <w:rFonts w:ascii="Times New Roman" w:hAnsi="Times New Roman" w:cs="Times New Roman"/>
          <w:sz w:val="22"/>
          <w:szCs w:val="22"/>
        </w:rPr>
      </w:pPr>
      <w:r w:rsidRPr="00316249">
        <w:rPr>
          <w:rFonts w:ascii="Times New Roman" w:hAnsi="Times New Roman" w:cs="Times New Roman"/>
          <w:sz w:val="22"/>
          <w:szCs w:val="22"/>
        </w:rPr>
        <w:t>Quaisquer outros custos para colocar o ativo no local e condições necessários para que esses sejam capazes de operar de forma adequada; e</w:t>
      </w:r>
    </w:p>
    <w:p w:rsidR="00E9008A" w:rsidRPr="00316249" w:rsidRDefault="00E9008A" w:rsidP="00E9008A">
      <w:pPr>
        <w:pStyle w:val="Default"/>
        <w:numPr>
          <w:ilvl w:val="0"/>
          <w:numId w:val="22"/>
        </w:numPr>
        <w:ind w:left="426" w:hanging="426"/>
        <w:jc w:val="both"/>
        <w:rPr>
          <w:rFonts w:ascii="Times New Roman" w:hAnsi="Times New Roman" w:cs="Times New Roman"/>
          <w:sz w:val="22"/>
          <w:szCs w:val="22"/>
        </w:rPr>
      </w:pPr>
      <w:r w:rsidRPr="00316249">
        <w:rPr>
          <w:rFonts w:ascii="Times New Roman" w:hAnsi="Times New Roman" w:cs="Times New Roman"/>
          <w:sz w:val="22"/>
          <w:szCs w:val="22"/>
        </w:rPr>
        <w:t>Custos de empréstimos e financiamento sobre ativos qualificáveis.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Ganhos e perdas na alienação de um item do imobilizado (apurados pela diferença entre os recursos advindos da alienação e o valor contábil do imobilizado), são reconhecidos em outras receitas/despesas operacionais no resultado.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Gastos subsequentes são capitalizados na medida em que seja provável que benefícios futuros associados com os gastos serão auferidos pelo Grupo. Gastos de manutenção e reparos recorrentes são registrados no resultado.</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 depreciação e amortização são calculadas sobre o saldo das imobilizações em serviço e investimentos em consórcios, pelo método linear, mediante aplicação das taxas determinadas pela ANEEL para os ativos relacionados às atividades de energia elétrica, e refletem a vida útil estimada dos bens.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As principais taxas de depreciação dos bens do ativo imobilizado estão demonstradas na Nota Explicativa nº 15.</w:t>
      </w:r>
    </w:p>
    <w:p w:rsidR="007F7D85" w:rsidRDefault="007F7D85">
      <w:pPr>
        <w:rPr>
          <w:rFonts w:eastAsia="Arial Unicode MS"/>
          <w:b/>
          <w:bCs/>
          <w:iCs/>
          <w:sz w:val="22"/>
          <w:szCs w:val="22"/>
          <w:lang w:eastAsia="en-US"/>
        </w:rPr>
      </w:pPr>
      <w:r>
        <w:rPr>
          <w:rFonts w:eastAsia="Arial Unicode MS"/>
          <w:b/>
          <w:bCs/>
          <w:iCs/>
        </w:rPr>
        <w:br w:type="page"/>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lastRenderedPageBreak/>
        <w:t xml:space="preserve">Perda </w:t>
      </w:r>
      <w:r>
        <w:rPr>
          <w:rFonts w:ascii="Times New Roman" w:eastAsia="Arial Unicode MS" w:hAnsi="Times New Roman" w:cs="Times New Roman"/>
          <w:b/>
          <w:bCs/>
          <w:iCs/>
          <w:lang w:val="pt-BR"/>
        </w:rPr>
        <w:t>P</w:t>
      </w:r>
      <w:r w:rsidRPr="00316249">
        <w:rPr>
          <w:rFonts w:ascii="Times New Roman" w:eastAsia="Arial Unicode MS" w:hAnsi="Times New Roman" w:cs="Times New Roman"/>
          <w:b/>
          <w:bCs/>
          <w:iCs/>
          <w:lang w:val="pt-BR"/>
        </w:rPr>
        <w:t xml:space="preserve">or </w:t>
      </w:r>
      <w:r>
        <w:rPr>
          <w:rFonts w:ascii="Times New Roman" w:eastAsia="Arial Unicode MS" w:hAnsi="Times New Roman" w:cs="Times New Roman"/>
          <w:b/>
          <w:bCs/>
          <w:iCs/>
          <w:lang w:val="pt-BR"/>
        </w:rPr>
        <w:t>Redução ao Valor R</w:t>
      </w:r>
      <w:r w:rsidRPr="00316249">
        <w:rPr>
          <w:rFonts w:ascii="Times New Roman" w:eastAsia="Arial Unicode MS" w:hAnsi="Times New Roman" w:cs="Times New Roman"/>
          <w:b/>
          <w:bCs/>
          <w:iCs/>
          <w:lang w:val="pt-BR"/>
        </w:rPr>
        <w:t xml:space="preserve">ecuperável de </w:t>
      </w:r>
      <w:r>
        <w:rPr>
          <w:rFonts w:ascii="Times New Roman" w:eastAsia="Arial Unicode MS" w:hAnsi="Times New Roman" w:cs="Times New Roman"/>
          <w:b/>
          <w:bCs/>
          <w:iCs/>
          <w:lang w:val="pt-BR"/>
        </w:rPr>
        <w:t>A</w:t>
      </w:r>
      <w:r w:rsidRPr="00316249">
        <w:rPr>
          <w:rFonts w:ascii="Times New Roman" w:eastAsia="Arial Unicode MS" w:hAnsi="Times New Roman" w:cs="Times New Roman"/>
          <w:b/>
          <w:bCs/>
          <w:iCs/>
          <w:lang w:val="pt-BR"/>
        </w:rPr>
        <w:t xml:space="preserve">tivos </w:t>
      </w:r>
      <w:r>
        <w:rPr>
          <w:rFonts w:ascii="Times New Roman" w:eastAsia="Arial Unicode MS" w:hAnsi="Times New Roman" w:cs="Times New Roman"/>
          <w:b/>
          <w:bCs/>
          <w:iCs/>
          <w:lang w:val="pt-BR"/>
        </w:rPr>
        <w:t>N</w:t>
      </w:r>
      <w:r w:rsidRPr="00316249">
        <w:rPr>
          <w:rFonts w:ascii="Times New Roman" w:eastAsia="Arial Unicode MS" w:hAnsi="Times New Roman" w:cs="Times New Roman"/>
          <w:b/>
          <w:bCs/>
          <w:iCs/>
          <w:lang w:val="pt-BR"/>
        </w:rPr>
        <w:t xml:space="preserve">ão </w:t>
      </w:r>
      <w:r>
        <w:rPr>
          <w:rFonts w:ascii="Times New Roman" w:eastAsia="Arial Unicode MS" w:hAnsi="Times New Roman" w:cs="Times New Roman"/>
          <w:b/>
          <w:bCs/>
          <w:iCs/>
          <w:lang w:val="pt-BR"/>
        </w:rPr>
        <w:t>F</w:t>
      </w:r>
      <w:r w:rsidRPr="00316249">
        <w:rPr>
          <w:rFonts w:ascii="Times New Roman" w:eastAsia="Arial Unicode MS" w:hAnsi="Times New Roman" w:cs="Times New Roman"/>
          <w:b/>
          <w:bCs/>
          <w:iCs/>
          <w:lang w:val="pt-BR"/>
        </w:rPr>
        <w:t>inanceiros (</w:t>
      </w:r>
      <w:proofErr w:type="spellStart"/>
      <w:r w:rsidRPr="009752FC">
        <w:rPr>
          <w:rFonts w:ascii="Times New Roman" w:eastAsia="Arial Unicode MS" w:hAnsi="Times New Roman" w:cs="Times New Roman"/>
          <w:b/>
          <w:bCs/>
          <w:iCs/>
          <w:lang w:val="pt-BR"/>
        </w:rPr>
        <w:t>impairment</w:t>
      </w:r>
      <w:proofErr w:type="spellEnd"/>
      <w:r w:rsidRPr="00316249">
        <w:rPr>
          <w:rFonts w:ascii="Times New Roman" w:eastAsia="Arial Unicode MS" w:hAnsi="Times New Roman" w:cs="Times New Roman"/>
          <w:b/>
          <w:bCs/>
          <w:iCs/>
          <w:lang w:val="pt-BR"/>
        </w:rPr>
        <w:t>)</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Administração avalia, no mínimo anualmente, o valor contábil líquido dos ativos não financeiros com o objetivo de avaliar eventos ou mudanças nas circunstâncias econômicas, operacionais ou tecnológicas, que possam indicar deterioração ou perda de seu valor recuperável. Não foram identificadas tais circunstâncias que levasse o Grupo a avaliar a necessidade de constituição de provisão para perda sobre o valor dos ativos não financeiros.</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O valor recuperável do ativo ou de determinada unidade geradora de caixa é definido como sendo o maior entre o valor de uso e o valor líquido de venda. As unidades geradoras de caixa são as atividades de </w:t>
      </w:r>
      <w:r w:rsidRPr="00316249">
        <w:rPr>
          <w:rFonts w:ascii="Times New Roman" w:hAnsi="Times New Roman" w:cs="Times New Roman"/>
          <w:b w:val="0"/>
          <w:sz w:val="22"/>
          <w:szCs w:val="22"/>
        </w:rPr>
        <w:t xml:space="preserve">gerenciamento dos negócios da </w:t>
      </w:r>
      <w:r w:rsidRPr="00316249">
        <w:rPr>
          <w:rFonts w:ascii="Times New Roman" w:hAnsi="Times New Roman" w:cs="Times New Roman"/>
          <w:b w:val="0"/>
          <w:bCs w:val="0"/>
          <w:sz w:val="22"/>
          <w:szCs w:val="22"/>
        </w:rPr>
        <w:t xml:space="preserve">rede </w:t>
      </w:r>
      <w:r w:rsidRPr="00316249">
        <w:rPr>
          <w:rFonts w:ascii="Times New Roman" w:hAnsi="Times New Roman" w:cs="Times New Roman"/>
          <w:b w:val="0"/>
          <w:sz w:val="22"/>
          <w:szCs w:val="22"/>
        </w:rPr>
        <w:t>de distribuição</w:t>
      </w:r>
      <w:r w:rsidRPr="00316249">
        <w:rPr>
          <w:rFonts w:ascii="Times New Roman" w:hAnsi="Times New Roman" w:cs="Times New Roman"/>
          <w:b w:val="0"/>
          <w:bCs w:val="0"/>
          <w:sz w:val="22"/>
          <w:szCs w:val="22"/>
        </w:rPr>
        <w:t xml:space="preserve"> e geração.</w:t>
      </w:r>
    </w:p>
    <w:p w:rsidR="00E9008A" w:rsidRPr="009752FC"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Passivos </w:t>
      </w:r>
      <w:r>
        <w:rPr>
          <w:rFonts w:ascii="Times New Roman" w:eastAsia="Arial Unicode MS" w:hAnsi="Times New Roman" w:cs="Times New Roman"/>
          <w:b/>
          <w:bCs/>
          <w:iCs/>
          <w:lang w:val="pt-BR"/>
        </w:rPr>
        <w:t>F</w:t>
      </w:r>
      <w:r w:rsidRPr="00316249">
        <w:rPr>
          <w:rFonts w:ascii="Times New Roman" w:eastAsia="Arial Unicode MS" w:hAnsi="Times New Roman" w:cs="Times New Roman"/>
          <w:b/>
          <w:bCs/>
          <w:iCs/>
          <w:lang w:val="pt-BR"/>
        </w:rPr>
        <w:t>inanceiros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Grupo reconhece títulos de dívida e passivos subordinados inicialmente na data em que são originados. Todos os outros passivos financeiros (incluindo passivos designados pelo valor justo registrado no resultado) são reconhecidos inicialmente na data de negociação na qual a Companhia ou suas controladas e coligadas se torna uma parte das disposições contratuais do instrumento. O Grupo baixa um passivo financeiro quando tem suas obrigações contratuais retiradas, canceladas ou vencidas.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Grupo classifica os passivos financeiros não derivativos na categoria de outros passivos financeiros. Tais passivos financeiros são reconhecidos inicialmente pelo valor justo acrescido de quaisquer custos de transações atribuíveis. Após o reconhecimento inicial, esses passivos financeiros são medidos pelo custo amortizado através do método de juros efetivos.</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Grupo tem os seguintes passivos financeiros não derivativos: empréstimos e financiamentos (Nota Explicativa nº 22); fornecedores (Nota Explicativa nº 17); obrigações societárias (Nota Explicativa nº 23); e outras contas a pagar (Nota Explicativa nº 27).</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Contas a </w:t>
      </w:r>
      <w:r>
        <w:rPr>
          <w:rFonts w:ascii="Times New Roman" w:eastAsia="Arial Unicode MS" w:hAnsi="Times New Roman" w:cs="Times New Roman"/>
          <w:b/>
          <w:bCs/>
          <w:iCs/>
          <w:lang w:val="pt-BR"/>
        </w:rPr>
        <w:t>P</w:t>
      </w:r>
      <w:r w:rsidRPr="00316249">
        <w:rPr>
          <w:rFonts w:ascii="Times New Roman" w:eastAsia="Arial Unicode MS" w:hAnsi="Times New Roman" w:cs="Times New Roman"/>
          <w:b/>
          <w:bCs/>
          <w:iCs/>
          <w:lang w:val="pt-BR"/>
        </w:rPr>
        <w:t xml:space="preserve">agar aos </w:t>
      </w:r>
      <w:r>
        <w:rPr>
          <w:rFonts w:ascii="Times New Roman" w:eastAsia="Arial Unicode MS" w:hAnsi="Times New Roman" w:cs="Times New Roman"/>
          <w:b/>
          <w:bCs/>
          <w:iCs/>
          <w:lang w:val="pt-BR"/>
        </w:rPr>
        <w:t>F</w:t>
      </w:r>
      <w:r w:rsidRPr="00316249">
        <w:rPr>
          <w:rFonts w:ascii="Times New Roman" w:eastAsia="Arial Unicode MS" w:hAnsi="Times New Roman" w:cs="Times New Roman"/>
          <w:b/>
          <w:bCs/>
          <w:iCs/>
          <w:lang w:val="pt-BR"/>
        </w:rPr>
        <w:t>ornecedores</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As contas a pagar aos fornecedores são obrigações a pagar por bens ou serviços que foram adquiridos no curso normal dos negócios, sendo classificadas como passivos circulantes se o pagamento for devido no período de até um ano. Caso contrário, as contas a pagar são apresentadas como passivo não circulante.</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Empréstimos e </w:t>
      </w:r>
      <w:r>
        <w:rPr>
          <w:rFonts w:ascii="Times New Roman" w:eastAsia="Arial Unicode MS" w:hAnsi="Times New Roman" w:cs="Times New Roman"/>
          <w:b/>
          <w:bCs/>
          <w:iCs/>
          <w:lang w:val="pt-BR"/>
        </w:rPr>
        <w:t>F</w:t>
      </w:r>
      <w:r w:rsidRPr="00316249">
        <w:rPr>
          <w:rFonts w:ascii="Times New Roman" w:eastAsia="Arial Unicode MS" w:hAnsi="Times New Roman" w:cs="Times New Roman"/>
          <w:b/>
          <w:bCs/>
          <w:iCs/>
          <w:lang w:val="pt-BR"/>
        </w:rPr>
        <w:t xml:space="preserve">inanciamentos a </w:t>
      </w:r>
      <w:r>
        <w:rPr>
          <w:rFonts w:ascii="Times New Roman" w:eastAsia="Arial Unicode MS" w:hAnsi="Times New Roman" w:cs="Times New Roman"/>
          <w:b/>
          <w:bCs/>
          <w:iCs/>
          <w:lang w:val="pt-BR"/>
        </w:rPr>
        <w:t>P</w:t>
      </w:r>
      <w:r w:rsidRPr="00316249">
        <w:rPr>
          <w:rFonts w:ascii="Times New Roman" w:eastAsia="Arial Unicode MS" w:hAnsi="Times New Roman" w:cs="Times New Roman"/>
          <w:b/>
          <w:bCs/>
          <w:iCs/>
          <w:lang w:val="pt-BR"/>
        </w:rPr>
        <w:t>agar</w:t>
      </w:r>
    </w:p>
    <w:p w:rsidR="00E9008A" w:rsidRPr="00316249" w:rsidRDefault="00E9008A" w:rsidP="00E9008A">
      <w:pPr>
        <w:pStyle w:val="xl25"/>
        <w:pBdr>
          <w:top w:val="none" w:sz="0" w:space="0" w:color="auto"/>
          <w:left w:val="none" w:sz="0" w:space="0" w:color="auto"/>
          <w:bottom w:val="none" w:sz="0" w:space="0" w:color="auto"/>
        </w:pBdr>
        <w:tabs>
          <w:tab w:val="left" w:pos="142"/>
        </w:tabs>
        <w:jc w:val="both"/>
        <w:rPr>
          <w:rFonts w:ascii="Times New Roman" w:hAnsi="Times New Roman" w:cs="Times New Roman"/>
          <w:b/>
          <w:bCs/>
          <w:sz w:val="22"/>
          <w:szCs w:val="22"/>
        </w:rPr>
      </w:pPr>
      <w:r w:rsidRPr="00316249">
        <w:rPr>
          <w:rFonts w:ascii="Times New Roman" w:hAnsi="Times New Roman" w:cs="Times New Roman"/>
          <w:sz w:val="22"/>
          <w:szCs w:val="22"/>
        </w:rPr>
        <w:t>Os empréstimos e financiamentos são reconhecidos, inicialmente, pelo valor justo, líquido dos custos incorridos na</w:t>
      </w:r>
      <w:r w:rsidRPr="00316249">
        <w:rPr>
          <w:rFonts w:ascii="Times New Roman" w:hAnsi="Times New Roman" w:cs="Times New Roman"/>
          <w:b/>
          <w:bCs/>
          <w:sz w:val="22"/>
          <w:szCs w:val="22"/>
        </w:rPr>
        <w:t xml:space="preserve"> </w:t>
      </w:r>
      <w:r w:rsidRPr="00316249">
        <w:rPr>
          <w:rFonts w:ascii="Times New Roman" w:hAnsi="Times New Roman" w:cs="Times New Roman"/>
          <w:sz w:val="22"/>
          <w:szCs w:val="22"/>
        </w:rPr>
        <w:t>transação e são, subsequentemente, demonstrados pelo custo amortizado. Qualquer diferença entre os</w:t>
      </w:r>
      <w:r w:rsidRPr="00316249">
        <w:rPr>
          <w:rFonts w:ascii="Times New Roman" w:hAnsi="Times New Roman" w:cs="Times New Roman"/>
          <w:b/>
          <w:bCs/>
          <w:sz w:val="22"/>
          <w:szCs w:val="22"/>
        </w:rPr>
        <w:t xml:space="preserve"> </w:t>
      </w:r>
      <w:r w:rsidRPr="00316249">
        <w:rPr>
          <w:rFonts w:ascii="Times New Roman" w:hAnsi="Times New Roman" w:cs="Times New Roman"/>
          <w:sz w:val="22"/>
          <w:szCs w:val="22"/>
        </w:rPr>
        <w:t>valores captados (líquidos dos custos da transação) e o valor total a pagar é reconhecida na demonstração do resultado durante o período em que os empréstimos estejam em aberto, utilizando o método da taxa efetiva de juros</w:t>
      </w:r>
      <w:r w:rsidRPr="00316249">
        <w:rPr>
          <w:rFonts w:ascii="Times New Roman" w:hAnsi="Times New Roman" w:cs="Times New Roman"/>
          <w:b/>
          <w:bCs/>
          <w:sz w:val="22"/>
          <w:szCs w:val="22"/>
        </w:rPr>
        <w:t xml:space="preserve"> </w:t>
      </w:r>
      <w:r w:rsidRPr="00316249">
        <w:rPr>
          <w:rFonts w:ascii="Times New Roman" w:hAnsi="Times New Roman" w:cs="Times New Roman"/>
          <w:sz w:val="22"/>
          <w:szCs w:val="22"/>
        </w:rPr>
        <w:t>(Nota Explicativa nº 22).</w:t>
      </w:r>
    </w:p>
    <w:p w:rsidR="00E9008A" w:rsidRPr="00316249" w:rsidRDefault="00E9008A" w:rsidP="00E9008A">
      <w:pPr>
        <w:pStyle w:val="Corpodetexto"/>
        <w:spacing w:before="100" w:after="100"/>
        <w:rPr>
          <w:rFonts w:ascii="Times New Roman" w:hAnsi="Times New Roman" w:cs="Times New Roman"/>
          <w:b w:val="0"/>
          <w:bCs w:val="0"/>
          <w:sz w:val="22"/>
          <w:szCs w:val="22"/>
        </w:rPr>
      </w:pPr>
      <w:r w:rsidRPr="00316249">
        <w:rPr>
          <w:rFonts w:ascii="Times New Roman" w:hAnsi="Times New Roman" w:cs="Times New Roman"/>
          <w:b w:val="0"/>
          <w:sz w:val="22"/>
          <w:szCs w:val="22"/>
        </w:rPr>
        <w:t>Os empréstimos e financiamentos são classificados como passivo circulante, a menos que o Grupo tenha um direito incondicional de diferir a liquidação do passivo por, pelo menos, 12 meses após a data do balanço.</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Obrigações </w:t>
      </w:r>
      <w:r>
        <w:rPr>
          <w:rFonts w:ascii="Times New Roman" w:eastAsia="Arial Unicode MS" w:hAnsi="Times New Roman" w:cs="Times New Roman"/>
          <w:b/>
          <w:bCs/>
          <w:iCs/>
          <w:lang w:val="pt-BR"/>
        </w:rPr>
        <w:t>T</w:t>
      </w:r>
      <w:r w:rsidRPr="00316249">
        <w:rPr>
          <w:rFonts w:ascii="Times New Roman" w:eastAsia="Arial Unicode MS" w:hAnsi="Times New Roman" w:cs="Times New Roman"/>
          <w:b/>
          <w:bCs/>
          <w:iCs/>
          <w:lang w:val="pt-BR"/>
        </w:rPr>
        <w:t>ributárias</w:t>
      </w:r>
    </w:p>
    <w:p w:rsidR="00E9008A" w:rsidRPr="00316249" w:rsidRDefault="00E9008A" w:rsidP="00E9008A">
      <w:pPr>
        <w:spacing w:before="240" w:after="240"/>
        <w:jc w:val="both"/>
        <w:rPr>
          <w:sz w:val="22"/>
          <w:szCs w:val="22"/>
        </w:rPr>
      </w:pPr>
      <w:r w:rsidRPr="00316249">
        <w:rPr>
          <w:sz w:val="22"/>
          <w:szCs w:val="22"/>
        </w:rPr>
        <w:lastRenderedPageBreak/>
        <w:t>A despesa com imposto de renda e contribuição social compreende os impostos de renda correntes e diferidos. O imposto corrente e o imposto diferido são reconhecidos no resultado, a menos que estejam relacionados à combinação de negócios, ou itens diretamente reconhecidos no patrimônio líquido ou em outros resultados abrangentes.</w:t>
      </w:r>
    </w:p>
    <w:p w:rsidR="00E9008A" w:rsidRPr="00316249" w:rsidRDefault="00E9008A" w:rsidP="00E9008A">
      <w:pPr>
        <w:spacing w:before="240" w:after="240"/>
        <w:jc w:val="both"/>
        <w:rPr>
          <w:sz w:val="22"/>
          <w:szCs w:val="22"/>
        </w:rPr>
      </w:pPr>
      <w:r w:rsidRPr="00316249">
        <w:rPr>
          <w:sz w:val="22"/>
          <w:szCs w:val="22"/>
        </w:rPr>
        <w:t>O imposto corrente é o imposto a pagar ou a receber esperado sobre o lucro tributável do exercício, a taxas de impostos vigentes ou substantivamente vigentes na data de apresentação das demonstrações financeiras e qualquer ajuste aos impostos a pagar com relação aos exercícios anteriores.</w:t>
      </w:r>
    </w:p>
    <w:p w:rsidR="00E9008A" w:rsidRPr="00316249" w:rsidRDefault="00E9008A" w:rsidP="00E9008A">
      <w:pPr>
        <w:spacing w:before="240" w:after="240"/>
        <w:jc w:val="both"/>
        <w:rPr>
          <w:sz w:val="22"/>
          <w:szCs w:val="22"/>
        </w:rPr>
      </w:pPr>
      <w:r w:rsidRPr="00316249">
        <w:rPr>
          <w:sz w:val="22"/>
          <w:szCs w:val="22"/>
        </w:rPr>
        <w:t>O imposto diferido é reconhecido com relação às diferenças temporárias entre os valores contábeis de ativos e passivos e os correspondentes valores usados para fins de tributação. O imposto diferido é mensurado pelas alíquotas que se espera serem aplicadas às diferenças temporárias quando elas revertem, baseando-se nas leis que foram decretadas ou substantivamente decretadas até a data de apresentação das demonstrações financeiras.</w:t>
      </w:r>
    </w:p>
    <w:p w:rsidR="00E9008A" w:rsidRPr="00316249" w:rsidRDefault="00E9008A" w:rsidP="00E9008A">
      <w:pPr>
        <w:spacing w:before="240" w:after="240"/>
        <w:jc w:val="both"/>
        <w:rPr>
          <w:sz w:val="22"/>
          <w:szCs w:val="22"/>
        </w:rPr>
      </w:pPr>
      <w:r w:rsidRPr="00316249">
        <w:rPr>
          <w:sz w:val="22"/>
          <w:szCs w:val="22"/>
        </w:rPr>
        <w:t xml:space="preserve">Os ativos e passivos fiscais diferidos são compensados caso haja um direito legal de compensar passivos e ativos fiscais correntes, e eles se </w:t>
      </w:r>
      <w:r w:rsidRPr="00747E73">
        <w:rPr>
          <w:sz w:val="22"/>
          <w:szCs w:val="22"/>
        </w:rPr>
        <w:t>relacionam a impostos</w:t>
      </w:r>
      <w:r w:rsidRPr="00316249">
        <w:rPr>
          <w:sz w:val="22"/>
          <w:szCs w:val="22"/>
        </w:rPr>
        <w:t xml:space="preserve"> lançados pela mesma autoridade tributária sobre a mesma entidade sujeita à tributação.</w:t>
      </w:r>
    </w:p>
    <w:p w:rsidR="00E9008A" w:rsidRPr="00316249" w:rsidRDefault="00E9008A" w:rsidP="00E9008A">
      <w:pPr>
        <w:spacing w:before="240" w:after="240"/>
        <w:jc w:val="both"/>
        <w:rPr>
          <w:bCs/>
          <w:iCs/>
          <w:sz w:val="22"/>
          <w:szCs w:val="22"/>
        </w:rPr>
      </w:pPr>
      <w:r w:rsidRPr="00316249">
        <w:rPr>
          <w:bCs/>
          <w:iCs/>
          <w:sz w:val="22"/>
          <w:szCs w:val="22"/>
        </w:rPr>
        <w:t>A Administração do Grupo decidiu pela constituição de ativo fiscal diferido já que os planos de recuperação econômico-financeira do Grupo irão resultar na apuração de lucro tributário futuro de forma consistente no âmbito da Companhia. As demais empresas do grupo ainda não reúnem condições necessárias para a contabilização de ativo fiscal diferido.</w:t>
      </w:r>
    </w:p>
    <w:p w:rsidR="00E9008A" w:rsidRPr="00316249" w:rsidRDefault="00E9008A" w:rsidP="00E9008A">
      <w:pPr>
        <w:jc w:val="both"/>
        <w:rPr>
          <w:bCs/>
          <w:iCs/>
          <w:sz w:val="22"/>
          <w:szCs w:val="22"/>
        </w:rPr>
      </w:pPr>
      <w:r w:rsidRPr="00316249">
        <w:rPr>
          <w:bCs/>
          <w:iCs/>
          <w:sz w:val="22"/>
          <w:szCs w:val="22"/>
        </w:rPr>
        <w:t>O Grupo registrou passivo fiscal diferido relativo ao ganho na utilização do custo atribuído (</w:t>
      </w:r>
      <w:proofErr w:type="spellStart"/>
      <w:r w:rsidRPr="00316249">
        <w:rPr>
          <w:bCs/>
          <w:i/>
          <w:iCs/>
          <w:sz w:val="22"/>
          <w:szCs w:val="22"/>
        </w:rPr>
        <w:t>Deemed</w:t>
      </w:r>
      <w:proofErr w:type="spellEnd"/>
      <w:r w:rsidRPr="00316249">
        <w:rPr>
          <w:bCs/>
          <w:i/>
          <w:iCs/>
          <w:sz w:val="22"/>
          <w:szCs w:val="22"/>
        </w:rPr>
        <w:t xml:space="preserve"> </w:t>
      </w:r>
      <w:proofErr w:type="spellStart"/>
      <w:r w:rsidRPr="00316249">
        <w:rPr>
          <w:bCs/>
          <w:i/>
          <w:iCs/>
          <w:sz w:val="22"/>
          <w:szCs w:val="22"/>
        </w:rPr>
        <w:t>Cost</w:t>
      </w:r>
      <w:proofErr w:type="spellEnd"/>
      <w:r w:rsidRPr="00316249">
        <w:rPr>
          <w:bCs/>
          <w:iCs/>
          <w:sz w:val="22"/>
          <w:szCs w:val="22"/>
        </w:rPr>
        <w:t>), aplicado sobre os imóveis do Grupo quando da convergência para o IFRS; quanto ao ganho no registro do VNR (Valor Novo de Reposição) aplicado sobre os bens objeto da concessão; e também sobre o registro dos Ativos e Passivos Regulatórios reconhecidos de acordo com a orientação técnica OCPC 08.</w:t>
      </w:r>
    </w:p>
    <w:p w:rsidR="00E9008A" w:rsidRDefault="00E9008A" w:rsidP="00E9008A">
      <w:pPr>
        <w:spacing w:before="240" w:after="240"/>
        <w:jc w:val="both"/>
        <w:rPr>
          <w:sz w:val="22"/>
          <w:szCs w:val="22"/>
        </w:rPr>
      </w:pPr>
      <w:r w:rsidRPr="00316249">
        <w:rPr>
          <w:sz w:val="22"/>
          <w:szCs w:val="22"/>
        </w:rPr>
        <w:t>Ativos de imposto de renda e contribuição social diferido são revisados a cada data de relatório e serão reduzidos na medida da sua realização ou que sua realização não seja mais provável.</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Operações de </w:t>
      </w:r>
      <w:r>
        <w:rPr>
          <w:rFonts w:ascii="Times New Roman" w:eastAsia="Arial Unicode MS" w:hAnsi="Times New Roman" w:cs="Times New Roman"/>
          <w:b/>
          <w:bCs/>
          <w:iCs/>
          <w:lang w:val="pt-BR"/>
        </w:rPr>
        <w:t>Compra e V</w:t>
      </w:r>
      <w:r w:rsidRPr="00316249">
        <w:rPr>
          <w:rFonts w:ascii="Times New Roman" w:eastAsia="Arial Unicode MS" w:hAnsi="Times New Roman" w:cs="Times New Roman"/>
          <w:b/>
          <w:bCs/>
          <w:iCs/>
          <w:lang w:val="pt-BR"/>
        </w:rPr>
        <w:t xml:space="preserve">enda de </w:t>
      </w:r>
      <w:r>
        <w:rPr>
          <w:rFonts w:ascii="Times New Roman" w:eastAsia="Arial Unicode MS" w:hAnsi="Times New Roman" w:cs="Times New Roman"/>
          <w:b/>
          <w:bCs/>
          <w:iCs/>
          <w:lang w:val="pt-BR"/>
        </w:rPr>
        <w:t>E</w:t>
      </w:r>
      <w:r w:rsidRPr="00316249">
        <w:rPr>
          <w:rFonts w:ascii="Times New Roman" w:eastAsia="Arial Unicode MS" w:hAnsi="Times New Roman" w:cs="Times New Roman"/>
          <w:b/>
          <w:bCs/>
          <w:iCs/>
          <w:lang w:val="pt-BR"/>
        </w:rPr>
        <w:t xml:space="preserve">nergia </w:t>
      </w:r>
      <w:r>
        <w:rPr>
          <w:rFonts w:ascii="Times New Roman" w:eastAsia="Arial Unicode MS" w:hAnsi="Times New Roman" w:cs="Times New Roman"/>
          <w:b/>
          <w:bCs/>
          <w:iCs/>
          <w:lang w:val="pt-BR"/>
        </w:rPr>
        <w:t>E</w:t>
      </w:r>
      <w:r w:rsidRPr="00316249">
        <w:rPr>
          <w:rFonts w:ascii="Times New Roman" w:eastAsia="Arial Unicode MS" w:hAnsi="Times New Roman" w:cs="Times New Roman"/>
          <w:b/>
          <w:bCs/>
          <w:iCs/>
          <w:lang w:val="pt-BR"/>
        </w:rPr>
        <w:t xml:space="preserve">létrica na Câmara de Comercialização de Energia Elétrica </w:t>
      </w:r>
      <w:r w:rsidRPr="009752FC">
        <w:rPr>
          <w:rFonts w:ascii="Times New Roman" w:eastAsia="Arial Unicode MS" w:hAnsi="Times New Roman" w:cs="Times New Roman"/>
          <w:b/>
          <w:bCs/>
          <w:iCs/>
          <w:lang w:val="pt-BR"/>
        </w:rPr>
        <w:t>–</w:t>
      </w:r>
      <w:r w:rsidRPr="00316249">
        <w:rPr>
          <w:rFonts w:ascii="Times New Roman" w:eastAsia="Arial Unicode MS" w:hAnsi="Times New Roman" w:cs="Times New Roman"/>
          <w:b/>
          <w:bCs/>
          <w:iCs/>
          <w:lang w:val="pt-BR"/>
        </w:rPr>
        <w:t xml:space="preserve"> CCEE</w:t>
      </w:r>
    </w:p>
    <w:p w:rsidR="00E9008A" w:rsidRDefault="00E9008A" w:rsidP="00E9008A">
      <w:pPr>
        <w:autoSpaceDE w:val="0"/>
        <w:autoSpaceDN w:val="0"/>
        <w:adjustRightInd w:val="0"/>
        <w:spacing w:before="240" w:after="240"/>
        <w:jc w:val="both"/>
        <w:rPr>
          <w:sz w:val="22"/>
          <w:szCs w:val="22"/>
        </w:rPr>
      </w:pPr>
      <w:r w:rsidRPr="00316249">
        <w:rPr>
          <w:sz w:val="22"/>
          <w:szCs w:val="22"/>
        </w:rPr>
        <w:t>Os registros das operações de compra e venda de energia elétrica estão reconhecidos pelo regime de competência, com base em informações divulgadas pela CCEE, responsável pela apuração dos valores e quantidades de compras e vendas realizadas no âmbito desta entidade, ou por estimativa da Administração, quando essas informações não estão disponíveis.</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Demais </w:t>
      </w:r>
      <w:r>
        <w:rPr>
          <w:rFonts w:ascii="Times New Roman" w:eastAsia="Arial Unicode MS" w:hAnsi="Times New Roman" w:cs="Times New Roman"/>
          <w:b/>
          <w:bCs/>
          <w:iCs/>
          <w:lang w:val="pt-BR"/>
        </w:rPr>
        <w:t>A</w:t>
      </w:r>
      <w:r w:rsidRPr="00316249">
        <w:rPr>
          <w:rFonts w:ascii="Times New Roman" w:eastAsia="Arial Unicode MS" w:hAnsi="Times New Roman" w:cs="Times New Roman"/>
          <w:b/>
          <w:bCs/>
          <w:iCs/>
          <w:lang w:val="pt-BR"/>
        </w:rPr>
        <w:t xml:space="preserve">tivos e </w:t>
      </w:r>
      <w:r>
        <w:rPr>
          <w:rFonts w:ascii="Times New Roman" w:eastAsia="Arial Unicode MS" w:hAnsi="Times New Roman" w:cs="Times New Roman"/>
          <w:b/>
          <w:bCs/>
          <w:iCs/>
          <w:lang w:val="pt-BR"/>
        </w:rPr>
        <w:t>P</w:t>
      </w:r>
      <w:r w:rsidRPr="00316249">
        <w:rPr>
          <w:rFonts w:ascii="Times New Roman" w:eastAsia="Arial Unicode MS" w:hAnsi="Times New Roman" w:cs="Times New Roman"/>
          <w:b/>
          <w:bCs/>
          <w:iCs/>
          <w:lang w:val="pt-BR"/>
        </w:rPr>
        <w:t>assivos</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z w:val="22"/>
          <w:szCs w:val="22"/>
        </w:rPr>
      </w:pPr>
      <w:r w:rsidRPr="00316249">
        <w:rPr>
          <w:rFonts w:ascii="Times New Roman" w:hAnsi="Times New Roman" w:cs="Times New Roman"/>
          <w:sz w:val="22"/>
          <w:szCs w:val="22"/>
        </w:rPr>
        <w:t>Os outros ativos estão apresentados ao valor de realização, incluindo, quando aplicável, os rendimentos e as variações monetárias auferidas até a data do balanço, deduzidos por provisão para perdas e/ou ajuste a valor presente, quando aplicável. As outras obrigações são demonstradas pelos valores conhecidos ou calculáveis acrescidos, quando aplicável, dos correspondentes encargos e das variações monetárias e/ou cambiais incorridas até a data do balanço.</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Pr>
          <w:rFonts w:ascii="Times New Roman" w:eastAsia="Arial Unicode MS" w:hAnsi="Times New Roman" w:cs="Times New Roman"/>
          <w:b/>
          <w:bCs/>
          <w:iCs/>
          <w:lang w:val="pt-BR"/>
        </w:rPr>
        <w:t>Capital S</w:t>
      </w:r>
      <w:r w:rsidRPr="00316249">
        <w:rPr>
          <w:rFonts w:ascii="Times New Roman" w:eastAsia="Arial Unicode MS" w:hAnsi="Times New Roman" w:cs="Times New Roman"/>
          <w:b/>
          <w:bCs/>
          <w:iCs/>
          <w:lang w:val="pt-BR"/>
        </w:rPr>
        <w:t>ocial</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z w:val="22"/>
          <w:szCs w:val="22"/>
        </w:rPr>
      </w:pPr>
      <w:r w:rsidRPr="00316249">
        <w:rPr>
          <w:rFonts w:ascii="Times New Roman" w:hAnsi="Times New Roman" w:cs="Times New Roman"/>
          <w:sz w:val="22"/>
          <w:szCs w:val="22"/>
        </w:rPr>
        <w:lastRenderedPageBreak/>
        <w:t>As ações ordinárias e as preferenciais são classificadas no patrimônio líquido.</w:t>
      </w:r>
    </w:p>
    <w:p w:rsidR="00E9008A" w:rsidRPr="00316249" w:rsidRDefault="00E9008A" w:rsidP="00E9008A">
      <w:pPr>
        <w:pStyle w:val="PargrafodaLista"/>
        <w:numPr>
          <w:ilvl w:val="2"/>
          <w:numId w:val="23"/>
        </w:numPr>
        <w:spacing w:before="240" w:after="240"/>
        <w:ind w:left="851" w:hanging="851"/>
        <w:jc w:val="both"/>
        <w:rPr>
          <w:rFonts w:ascii="Times New Roman" w:hAnsi="Times New Roman" w:cs="Times New Roman"/>
          <w:b/>
          <w:lang w:val="pt-BR"/>
        </w:rPr>
      </w:pPr>
      <w:r w:rsidRPr="00316249">
        <w:rPr>
          <w:rFonts w:ascii="Times New Roman" w:hAnsi="Times New Roman" w:cs="Times New Roman"/>
          <w:b/>
          <w:lang w:val="pt-BR"/>
        </w:rPr>
        <w:t>Ações ordinárias</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pacing w:val="-2"/>
          <w:sz w:val="22"/>
          <w:szCs w:val="22"/>
        </w:rPr>
      </w:pPr>
      <w:r w:rsidRPr="00316249">
        <w:rPr>
          <w:rFonts w:ascii="Times New Roman" w:hAnsi="Times New Roman" w:cs="Times New Roman"/>
          <w:spacing w:val="-2"/>
          <w:sz w:val="22"/>
          <w:szCs w:val="22"/>
        </w:rPr>
        <w:t>Ações ordinárias são classificadas como patrimônio líquido. Custos adicionais diretamente atribuíveis à emissão de ações e opção de ações são reconhecidos como dedução do patrimônio líquido, livre de quaisquer efeitos tributários, quando aplicável.</w:t>
      </w:r>
    </w:p>
    <w:p w:rsidR="007F7D85" w:rsidRDefault="007F7D85">
      <w:pPr>
        <w:rPr>
          <w:b/>
          <w:sz w:val="22"/>
          <w:szCs w:val="22"/>
          <w:lang w:eastAsia="en-US"/>
        </w:rPr>
      </w:pPr>
      <w:r>
        <w:rPr>
          <w:b/>
        </w:rPr>
        <w:br w:type="page"/>
      </w:r>
    </w:p>
    <w:p w:rsidR="00E9008A" w:rsidRPr="00316249" w:rsidRDefault="00E9008A" w:rsidP="00E9008A">
      <w:pPr>
        <w:pStyle w:val="PargrafodaLista"/>
        <w:numPr>
          <w:ilvl w:val="2"/>
          <w:numId w:val="23"/>
        </w:numPr>
        <w:spacing w:before="240" w:after="240"/>
        <w:ind w:left="851" w:hanging="851"/>
        <w:jc w:val="both"/>
        <w:rPr>
          <w:rFonts w:ascii="Times New Roman" w:hAnsi="Times New Roman" w:cs="Times New Roman"/>
          <w:b/>
          <w:lang w:val="pt-BR"/>
        </w:rPr>
      </w:pPr>
      <w:r w:rsidRPr="00316249">
        <w:rPr>
          <w:rFonts w:ascii="Times New Roman" w:hAnsi="Times New Roman" w:cs="Times New Roman"/>
          <w:b/>
          <w:lang w:val="pt-BR"/>
        </w:rPr>
        <w:lastRenderedPageBreak/>
        <w:t>Ações preferenciais</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pacing w:val="-2"/>
          <w:sz w:val="22"/>
          <w:szCs w:val="22"/>
        </w:rPr>
      </w:pPr>
      <w:r w:rsidRPr="00316249">
        <w:rPr>
          <w:rFonts w:ascii="Times New Roman" w:hAnsi="Times New Roman" w:cs="Times New Roman"/>
          <w:spacing w:val="-2"/>
          <w:sz w:val="22"/>
          <w:szCs w:val="22"/>
        </w:rPr>
        <w:t>Ações preferenciais são classificadas no patrimônio líquido caso não sejam resgatáveis, ou resgatáveis somente à escolha da Companhia e quaisquer dividendos sejam discricionários. Dividendos pagos são reconhecidos no patrimônio líquido quando da aprovação dos acionistas da Companhia.</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pacing w:val="-2"/>
          <w:sz w:val="22"/>
          <w:szCs w:val="22"/>
        </w:rPr>
      </w:pPr>
      <w:r w:rsidRPr="00316249">
        <w:rPr>
          <w:rFonts w:ascii="Times New Roman" w:hAnsi="Times New Roman" w:cs="Times New Roman"/>
          <w:spacing w:val="-2"/>
          <w:sz w:val="22"/>
          <w:szCs w:val="22"/>
        </w:rPr>
        <w:t>Os dividendos mínimos obrigatórios, conforme definido em estatuto, são reconhecidos como passivo.</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Pr>
          <w:rFonts w:ascii="Times New Roman" w:eastAsia="Arial Unicode MS" w:hAnsi="Times New Roman" w:cs="Times New Roman"/>
          <w:b/>
          <w:bCs/>
          <w:iCs/>
          <w:lang w:val="pt-BR"/>
        </w:rPr>
        <w:t>Reconhecimento de R</w:t>
      </w:r>
      <w:r w:rsidRPr="00316249">
        <w:rPr>
          <w:rFonts w:ascii="Times New Roman" w:eastAsia="Arial Unicode MS" w:hAnsi="Times New Roman" w:cs="Times New Roman"/>
          <w:b/>
          <w:bCs/>
          <w:iCs/>
          <w:lang w:val="pt-BR"/>
        </w:rPr>
        <w:t>eceita</w:t>
      </w:r>
    </w:p>
    <w:p w:rsidR="00E9008A" w:rsidRDefault="00E9008A" w:rsidP="00E9008A">
      <w:pPr>
        <w:autoSpaceDE w:val="0"/>
        <w:autoSpaceDN w:val="0"/>
        <w:adjustRightInd w:val="0"/>
        <w:spacing w:before="240" w:after="240"/>
        <w:jc w:val="both"/>
        <w:rPr>
          <w:sz w:val="22"/>
          <w:szCs w:val="22"/>
        </w:rPr>
      </w:pPr>
      <w:r w:rsidRPr="00316249">
        <w:rPr>
          <w:sz w:val="22"/>
          <w:szCs w:val="22"/>
        </w:rPr>
        <w:t>A receita é mensurada pelo valor justo da contrapartida recebida ou a receber, deduzida dos impostos e dos eventuais descontos incidentes sobre a mesma.</w:t>
      </w:r>
    </w:p>
    <w:p w:rsidR="00E9008A" w:rsidRPr="009752FC" w:rsidRDefault="00E9008A" w:rsidP="00E9008A">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Receita de prestação de serviços</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z w:val="22"/>
          <w:szCs w:val="22"/>
        </w:rPr>
      </w:pPr>
      <w:r w:rsidRPr="00316249">
        <w:rPr>
          <w:rFonts w:ascii="Times New Roman" w:hAnsi="Times New Roman" w:cs="Times New Roman"/>
          <w:sz w:val="22"/>
          <w:szCs w:val="22"/>
        </w:rPr>
        <w:t>A receita de serviços prestados é reconhecida no resultado com base no estágio de conclusão do serviço na data de apresentação das demonstrações financeiras. O estágio de conclusão é avaliado por referência a pesquisas de trabalhos realizados.</w:t>
      </w:r>
    </w:p>
    <w:p w:rsidR="00E9008A" w:rsidRPr="009752FC" w:rsidRDefault="00E9008A" w:rsidP="00E9008A">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Receita de distribuição de energia elétrica</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z w:val="22"/>
          <w:szCs w:val="22"/>
        </w:rPr>
      </w:pPr>
      <w:r w:rsidRPr="00316249">
        <w:rPr>
          <w:rFonts w:ascii="Times New Roman" w:hAnsi="Times New Roman" w:cs="Times New Roman"/>
          <w:sz w:val="22"/>
          <w:szCs w:val="22"/>
        </w:rPr>
        <w:t>Os serviços de distribuição de energia elétrica são medidos através da entrega de energia elétrica ocorrida em um determinado período. Essa medição ocorre de acordo com o calendário de leitura estabelecido pela concessionária. O faturamento dos serviços de distribuição de energia elétrica é, portanto, efetuado de acordo com esse calendário de leitura, sendo a receita de serviços registrada à medida que as faturas são emitidas, ou seja, pela competência. Os serviços prestados entre a data da leitura e o encerramento de cada mês são registrados através de estimativas (fornecimento não faturado).</w:t>
      </w:r>
    </w:p>
    <w:p w:rsidR="00E9008A" w:rsidRPr="009752FC" w:rsidRDefault="00E9008A" w:rsidP="00E9008A">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Receita de construção</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z w:val="22"/>
          <w:szCs w:val="22"/>
        </w:rPr>
      </w:pPr>
      <w:r w:rsidRPr="00316249">
        <w:rPr>
          <w:rFonts w:ascii="Times New Roman" w:hAnsi="Times New Roman" w:cs="Times New Roman"/>
          <w:sz w:val="22"/>
          <w:szCs w:val="22"/>
        </w:rPr>
        <w:t>A ICPC 01 (IFRIC 12) estabelece que a concessionária de energia elétrica deve registrar e mensurar a receita dos serviços que presta de acordo com os Pronunciamentos Técnicos CPC 17 (R1) (IAS 11) – Contratos de Construção (serviços de construção ou melhoria) e CPC 30 (R1) (IAS 18) – Receitas (serviços de operação – fornecimento de energia elétrica), como componentes separados do mesmo contrato de concessão.</w:t>
      </w:r>
    </w:p>
    <w:p w:rsidR="00E9008A"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z w:val="22"/>
          <w:szCs w:val="22"/>
        </w:rPr>
      </w:pPr>
      <w:r w:rsidRPr="00316249">
        <w:rPr>
          <w:rFonts w:ascii="Times New Roman" w:hAnsi="Times New Roman" w:cs="Times New Roman"/>
          <w:sz w:val="22"/>
          <w:szCs w:val="22"/>
        </w:rPr>
        <w:t>A CEB-D contabiliza receitas e custos relativos a serviços de construção ou melhoria da infraestrutura utilizada na prestação dos serviços de distribuição de energia elétrica. A margem de construção adotada é praticamente nula, considerando que: (i) a atividade fim da concessionária é a distribuição de energia elétrica; (</w:t>
      </w:r>
      <w:proofErr w:type="spellStart"/>
      <w:r w:rsidRPr="00316249">
        <w:rPr>
          <w:rFonts w:ascii="Times New Roman" w:hAnsi="Times New Roman" w:cs="Times New Roman"/>
          <w:sz w:val="22"/>
          <w:szCs w:val="22"/>
        </w:rPr>
        <w:t>ii</w:t>
      </w:r>
      <w:proofErr w:type="spellEnd"/>
      <w:r w:rsidRPr="00316249">
        <w:rPr>
          <w:rFonts w:ascii="Times New Roman" w:hAnsi="Times New Roman" w:cs="Times New Roman"/>
          <w:sz w:val="22"/>
          <w:szCs w:val="22"/>
        </w:rPr>
        <w:t>) toda receita de construção está relacionada com a construção de infraestrutura para o alcance da atividade fim, ou seja, a distribuição de energia elétrica; e (</w:t>
      </w:r>
      <w:proofErr w:type="spellStart"/>
      <w:r w:rsidRPr="00316249">
        <w:rPr>
          <w:rFonts w:ascii="Times New Roman" w:hAnsi="Times New Roman" w:cs="Times New Roman"/>
          <w:sz w:val="22"/>
          <w:szCs w:val="22"/>
        </w:rPr>
        <w:t>iii</w:t>
      </w:r>
      <w:proofErr w:type="spellEnd"/>
      <w:r w:rsidRPr="00316249">
        <w:rPr>
          <w:rFonts w:ascii="Times New Roman" w:hAnsi="Times New Roman" w:cs="Times New Roman"/>
          <w:sz w:val="22"/>
          <w:szCs w:val="22"/>
        </w:rPr>
        <w:t>) a concessionária terceiriza a construção da infraestrutura. Mensalmente, a totalidade das adições efetuadas ao ativo intangível em curso é transferida para o resultado, como custo de construção, após a dedução dos recursos provenientes do ingresso das obrigações especiais.</w:t>
      </w:r>
    </w:p>
    <w:p w:rsidR="00E9008A" w:rsidRPr="009752FC" w:rsidRDefault="00E9008A" w:rsidP="00E9008A">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 xml:space="preserve">Receita de juros </w:t>
      </w:r>
    </w:p>
    <w:p w:rsidR="00E9008A" w:rsidRPr="00316249" w:rsidRDefault="00E9008A" w:rsidP="00E9008A">
      <w:pPr>
        <w:pStyle w:val="xl25"/>
        <w:pBdr>
          <w:top w:val="none" w:sz="0" w:space="0" w:color="auto"/>
          <w:left w:val="none" w:sz="0" w:space="0" w:color="auto"/>
          <w:bottom w:val="none" w:sz="0" w:space="0" w:color="auto"/>
        </w:pBdr>
        <w:tabs>
          <w:tab w:val="left" w:pos="142"/>
        </w:tabs>
        <w:autoSpaceDE w:val="0"/>
        <w:autoSpaceDN w:val="0"/>
        <w:adjustRightInd w:val="0"/>
        <w:jc w:val="both"/>
        <w:rPr>
          <w:rFonts w:ascii="Times New Roman" w:hAnsi="Times New Roman" w:cs="Times New Roman"/>
          <w:sz w:val="22"/>
          <w:szCs w:val="22"/>
        </w:rPr>
      </w:pPr>
      <w:r w:rsidRPr="00316249">
        <w:rPr>
          <w:rFonts w:ascii="Times New Roman" w:hAnsi="Times New Roman" w:cs="Times New Roman"/>
          <w:sz w:val="22"/>
          <w:szCs w:val="22"/>
        </w:rPr>
        <w:t xml:space="preserve">É reconhecida quando for provável que os benefícios econômicos futuros deverão fluir para a Companhia ou suas controladas e coligadas e o valor da receita possa ser mensurado com confiabilidade. A receita de juros é reconhecida com base no tempo e na taxa de juros efetiva sobre o </w:t>
      </w:r>
      <w:r w:rsidRPr="00316249">
        <w:rPr>
          <w:rFonts w:ascii="Times New Roman" w:hAnsi="Times New Roman" w:cs="Times New Roman"/>
          <w:sz w:val="22"/>
          <w:szCs w:val="22"/>
        </w:rPr>
        <w:lastRenderedPageBreak/>
        <w:t>montante do principal em aberto. A taxa de juros efetiva é aquela que desconta os recebimentos de caixa futuros estimados durante a vida econômica do ativo financeiro, em relação ao valor contábil líquido inicial deste ativo.</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Receitas e </w:t>
      </w:r>
      <w:r>
        <w:rPr>
          <w:rFonts w:ascii="Times New Roman" w:eastAsia="Arial Unicode MS" w:hAnsi="Times New Roman" w:cs="Times New Roman"/>
          <w:b/>
          <w:bCs/>
          <w:iCs/>
          <w:lang w:val="pt-BR"/>
        </w:rPr>
        <w:t>D</w:t>
      </w:r>
      <w:r w:rsidRPr="00316249">
        <w:rPr>
          <w:rFonts w:ascii="Times New Roman" w:eastAsia="Arial Unicode MS" w:hAnsi="Times New Roman" w:cs="Times New Roman"/>
          <w:b/>
          <w:bCs/>
          <w:iCs/>
          <w:lang w:val="pt-BR"/>
        </w:rPr>
        <w:t xml:space="preserve">espesas </w:t>
      </w:r>
      <w:r>
        <w:rPr>
          <w:rFonts w:ascii="Times New Roman" w:eastAsia="Arial Unicode MS" w:hAnsi="Times New Roman" w:cs="Times New Roman"/>
          <w:b/>
          <w:bCs/>
          <w:iCs/>
          <w:lang w:val="pt-BR"/>
        </w:rPr>
        <w:t>F</w:t>
      </w:r>
      <w:r w:rsidRPr="00316249">
        <w:rPr>
          <w:rFonts w:ascii="Times New Roman" w:eastAsia="Arial Unicode MS" w:hAnsi="Times New Roman" w:cs="Times New Roman"/>
          <w:b/>
          <w:bCs/>
          <w:iCs/>
          <w:lang w:val="pt-BR"/>
        </w:rPr>
        <w:t>inanceiras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As receitas financeiras referem</w:t>
      </w:r>
      <w:r w:rsidRPr="00316249">
        <w:rPr>
          <w:rFonts w:asciiTheme="majorHAnsi" w:hAnsiTheme="majorHAnsi"/>
          <w:sz w:val="22"/>
          <w:szCs w:val="22"/>
        </w:rPr>
        <w:t>‐</w:t>
      </w:r>
      <w:r w:rsidRPr="00316249">
        <w:rPr>
          <w:sz w:val="22"/>
          <w:szCs w:val="22"/>
        </w:rPr>
        <w:t>se, principalmente, à receita de aplicação financeira; acréscimos moratórios em contas de energia elétrica; juros sobre ativos financeiros da concessão; e juros sobre outros ativos financeiros. A receita de juros é reconhecida no resultado através do método de juros efetivos. A receita de dividendos é reconhecida no resultado na data em que o direito da Companhia ou suas controladas e coligadas em receber o pagamento é estabelecido. As distribuições recebidas de investidas registradas por equivalência patrimonial reduzem o valor do investimento.</w:t>
      </w:r>
    </w:p>
    <w:p w:rsidR="00E9008A" w:rsidRPr="00316249" w:rsidRDefault="00E9008A" w:rsidP="00E9008A">
      <w:pPr>
        <w:autoSpaceDE w:val="0"/>
        <w:autoSpaceDN w:val="0"/>
        <w:adjustRightInd w:val="0"/>
        <w:spacing w:before="240" w:after="240"/>
        <w:jc w:val="both"/>
        <w:rPr>
          <w:i/>
          <w:iCs/>
          <w:color w:val="000000"/>
          <w:sz w:val="22"/>
          <w:szCs w:val="22"/>
        </w:rPr>
      </w:pPr>
      <w:r w:rsidRPr="00316249">
        <w:rPr>
          <w:sz w:val="22"/>
          <w:szCs w:val="22"/>
        </w:rPr>
        <w:t>As despesas financeiras abrangem encargos, variação cambial e variação monetária sobre empréstimos e financiamentos. Os custos dos empréstimos são reconhecidos no resultado através do método de juros efetivos</w:t>
      </w:r>
      <w:r w:rsidRPr="00316249">
        <w:rPr>
          <w:color w:val="404040"/>
          <w:sz w:val="22"/>
          <w:szCs w:val="22"/>
        </w:rPr>
        <w:t>.</w:t>
      </w:r>
    </w:p>
    <w:p w:rsidR="00E9008A" w:rsidRDefault="00E9008A" w:rsidP="00E9008A">
      <w:pPr>
        <w:widowControl w:val="0"/>
        <w:autoSpaceDE w:val="0"/>
        <w:autoSpaceDN w:val="0"/>
        <w:adjustRightInd w:val="0"/>
        <w:spacing w:before="240" w:after="240"/>
        <w:jc w:val="both"/>
        <w:rPr>
          <w:sz w:val="22"/>
          <w:szCs w:val="22"/>
        </w:rPr>
      </w:pPr>
      <w:r w:rsidRPr="00316249">
        <w:rPr>
          <w:sz w:val="22"/>
          <w:szCs w:val="22"/>
        </w:rPr>
        <w:t>Os ganhos e perdas cambiais são reportados em uma base líquida.</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Informações por </w:t>
      </w:r>
      <w:r>
        <w:rPr>
          <w:rFonts w:ascii="Times New Roman" w:eastAsia="Arial Unicode MS" w:hAnsi="Times New Roman" w:cs="Times New Roman"/>
          <w:b/>
          <w:bCs/>
          <w:iCs/>
          <w:lang w:val="pt-BR"/>
        </w:rPr>
        <w:t>S</w:t>
      </w:r>
      <w:r w:rsidRPr="00316249">
        <w:rPr>
          <w:rFonts w:ascii="Times New Roman" w:eastAsia="Arial Unicode MS" w:hAnsi="Times New Roman" w:cs="Times New Roman"/>
          <w:b/>
          <w:bCs/>
          <w:iCs/>
          <w:lang w:val="pt-BR"/>
        </w:rPr>
        <w:t xml:space="preserve">egmento de </w:t>
      </w:r>
      <w:r>
        <w:rPr>
          <w:rFonts w:ascii="Times New Roman" w:eastAsia="Arial Unicode MS" w:hAnsi="Times New Roman" w:cs="Times New Roman"/>
          <w:b/>
          <w:bCs/>
          <w:iCs/>
          <w:lang w:val="pt-BR"/>
        </w:rPr>
        <w:t>N</w:t>
      </w:r>
      <w:r w:rsidRPr="00316249">
        <w:rPr>
          <w:rFonts w:ascii="Times New Roman" w:eastAsia="Arial Unicode MS" w:hAnsi="Times New Roman" w:cs="Times New Roman"/>
          <w:b/>
          <w:bCs/>
          <w:iCs/>
          <w:lang w:val="pt-BR"/>
        </w:rPr>
        <w:t>egócios</w:t>
      </w:r>
    </w:p>
    <w:p w:rsidR="00E9008A" w:rsidRPr="00316249" w:rsidRDefault="00E9008A" w:rsidP="00E9008A">
      <w:pPr>
        <w:widowControl w:val="0"/>
        <w:autoSpaceDE w:val="0"/>
        <w:autoSpaceDN w:val="0"/>
        <w:adjustRightInd w:val="0"/>
        <w:spacing w:before="240" w:after="240"/>
        <w:ind w:right="29"/>
        <w:jc w:val="both"/>
        <w:rPr>
          <w:rFonts w:eastAsia="Arial Unicode MS"/>
          <w:sz w:val="22"/>
          <w:szCs w:val="22"/>
        </w:rPr>
      </w:pPr>
      <w:r w:rsidRPr="00316249">
        <w:rPr>
          <w:rFonts w:eastAsia="Arial Unicode MS"/>
          <w:sz w:val="22"/>
          <w:szCs w:val="22"/>
        </w:rPr>
        <w:t>Um segmento operacional é um componente do Grupo que desenvolve atividades de negócio das quais pode obter receitas e incorrer em despesas, incluindo receitas e despesas relacionadas com transações com outros componentes do Grupo. Todos os resultados operacionais dos segmentos operacionais são revistos frequentemente pela Administração da Companhia para decisões sobre os recursos a serem alocados ao segmento e para avaliação de seu desempenho, e para o qual informações financeiras individualizadas estão disponíveis.</w:t>
      </w:r>
    </w:p>
    <w:p w:rsidR="00E9008A" w:rsidRDefault="00E9008A" w:rsidP="00E9008A">
      <w:pPr>
        <w:widowControl w:val="0"/>
        <w:autoSpaceDE w:val="0"/>
        <w:autoSpaceDN w:val="0"/>
        <w:adjustRightInd w:val="0"/>
        <w:spacing w:before="240" w:after="240"/>
        <w:ind w:right="29"/>
        <w:jc w:val="both"/>
        <w:rPr>
          <w:rFonts w:eastAsia="Arial Unicode MS"/>
          <w:sz w:val="22"/>
          <w:szCs w:val="22"/>
        </w:rPr>
      </w:pPr>
      <w:r w:rsidRPr="00316249">
        <w:rPr>
          <w:rFonts w:eastAsia="Arial Unicode MS"/>
          <w:sz w:val="22"/>
          <w:szCs w:val="22"/>
        </w:rPr>
        <w:t>Os resultados de segmentos que são reportados à Administração incluem itens diretamente atribuíveis ao segmento, bem como aqueles que podem ser alocados em bases razoáveis. Os itens não alocados compreendem, principalmente, os elementos patrimoniais e de resultado da CEB (Nota Explicativa nº 30).</w:t>
      </w:r>
    </w:p>
    <w:p w:rsidR="00E9008A" w:rsidRPr="00316249" w:rsidRDefault="00E9008A" w:rsidP="00E9008A">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316249">
        <w:rPr>
          <w:rFonts w:ascii="Times New Roman" w:eastAsia="Arial Unicode MS" w:hAnsi="Times New Roman" w:cs="Times New Roman"/>
          <w:b/>
          <w:bCs/>
          <w:iCs/>
          <w:lang w:val="pt-BR"/>
        </w:rPr>
        <w:t xml:space="preserve">Novas </w:t>
      </w:r>
      <w:r>
        <w:rPr>
          <w:rFonts w:ascii="Times New Roman" w:eastAsia="Arial Unicode MS" w:hAnsi="Times New Roman" w:cs="Times New Roman"/>
          <w:b/>
          <w:bCs/>
          <w:iCs/>
          <w:lang w:val="pt-BR"/>
        </w:rPr>
        <w:t>N</w:t>
      </w:r>
      <w:r w:rsidRPr="00316249">
        <w:rPr>
          <w:rFonts w:ascii="Times New Roman" w:eastAsia="Arial Unicode MS" w:hAnsi="Times New Roman" w:cs="Times New Roman"/>
          <w:b/>
          <w:bCs/>
          <w:iCs/>
          <w:lang w:val="pt-BR"/>
        </w:rPr>
        <w:t xml:space="preserve">ormas e </w:t>
      </w:r>
      <w:r>
        <w:rPr>
          <w:rFonts w:ascii="Times New Roman" w:eastAsia="Arial Unicode MS" w:hAnsi="Times New Roman" w:cs="Times New Roman"/>
          <w:b/>
          <w:bCs/>
          <w:iCs/>
          <w:lang w:val="pt-BR"/>
        </w:rPr>
        <w:t>I</w:t>
      </w:r>
      <w:r w:rsidRPr="00316249">
        <w:rPr>
          <w:rFonts w:ascii="Times New Roman" w:eastAsia="Arial Unicode MS" w:hAnsi="Times New Roman" w:cs="Times New Roman"/>
          <w:b/>
          <w:bCs/>
          <w:iCs/>
          <w:lang w:val="pt-BR"/>
        </w:rPr>
        <w:t xml:space="preserve">nterpretações </w:t>
      </w:r>
      <w:r>
        <w:rPr>
          <w:rFonts w:ascii="Times New Roman" w:eastAsia="Arial Unicode MS" w:hAnsi="Times New Roman" w:cs="Times New Roman"/>
          <w:b/>
          <w:bCs/>
          <w:iCs/>
          <w:lang w:val="pt-BR"/>
        </w:rPr>
        <w:t>A</w:t>
      </w:r>
      <w:r w:rsidRPr="00316249">
        <w:rPr>
          <w:rFonts w:ascii="Times New Roman" w:eastAsia="Arial Unicode MS" w:hAnsi="Times New Roman" w:cs="Times New Roman"/>
          <w:b/>
          <w:bCs/>
          <w:iCs/>
          <w:lang w:val="pt-BR"/>
        </w:rPr>
        <w:t xml:space="preserve">inda </w:t>
      </w:r>
      <w:r>
        <w:rPr>
          <w:rFonts w:ascii="Times New Roman" w:eastAsia="Arial Unicode MS" w:hAnsi="Times New Roman" w:cs="Times New Roman"/>
          <w:b/>
          <w:bCs/>
          <w:iCs/>
          <w:lang w:val="pt-BR"/>
        </w:rPr>
        <w:t>Não A</w:t>
      </w:r>
      <w:r w:rsidRPr="00316249">
        <w:rPr>
          <w:rFonts w:ascii="Times New Roman" w:eastAsia="Arial Unicode MS" w:hAnsi="Times New Roman" w:cs="Times New Roman"/>
          <w:b/>
          <w:bCs/>
          <w:iCs/>
          <w:lang w:val="pt-BR"/>
        </w:rPr>
        <w:t>dotadas</w:t>
      </w:r>
    </w:p>
    <w:p w:rsidR="00E9008A" w:rsidRPr="009752FC" w:rsidRDefault="00E9008A" w:rsidP="00E9008A">
      <w:pPr>
        <w:pStyle w:val="Textodocorpo20"/>
        <w:numPr>
          <w:ilvl w:val="0"/>
          <w:numId w:val="39"/>
        </w:numPr>
        <w:shd w:val="clear" w:color="auto" w:fill="auto"/>
        <w:spacing w:before="0" w:line="276" w:lineRule="auto"/>
        <w:ind w:left="426" w:hanging="426"/>
        <w:rPr>
          <w:rFonts w:ascii="Times New Roman" w:hAnsi="Times New Roman" w:cs="Times New Roman"/>
          <w:sz w:val="22"/>
          <w:szCs w:val="22"/>
        </w:rPr>
      </w:pPr>
      <w:r w:rsidRPr="009752FC">
        <w:rPr>
          <w:rFonts w:ascii="Times New Roman" w:hAnsi="Times New Roman" w:cs="Times New Roman"/>
          <w:sz w:val="22"/>
          <w:szCs w:val="22"/>
        </w:rPr>
        <w:t>Novas normas, interpretações e alterações com aplicação efetiva desde 1° de janeiro de 2016</w:t>
      </w: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r w:rsidRPr="009752FC">
        <w:rPr>
          <w:rFonts w:ascii="Times New Roman" w:hAnsi="Times New Roman" w:cs="Times New Roman"/>
          <w:sz w:val="22"/>
          <w:szCs w:val="22"/>
        </w:rPr>
        <w:t>Não há novas normas ou interpretações com aplicação efetiva pela primeira vez para períodos que se iniciaram em ou após 1° de janeiro de 2016 que tenham impacto significativo nas demonstrações contábeis da Companhia. Adicionalmente, nenhuma das alterações de normas e interpretações vigentes desde 1° de janeiro de 2016 resultaram em impacto significativo nas demonstrações contábeis.</w:t>
      </w:r>
    </w:p>
    <w:p w:rsidR="00E9008A" w:rsidRPr="009752FC" w:rsidRDefault="00E9008A" w:rsidP="00E9008A">
      <w:pPr>
        <w:pStyle w:val="Textodocorpo20"/>
        <w:shd w:val="clear" w:color="auto" w:fill="auto"/>
        <w:spacing w:before="0" w:line="276" w:lineRule="auto"/>
        <w:ind w:left="426"/>
        <w:rPr>
          <w:rFonts w:ascii="Times New Roman" w:hAnsi="Times New Roman" w:cs="Times New Roman"/>
          <w:sz w:val="22"/>
          <w:szCs w:val="22"/>
        </w:rPr>
      </w:pPr>
    </w:p>
    <w:p w:rsidR="00E9008A" w:rsidRPr="009752FC" w:rsidRDefault="00E9008A" w:rsidP="00E9008A">
      <w:pPr>
        <w:pStyle w:val="Textodocorpo20"/>
        <w:numPr>
          <w:ilvl w:val="0"/>
          <w:numId w:val="39"/>
        </w:numPr>
        <w:shd w:val="clear" w:color="auto" w:fill="auto"/>
        <w:spacing w:before="0" w:line="276" w:lineRule="auto"/>
        <w:ind w:left="426" w:hanging="426"/>
        <w:rPr>
          <w:rFonts w:ascii="Times New Roman" w:hAnsi="Times New Roman" w:cs="Times New Roman"/>
          <w:sz w:val="22"/>
          <w:szCs w:val="22"/>
        </w:rPr>
      </w:pPr>
      <w:r w:rsidRPr="009752FC">
        <w:rPr>
          <w:rFonts w:ascii="Times New Roman" w:hAnsi="Times New Roman" w:cs="Times New Roman"/>
          <w:sz w:val="22"/>
          <w:szCs w:val="22"/>
        </w:rPr>
        <w:t>Novas normas, interpretações e alterações com aplicação efetiva após 31 de dezembro de 2016</w:t>
      </w:r>
    </w:p>
    <w:p w:rsidR="00E9008A" w:rsidRPr="009752FC" w:rsidRDefault="00E9008A" w:rsidP="00E9008A">
      <w:pPr>
        <w:pStyle w:val="Textodocorpo20"/>
        <w:shd w:val="clear" w:color="auto" w:fill="auto"/>
        <w:spacing w:before="0" w:line="276" w:lineRule="auto"/>
        <w:ind w:left="426"/>
        <w:rPr>
          <w:rFonts w:ascii="Times New Roman" w:hAnsi="Times New Roman" w:cs="Times New Roman"/>
          <w:sz w:val="22"/>
          <w:szCs w:val="22"/>
        </w:rPr>
      </w:pP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r w:rsidRPr="009752FC">
        <w:rPr>
          <w:rFonts w:ascii="Times New Roman" w:hAnsi="Times New Roman" w:cs="Times New Roman"/>
          <w:sz w:val="22"/>
          <w:szCs w:val="22"/>
        </w:rPr>
        <w:t xml:space="preserve">Existem três novas normas que serão efetivas em 2018 e 2019 que poderão afetar diversos tipos de entidades e devem resultar em alterações bastante significativas nas suas demonstrações contábeis. Estas normas são o IFRS 9 Instrumentos Financeiros; o IFRS 15 Receitas de Contratos com Clientes; e </w:t>
      </w:r>
      <w:r w:rsidRPr="009752FC">
        <w:rPr>
          <w:rFonts w:ascii="Times New Roman" w:hAnsi="Times New Roman" w:cs="Times New Roman"/>
          <w:sz w:val="22"/>
          <w:szCs w:val="22"/>
        </w:rPr>
        <w:lastRenderedPageBreak/>
        <w:t>o IFRS 16 Arrendamento. Portanto, elas não foram adotadas de forma antecipada nestas demonstrações contábeis e, assim, poderão impactar de maneira significativa as demonstrações contábeis da Companhia no futuro.</w:t>
      </w:r>
    </w:p>
    <w:p w:rsidR="00E9008A" w:rsidRPr="009752FC" w:rsidRDefault="00E9008A" w:rsidP="00E9008A">
      <w:pPr>
        <w:pStyle w:val="Textodocorpo20"/>
        <w:shd w:val="clear" w:color="auto" w:fill="auto"/>
        <w:spacing w:before="0" w:line="276" w:lineRule="auto"/>
        <w:ind w:left="426"/>
        <w:rPr>
          <w:rFonts w:ascii="Times New Roman" w:hAnsi="Times New Roman" w:cs="Times New Roman"/>
          <w:sz w:val="22"/>
          <w:szCs w:val="22"/>
        </w:rPr>
      </w:pPr>
    </w:p>
    <w:p w:rsidR="00E9008A" w:rsidRPr="009752FC" w:rsidRDefault="00E9008A" w:rsidP="00E9008A">
      <w:pPr>
        <w:pStyle w:val="Textodocorpo20"/>
        <w:numPr>
          <w:ilvl w:val="0"/>
          <w:numId w:val="43"/>
        </w:numPr>
        <w:shd w:val="clear" w:color="auto" w:fill="auto"/>
        <w:spacing w:before="0" w:line="276" w:lineRule="auto"/>
        <w:rPr>
          <w:rFonts w:ascii="Times New Roman" w:hAnsi="Times New Roman" w:cs="Times New Roman"/>
          <w:sz w:val="22"/>
          <w:szCs w:val="22"/>
        </w:rPr>
      </w:pPr>
      <w:r w:rsidRPr="009752FC">
        <w:rPr>
          <w:rFonts w:ascii="Times New Roman" w:hAnsi="Times New Roman" w:cs="Times New Roman"/>
          <w:i/>
          <w:sz w:val="22"/>
          <w:szCs w:val="22"/>
        </w:rPr>
        <w:t>IFRS 9 Instrumentos Financeiros</w:t>
      </w:r>
    </w:p>
    <w:p w:rsidR="00E9008A" w:rsidRPr="009752FC" w:rsidRDefault="00E9008A" w:rsidP="00E9008A">
      <w:pPr>
        <w:pStyle w:val="Textodocorpo20"/>
        <w:shd w:val="clear" w:color="auto" w:fill="auto"/>
        <w:spacing w:before="0" w:line="276" w:lineRule="auto"/>
        <w:ind w:left="426"/>
        <w:rPr>
          <w:rFonts w:ascii="Times New Roman" w:hAnsi="Times New Roman" w:cs="Times New Roman"/>
          <w:sz w:val="22"/>
          <w:szCs w:val="22"/>
        </w:rPr>
      </w:pP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r w:rsidRPr="009752FC">
        <w:rPr>
          <w:rFonts w:ascii="Times New Roman" w:hAnsi="Times New Roman" w:cs="Times New Roman"/>
          <w:sz w:val="22"/>
          <w:szCs w:val="22"/>
        </w:rPr>
        <w:t xml:space="preserve">O </w:t>
      </w:r>
      <w:r w:rsidRPr="009752FC">
        <w:rPr>
          <w:rFonts w:ascii="Times New Roman" w:hAnsi="Times New Roman" w:cs="Times New Roman"/>
          <w:i/>
          <w:sz w:val="22"/>
          <w:szCs w:val="22"/>
        </w:rPr>
        <w:t>IFRS 9</w:t>
      </w:r>
      <w:r w:rsidRPr="009752FC">
        <w:rPr>
          <w:rFonts w:ascii="Times New Roman" w:hAnsi="Times New Roman" w:cs="Times New Roman"/>
          <w:sz w:val="22"/>
          <w:szCs w:val="22"/>
        </w:rPr>
        <w:t xml:space="preserve"> estará vigente para exercícios findos a partir de 1° de janeiro de 2018. Esta nova norma contém três categorias principais para classificação e mensuração de ativos financeiros: (i) Custo Amortizado; (</w:t>
      </w:r>
      <w:proofErr w:type="spellStart"/>
      <w:r w:rsidRPr="009752FC">
        <w:rPr>
          <w:rFonts w:ascii="Times New Roman" w:hAnsi="Times New Roman" w:cs="Times New Roman"/>
          <w:sz w:val="22"/>
          <w:szCs w:val="22"/>
        </w:rPr>
        <w:t>ii</w:t>
      </w:r>
      <w:proofErr w:type="spellEnd"/>
      <w:r w:rsidRPr="009752FC">
        <w:rPr>
          <w:rFonts w:ascii="Times New Roman" w:hAnsi="Times New Roman" w:cs="Times New Roman"/>
          <w:sz w:val="22"/>
          <w:szCs w:val="22"/>
        </w:rPr>
        <w:t>) Valor Justo registrado por meio de Outros Resultados Abrangentes; e (</w:t>
      </w:r>
      <w:proofErr w:type="spellStart"/>
      <w:r w:rsidRPr="009752FC">
        <w:rPr>
          <w:rFonts w:ascii="Times New Roman" w:hAnsi="Times New Roman" w:cs="Times New Roman"/>
          <w:sz w:val="22"/>
          <w:szCs w:val="22"/>
        </w:rPr>
        <w:t>iii</w:t>
      </w:r>
      <w:proofErr w:type="spellEnd"/>
      <w:r w:rsidRPr="009752FC">
        <w:rPr>
          <w:rFonts w:ascii="Times New Roman" w:hAnsi="Times New Roman" w:cs="Times New Roman"/>
          <w:sz w:val="22"/>
          <w:szCs w:val="22"/>
        </w:rPr>
        <w:t>) Valor Justo registrado por meio do Resultado do Exercício (categoria residual). Uma das principais alterações está relacionada aos ativos financeiros classificados na categoria de “Valor Justo registrado por meio de Outros Resultados Abrangentes”, sendo também aplicável em determinados passivos financeiros que atendem determinados critérios de classificação. Assim, os instrumentos financeiros na categoria de “Valor Justo por meio de Outros Resultados Abrangentes” são registrados no balanço pelo seu valor justo (para refletir os fluxos de caixas esperados pela venda), sendo a parte relativa ao custo amortizado registrada no resultado do exercício (para refletir o recebimento dos fluxos de caixa contratuais), sendo a diferença registrada em Outros Resultado Abrangentes, devendo ser posteriormente reciclada para o resultado do exercício quando da venda/baixa do instrumento financeiro. A outra principal alteração está relacionada ao “</w:t>
      </w:r>
      <w:proofErr w:type="spellStart"/>
      <w:r w:rsidRPr="009752FC">
        <w:rPr>
          <w:rFonts w:ascii="Times New Roman" w:hAnsi="Times New Roman" w:cs="Times New Roman"/>
          <w:sz w:val="22"/>
          <w:szCs w:val="22"/>
        </w:rPr>
        <w:t>impairment</w:t>
      </w:r>
      <w:proofErr w:type="spellEnd"/>
      <w:r w:rsidRPr="009752FC">
        <w:rPr>
          <w:rFonts w:ascii="Times New Roman" w:hAnsi="Times New Roman" w:cs="Times New Roman"/>
          <w:sz w:val="22"/>
          <w:szCs w:val="22"/>
        </w:rPr>
        <w:t>” de ativos financeiros, como por exemplo as provisões para créditos de liquidação duvidosa, em que o modelo de “perda esperada” substitui o modelo de “perda incorrida”. O novo modelo de “perda esperada” deve impactar materialmente todas as entidades que detenham instrumentos financeiros nas categorias de “Custo Amortizado” e “Valor Justo por meio de Outros Resultados Abrangentes”.</w:t>
      </w:r>
    </w:p>
    <w:p w:rsidR="00E9008A" w:rsidRPr="009752FC" w:rsidRDefault="00E9008A" w:rsidP="00E9008A">
      <w:pPr>
        <w:pStyle w:val="Textodocorpo20"/>
        <w:shd w:val="clear" w:color="auto" w:fill="auto"/>
        <w:spacing w:before="0" w:line="276" w:lineRule="auto"/>
        <w:ind w:left="426"/>
        <w:rPr>
          <w:rFonts w:ascii="Times New Roman" w:hAnsi="Times New Roman" w:cs="Times New Roman"/>
          <w:sz w:val="22"/>
          <w:szCs w:val="22"/>
        </w:rPr>
      </w:pPr>
    </w:p>
    <w:p w:rsidR="00E9008A" w:rsidRPr="009752FC" w:rsidRDefault="00E9008A" w:rsidP="00E9008A">
      <w:pPr>
        <w:pStyle w:val="Textodocorpo20"/>
        <w:numPr>
          <w:ilvl w:val="0"/>
          <w:numId w:val="43"/>
        </w:numPr>
        <w:shd w:val="clear" w:color="auto" w:fill="auto"/>
        <w:spacing w:before="0" w:line="276" w:lineRule="auto"/>
        <w:rPr>
          <w:rFonts w:ascii="Times New Roman" w:hAnsi="Times New Roman" w:cs="Times New Roman"/>
          <w:i/>
          <w:sz w:val="22"/>
          <w:szCs w:val="22"/>
        </w:rPr>
      </w:pPr>
      <w:r w:rsidRPr="009752FC">
        <w:rPr>
          <w:rFonts w:ascii="Times New Roman" w:hAnsi="Times New Roman" w:cs="Times New Roman"/>
          <w:i/>
          <w:sz w:val="22"/>
          <w:szCs w:val="22"/>
        </w:rPr>
        <w:t>IFRS 15 Receitas de contratos com clientes</w:t>
      </w: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r w:rsidRPr="009752FC">
        <w:rPr>
          <w:rFonts w:ascii="Times New Roman" w:hAnsi="Times New Roman" w:cs="Times New Roman"/>
          <w:sz w:val="22"/>
          <w:szCs w:val="22"/>
        </w:rPr>
        <w:t xml:space="preserve">O </w:t>
      </w:r>
      <w:r w:rsidRPr="009752FC">
        <w:rPr>
          <w:rFonts w:ascii="Times New Roman" w:hAnsi="Times New Roman" w:cs="Times New Roman"/>
          <w:i/>
          <w:sz w:val="22"/>
          <w:szCs w:val="22"/>
        </w:rPr>
        <w:t>IFRS 15</w:t>
      </w:r>
      <w:r w:rsidRPr="009752FC">
        <w:rPr>
          <w:rFonts w:ascii="Times New Roman" w:hAnsi="Times New Roman" w:cs="Times New Roman"/>
          <w:sz w:val="22"/>
          <w:szCs w:val="22"/>
        </w:rPr>
        <w:t xml:space="preserve"> estará vigente para exercícios findos a partir de 1° de janeiro de 2018. Esta nova norma contém significativamente mais orientações e requerimentos em comparação às normas e interpretações existentes. Na nova norma, a receita deverá ser reconhecida levando-se em consideração os cinco critérios a seguir que precisam ser atendidos de forma cumulativa: (i) identificar o contrato; (</w:t>
      </w:r>
      <w:proofErr w:type="spellStart"/>
      <w:r w:rsidRPr="009752FC">
        <w:rPr>
          <w:rFonts w:ascii="Times New Roman" w:hAnsi="Times New Roman" w:cs="Times New Roman"/>
          <w:sz w:val="22"/>
          <w:szCs w:val="22"/>
        </w:rPr>
        <w:t>ii</w:t>
      </w:r>
      <w:proofErr w:type="spellEnd"/>
      <w:r w:rsidRPr="009752FC">
        <w:rPr>
          <w:rFonts w:ascii="Times New Roman" w:hAnsi="Times New Roman" w:cs="Times New Roman"/>
          <w:sz w:val="22"/>
          <w:szCs w:val="22"/>
        </w:rPr>
        <w:t>) identificar as obrigações de “performance”; (</w:t>
      </w:r>
      <w:proofErr w:type="spellStart"/>
      <w:r w:rsidRPr="009752FC">
        <w:rPr>
          <w:rFonts w:ascii="Times New Roman" w:hAnsi="Times New Roman" w:cs="Times New Roman"/>
          <w:sz w:val="22"/>
          <w:szCs w:val="22"/>
        </w:rPr>
        <w:t>iii</w:t>
      </w:r>
      <w:proofErr w:type="spellEnd"/>
      <w:r w:rsidRPr="009752FC">
        <w:rPr>
          <w:rFonts w:ascii="Times New Roman" w:hAnsi="Times New Roman" w:cs="Times New Roman"/>
          <w:sz w:val="22"/>
          <w:szCs w:val="22"/>
        </w:rPr>
        <w:t>) determinar o preço da transação; (</w:t>
      </w:r>
      <w:proofErr w:type="spellStart"/>
      <w:r w:rsidRPr="009752FC">
        <w:rPr>
          <w:rFonts w:ascii="Times New Roman" w:hAnsi="Times New Roman" w:cs="Times New Roman"/>
          <w:sz w:val="22"/>
          <w:szCs w:val="22"/>
        </w:rPr>
        <w:t>iv</w:t>
      </w:r>
      <w:proofErr w:type="spellEnd"/>
      <w:r w:rsidRPr="009752FC">
        <w:rPr>
          <w:rFonts w:ascii="Times New Roman" w:hAnsi="Times New Roman" w:cs="Times New Roman"/>
          <w:sz w:val="22"/>
          <w:szCs w:val="22"/>
        </w:rPr>
        <w:t>) alocar o preço da transação para cada obrigação de “performance”; e (v) reconhecer a receita somente quando cada obrigação de “performance” for satisfeita. A adoção desta nova norma pode resultar no fato de que em muitas entidades o momento e a natureza do reconhecimento de receita deverão ser modificados.</w:t>
      </w:r>
    </w:p>
    <w:p w:rsidR="00E9008A" w:rsidRPr="009752FC" w:rsidRDefault="00E9008A" w:rsidP="00E9008A">
      <w:pPr>
        <w:pStyle w:val="Textodocorpo20"/>
        <w:shd w:val="clear" w:color="auto" w:fill="auto"/>
        <w:spacing w:before="0" w:line="276" w:lineRule="auto"/>
        <w:ind w:left="426"/>
        <w:rPr>
          <w:rFonts w:ascii="Times New Roman" w:hAnsi="Times New Roman" w:cs="Times New Roman"/>
          <w:sz w:val="22"/>
          <w:szCs w:val="22"/>
        </w:rPr>
      </w:pPr>
    </w:p>
    <w:p w:rsidR="00E9008A" w:rsidRPr="009752FC" w:rsidRDefault="00E9008A" w:rsidP="00E9008A">
      <w:pPr>
        <w:pStyle w:val="Textodocorpo20"/>
        <w:numPr>
          <w:ilvl w:val="0"/>
          <w:numId w:val="43"/>
        </w:numPr>
        <w:shd w:val="clear" w:color="auto" w:fill="auto"/>
        <w:spacing w:before="0" w:line="276" w:lineRule="auto"/>
        <w:rPr>
          <w:rFonts w:ascii="Times New Roman" w:hAnsi="Times New Roman" w:cs="Times New Roman"/>
          <w:i/>
          <w:sz w:val="22"/>
          <w:szCs w:val="22"/>
        </w:rPr>
      </w:pPr>
      <w:r w:rsidRPr="009752FC">
        <w:rPr>
          <w:rFonts w:ascii="Times New Roman" w:hAnsi="Times New Roman" w:cs="Times New Roman"/>
          <w:i/>
          <w:sz w:val="22"/>
          <w:szCs w:val="22"/>
        </w:rPr>
        <w:t>IFRS 16 Arrendamento</w:t>
      </w: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r w:rsidRPr="009752FC">
        <w:rPr>
          <w:rFonts w:ascii="Times New Roman" w:hAnsi="Times New Roman" w:cs="Times New Roman"/>
          <w:sz w:val="22"/>
          <w:szCs w:val="22"/>
        </w:rPr>
        <w:t xml:space="preserve">O </w:t>
      </w:r>
      <w:r w:rsidRPr="009752FC">
        <w:rPr>
          <w:rFonts w:ascii="Times New Roman" w:hAnsi="Times New Roman" w:cs="Times New Roman"/>
          <w:i/>
          <w:sz w:val="22"/>
          <w:szCs w:val="22"/>
        </w:rPr>
        <w:t>IFRS 16</w:t>
      </w:r>
      <w:r w:rsidRPr="009752FC">
        <w:rPr>
          <w:rFonts w:ascii="Times New Roman" w:hAnsi="Times New Roman" w:cs="Times New Roman"/>
          <w:sz w:val="22"/>
          <w:szCs w:val="22"/>
        </w:rPr>
        <w:t xml:space="preserve"> estará vigente para exercícios findos a partir de 1° de janeiro de 2019.  </w:t>
      </w:r>
      <w:proofErr w:type="spellStart"/>
      <w:r w:rsidRPr="009752FC">
        <w:rPr>
          <w:rFonts w:ascii="Times New Roman" w:hAnsi="Times New Roman" w:cs="Times New Roman"/>
          <w:sz w:val="22"/>
          <w:szCs w:val="22"/>
          <w:lang w:val="en-US"/>
        </w:rPr>
        <w:t>Esta</w:t>
      </w:r>
      <w:proofErr w:type="spellEnd"/>
      <w:r w:rsidRPr="009752FC">
        <w:rPr>
          <w:rFonts w:ascii="Times New Roman" w:hAnsi="Times New Roman" w:cs="Times New Roman"/>
          <w:sz w:val="22"/>
          <w:szCs w:val="22"/>
          <w:lang w:val="en-US"/>
        </w:rPr>
        <w:t xml:space="preserve"> nova </w:t>
      </w:r>
      <w:proofErr w:type="spellStart"/>
      <w:r w:rsidRPr="009752FC">
        <w:rPr>
          <w:rFonts w:ascii="Times New Roman" w:hAnsi="Times New Roman" w:cs="Times New Roman"/>
          <w:sz w:val="22"/>
          <w:szCs w:val="22"/>
          <w:lang w:val="en-US"/>
        </w:rPr>
        <w:t>norma</w:t>
      </w:r>
      <w:proofErr w:type="spellEnd"/>
      <w:r w:rsidRPr="009752FC">
        <w:rPr>
          <w:rFonts w:ascii="Times New Roman" w:hAnsi="Times New Roman" w:cs="Times New Roman"/>
          <w:sz w:val="22"/>
          <w:szCs w:val="22"/>
          <w:lang w:val="en-US"/>
        </w:rPr>
        <w:t xml:space="preserve"> </w:t>
      </w:r>
      <w:proofErr w:type="spellStart"/>
      <w:r w:rsidRPr="009752FC">
        <w:rPr>
          <w:rFonts w:ascii="Times New Roman" w:hAnsi="Times New Roman" w:cs="Times New Roman"/>
          <w:sz w:val="22"/>
          <w:szCs w:val="22"/>
          <w:lang w:val="en-US"/>
        </w:rPr>
        <w:t>substitui</w:t>
      </w:r>
      <w:proofErr w:type="spellEnd"/>
      <w:r w:rsidRPr="009752FC">
        <w:rPr>
          <w:rFonts w:ascii="Times New Roman" w:hAnsi="Times New Roman" w:cs="Times New Roman"/>
          <w:sz w:val="22"/>
          <w:szCs w:val="22"/>
          <w:lang w:val="en-US"/>
        </w:rPr>
        <w:t xml:space="preserve"> </w:t>
      </w:r>
      <w:r w:rsidRPr="009752FC">
        <w:rPr>
          <w:rFonts w:ascii="Times New Roman" w:hAnsi="Times New Roman" w:cs="Times New Roman"/>
          <w:sz w:val="22"/>
          <w:szCs w:val="22"/>
          <w:lang w:val="en-GB"/>
        </w:rPr>
        <w:t xml:space="preserve">IAS 17 </w:t>
      </w:r>
      <w:r w:rsidRPr="009752FC">
        <w:rPr>
          <w:rFonts w:ascii="Times New Roman" w:hAnsi="Times New Roman" w:cs="Times New Roman"/>
          <w:i/>
          <w:sz w:val="22"/>
          <w:szCs w:val="22"/>
          <w:lang w:val="en-GB"/>
        </w:rPr>
        <w:t>Leases</w:t>
      </w:r>
      <w:r w:rsidRPr="009752FC">
        <w:rPr>
          <w:rFonts w:ascii="Times New Roman" w:hAnsi="Times New Roman" w:cs="Times New Roman"/>
          <w:sz w:val="22"/>
          <w:szCs w:val="22"/>
          <w:lang w:val="en-GB"/>
        </w:rPr>
        <w:t xml:space="preserve">, IFRIC 4 </w:t>
      </w:r>
      <w:r w:rsidRPr="009752FC">
        <w:rPr>
          <w:rFonts w:ascii="Times New Roman" w:hAnsi="Times New Roman" w:cs="Times New Roman"/>
          <w:i/>
          <w:sz w:val="22"/>
          <w:szCs w:val="22"/>
          <w:lang w:val="en-GB"/>
        </w:rPr>
        <w:t>Determining whether an Arrangement contains a Lease</w:t>
      </w:r>
      <w:r w:rsidRPr="009752FC">
        <w:rPr>
          <w:rFonts w:ascii="Times New Roman" w:hAnsi="Times New Roman" w:cs="Times New Roman"/>
          <w:sz w:val="22"/>
          <w:szCs w:val="22"/>
          <w:lang w:val="en-GB"/>
        </w:rPr>
        <w:t xml:space="preserve">, SIC-15 </w:t>
      </w:r>
      <w:r w:rsidRPr="009752FC">
        <w:rPr>
          <w:rFonts w:ascii="Times New Roman" w:hAnsi="Times New Roman" w:cs="Times New Roman"/>
          <w:i/>
          <w:sz w:val="22"/>
          <w:szCs w:val="22"/>
          <w:lang w:val="en-GB"/>
        </w:rPr>
        <w:t>Operating Leases – Incentives</w:t>
      </w:r>
      <w:r w:rsidRPr="009752FC">
        <w:rPr>
          <w:rFonts w:ascii="Times New Roman" w:hAnsi="Times New Roman" w:cs="Times New Roman"/>
          <w:sz w:val="22"/>
          <w:szCs w:val="22"/>
          <w:lang w:val="en-GB"/>
        </w:rPr>
        <w:t xml:space="preserve"> e SIC-27 </w:t>
      </w:r>
      <w:r w:rsidRPr="009752FC">
        <w:rPr>
          <w:rFonts w:ascii="Times New Roman" w:hAnsi="Times New Roman" w:cs="Times New Roman"/>
          <w:i/>
          <w:sz w:val="22"/>
          <w:szCs w:val="22"/>
          <w:lang w:val="en-GB"/>
        </w:rPr>
        <w:t>Evaluating the Substance of Transactions Involving the Legal Form of a Lease</w:t>
      </w:r>
      <w:r w:rsidRPr="009752FC">
        <w:rPr>
          <w:rFonts w:ascii="Times New Roman" w:hAnsi="Times New Roman" w:cs="Times New Roman"/>
          <w:sz w:val="22"/>
          <w:szCs w:val="22"/>
          <w:lang w:val="en-GB"/>
        </w:rPr>
        <w:t xml:space="preserve">. </w:t>
      </w:r>
      <w:r w:rsidRPr="009752FC">
        <w:rPr>
          <w:rFonts w:ascii="Times New Roman" w:hAnsi="Times New Roman" w:cs="Times New Roman"/>
          <w:sz w:val="22"/>
          <w:szCs w:val="22"/>
        </w:rPr>
        <w:t xml:space="preserve">Os requerimentos de contabilização para os arrendadores permanecem substancialmente os mesmos em comparação às normas atualmente vigentes. Entretanto, há alterações significativas para os arrendatários na medida em que o </w:t>
      </w:r>
      <w:r w:rsidRPr="009752FC">
        <w:rPr>
          <w:rFonts w:ascii="Times New Roman" w:hAnsi="Times New Roman" w:cs="Times New Roman"/>
          <w:i/>
          <w:sz w:val="22"/>
          <w:szCs w:val="22"/>
        </w:rPr>
        <w:t>IFRS 16</w:t>
      </w:r>
      <w:r w:rsidRPr="009752FC">
        <w:rPr>
          <w:rFonts w:ascii="Times New Roman" w:hAnsi="Times New Roman" w:cs="Times New Roman"/>
          <w:sz w:val="22"/>
          <w:szCs w:val="22"/>
        </w:rPr>
        <w:t xml:space="preserve"> determina um modelo único apenas </w:t>
      </w:r>
      <w:r w:rsidRPr="009752FC">
        <w:rPr>
          <w:rFonts w:ascii="Times New Roman" w:hAnsi="Times New Roman" w:cs="Times New Roman"/>
          <w:sz w:val="22"/>
          <w:szCs w:val="22"/>
        </w:rPr>
        <w:lastRenderedPageBreak/>
        <w:t>para os arrendatários ao eliminar a distinção entre arrendamento financeiro e operacional de forma a resultar em um balanço patrimonial refletindo um “direito de uso” dos ativos e um correspondente passivo financeiro. Assim, para muitas entidades o efeito de registrar todas as operações de leasing no balanço patrimonial poderá ser muito significativo.</w:t>
      </w: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p>
    <w:p w:rsidR="00E9008A" w:rsidRPr="009752FC" w:rsidRDefault="00E9008A" w:rsidP="00E9008A">
      <w:pPr>
        <w:pStyle w:val="Textodocorpo20"/>
        <w:numPr>
          <w:ilvl w:val="0"/>
          <w:numId w:val="43"/>
        </w:numPr>
        <w:shd w:val="clear" w:color="auto" w:fill="auto"/>
        <w:spacing w:before="0" w:line="276" w:lineRule="auto"/>
        <w:rPr>
          <w:rFonts w:ascii="Times New Roman" w:hAnsi="Times New Roman" w:cs="Times New Roman"/>
          <w:i/>
          <w:sz w:val="22"/>
          <w:szCs w:val="22"/>
        </w:rPr>
      </w:pPr>
      <w:r w:rsidRPr="009752FC">
        <w:rPr>
          <w:rFonts w:ascii="Times New Roman" w:hAnsi="Times New Roman" w:cs="Times New Roman"/>
          <w:i/>
          <w:sz w:val="22"/>
          <w:szCs w:val="22"/>
        </w:rPr>
        <w:t>IAS 7 Demonstração de fluxos de caixa – Alterações à IAS 7 (Vigência a partir de 01/01/2017)</w:t>
      </w:r>
    </w:p>
    <w:p w:rsidR="00E9008A" w:rsidRPr="009752FC" w:rsidRDefault="00E9008A" w:rsidP="00E9008A">
      <w:pPr>
        <w:pStyle w:val="m-194866399670516267msolistparagraph"/>
        <w:autoSpaceDE w:val="0"/>
        <w:autoSpaceDN w:val="0"/>
        <w:spacing w:before="0" w:beforeAutospacing="0" w:after="0" w:afterAutospacing="0"/>
        <w:jc w:val="both"/>
        <w:rPr>
          <w:sz w:val="22"/>
          <w:szCs w:val="22"/>
        </w:rPr>
      </w:pPr>
      <w:r w:rsidRPr="009752FC">
        <w:rPr>
          <w:sz w:val="22"/>
          <w:szCs w:val="22"/>
        </w:rPr>
        <w:t> </w:t>
      </w:r>
    </w:p>
    <w:p w:rsidR="00E9008A" w:rsidRPr="009752FC" w:rsidRDefault="00E9008A" w:rsidP="00E9008A">
      <w:pPr>
        <w:pStyle w:val="m-194866399670516267msolistparagraph"/>
        <w:autoSpaceDE w:val="0"/>
        <w:autoSpaceDN w:val="0"/>
        <w:spacing w:before="0" w:beforeAutospacing="0" w:after="0" w:afterAutospacing="0"/>
        <w:jc w:val="both"/>
        <w:rPr>
          <w:sz w:val="22"/>
          <w:szCs w:val="22"/>
        </w:rPr>
      </w:pPr>
      <w:r w:rsidRPr="009752FC">
        <w:rPr>
          <w:sz w:val="22"/>
          <w:szCs w:val="22"/>
        </w:rPr>
        <w:t>Fornecer divulgações que permitam aos usuários das demonstrações financeiras avaliarem as mudanças nos passivos decorrentes de atividades de financiamento, incluindo tanto as mudanças provenientes de fluxos de caixa como mudanças que não afetam o caixa. Na adoção inicial da alteração, as entidades não são obrigadas a fornecer informações comparativas relativamente a períodos anteriores.</w:t>
      </w:r>
    </w:p>
    <w:p w:rsidR="00E9008A" w:rsidRPr="009752FC" w:rsidRDefault="00E9008A" w:rsidP="00E9008A">
      <w:pPr>
        <w:pStyle w:val="m-194866399670516267msolistparagraph"/>
        <w:autoSpaceDE w:val="0"/>
        <w:autoSpaceDN w:val="0"/>
        <w:spacing w:before="0" w:beforeAutospacing="0" w:after="0" w:afterAutospacing="0"/>
        <w:jc w:val="both"/>
        <w:rPr>
          <w:sz w:val="22"/>
          <w:szCs w:val="22"/>
        </w:rPr>
      </w:pPr>
      <w:r w:rsidRPr="009752FC">
        <w:rPr>
          <w:sz w:val="22"/>
          <w:szCs w:val="22"/>
        </w:rPr>
        <w:t> </w:t>
      </w:r>
    </w:p>
    <w:p w:rsidR="00E9008A" w:rsidRPr="009752FC" w:rsidRDefault="00E9008A" w:rsidP="00E9008A">
      <w:pPr>
        <w:pStyle w:val="Textodocorpo20"/>
        <w:numPr>
          <w:ilvl w:val="0"/>
          <w:numId w:val="43"/>
        </w:numPr>
        <w:shd w:val="clear" w:color="auto" w:fill="auto"/>
        <w:spacing w:before="0" w:line="276" w:lineRule="auto"/>
        <w:rPr>
          <w:rFonts w:ascii="Times New Roman" w:hAnsi="Times New Roman" w:cs="Times New Roman"/>
          <w:i/>
          <w:sz w:val="22"/>
          <w:szCs w:val="22"/>
        </w:rPr>
      </w:pPr>
      <w:r w:rsidRPr="009752FC">
        <w:rPr>
          <w:rFonts w:ascii="Times New Roman" w:hAnsi="Times New Roman" w:cs="Times New Roman"/>
          <w:i/>
          <w:sz w:val="22"/>
          <w:szCs w:val="22"/>
        </w:rPr>
        <w:t>IAS 12 Tributos sobre o lucro - Alterações à IAS 12 (Vigência a partir de 01/01/2017)</w:t>
      </w:r>
    </w:p>
    <w:p w:rsidR="00E9008A" w:rsidRPr="009752FC" w:rsidRDefault="00E9008A" w:rsidP="00E9008A">
      <w:pPr>
        <w:pStyle w:val="m-194866399670516267msolistparagraph"/>
        <w:autoSpaceDE w:val="0"/>
        <w:autoSpaceDN w:val="0"/>
        <w:spacing w:before="0" w:beforeAutospacing="0" w:after="0" w:afterAutospacing="0"/>
        <w:jc w:val="both"/>
        <w:rPr>
          <w:sz w:val="22"/>
          <w:szCs w:val="22"/>
        </w:rPr>
      </w:pPr>
      <w:r w:rsidRPr="009752FC">
        <w:rPr>
          <w:sz w:val="22"/>
          <w:szCs w:val="22"/>
        </w:rPr>
        <w:t> </w:t>
      </w:r>
    </w:p>
    <w:p w:rsidR="00E9008A" w:rsidRPr="009752FC" w:rsidRDefault="00E9008A" w:rsidP="00E9008A">
      <w:pPr>
        <w:pStyle w:val="m-194866399670516267msolistparagraph"/>
        <w:autoSpaceDE w:val="0"/>
        <w:autoSpaceDN w:val="0"/>
        <w:spacing w:before="0" w:beforeAutospacing="0" w:after="0" w:afterAutospacing="0"/>
        <w:jc w:val="both"/>
        <w:rPr>
          <w:sz w:val="22"/>
          <w:szCs w:val="22"/>
        </w:rPr>
      </w:pPr>
      <w:r w:rsidRPr="009752FC">
        <w:rPr>
          <w:sz w:val="22"/>
          <w:szCs w:val="22"/>
        </w:rPr>
        <w:t>Esclarecer que uma entidade deve considerar se a legislação fiscal restringe as fontes de lucros tributáveis contra as quais ela poderá fazer deduções sobre a reversão dessa diferença temporária dedutível. Além disso, fornecem orientações sobre a forma como uma entidade deve determinar lucros tributáveis futuros e explicam as circunstâncias em que o lucro tributável pode incluir a recuperação de alguns ativos por valores maiores do que seu valor contábil. Os possíveis impactos decorrentes da adoção destas normas estão sendo avaliados e serão concluídos até a data de entrada em vigor, se aplicável. Outras normas emitidas não terão impacto na Companhia e em função disso, não estão destacadas acima.</w:t>
      </w:r>
    </w:p>
    <w:p w:rsidR="00E9008A" w:rsidRPr="009752FC" w:rsidRDefault="00E9008A" w:rsidP="00E9008A">
      <w:pPr>
        <w:pStyle w:val="Textodocorpo20"/>
        <w:shd w:val="clear" w:color="auto" w:fill="auto"/>
        <w:spacing w:before="0" w:line="276" w:lineRule="auto"/>
        <w:rPr>
          <w:rFonts w:ascii="Times New Roman" w:hAnsi="Times New Roman" w:cs="Times New Roman"/>
          <w:sz w:val="22"/>
          <w:szCs w:val="22"/>
        </w:rPr>
      </w:pPr>
    </w:p>
    <w:p w:rsidR="00E9008A" w:rsidRPr="009752FC" w:rsidRDefault="00E9008A" w:rsidP="00E9008A">
      <w:pPr>
        <w:pStyle w:val="m-194866399670516267msolistparagraph"/>
        <w:autoSpaceDE w:val="0"/>
        <w:autoSpaceDN w:val="0"/>
        <w:spacing w:before="0" w:beforeAutospacing="0" w:after="0" w:afterAutospacing="0"/>
        <w:jc w:val="both"/>
        <w:rPr>
          <w:sz w:val="22"/>
          <w:szCs w:val="22"/>
        </w:rPr>
      </w:pPr>
      <w:r w:rsidRPr="009752FC">
        <w:rPr>
          <w:sz w:val="22"/>
          <w:szCs w:val="22"/>
        </w:rPr>
        <w:t xml:space="preserve">Os efeitos do IFRS 15 Receitas de contratos com clientes e IFRS 9 Instrumentos Financeiros ainda estão sob análise da administração da Companhia, uma vez que os mesmos poderão gerar impactos significativos nas demonstrações contábeis no futuro. </w:t>
      </w:r>
    </w:p>
    <w:p w:rsidR="00E9008A" w:rsidRPr="005B7D01" w:rsidRDefault="00E9008A" w:rsidP="00B033FB">
      <w:pPr>
        <w:pStyle w:val="Ttulo3"/>
        <w:numPr>
          <w:ilvl w:val="0"/>
          <w:numId w:val="23"/>
        </w:numPr>
        <w:shd w:val="clear" w:color="auto" w:fill="auto"/>
        <w:spacing w:before="240" w:after="240"/>
        <w:ind w:left="780" w:hanging="780"/>
        <w:jc w:val="both"/>
        <w:rPr>
          <w:sz w:val="22"/>
          <w:szCs w:val="22"/>
        </w:rPr>
      </w:pPr>
      <w:r w:rsidRPr="005B7D01">
        <w:rPr>
          <w:sz w:val="22"/>
          <w:szCs w:val="22"/>
        </w:rPr>
        <w:t>REAPRESENTAÇÃO E RECLASSIFICAÇÕES NAS DEMONSTRAÇÕES FINANCEIRAS DE 31 DE DEZEMBRO DE 2015</w:t>
      </w:r>
    </w:p>
    <w:p w:rsidR="00E9008A" w:rsidRPr="00316249" w:rsidRDefault="00E9008A" w:rsidP="00E9008A">
      <w:pPr>
        <w:spacing w:before="240" w:after="240" w:line="252" w:lineRule="auto"/>
        <w:jc w:val="both"/>
        <w:rPr>
          <w:b/>
          <w:sz w:val="22"/>
          <w:szCs w:val="22"/>
        </w:rPr>
      </w:pPr>
      <w:r w:rsidRPr="00316249">
        <w:rPr>
          <w:b/>
          <w:sz w:val="22"/>
          <w:szCs w:val="22"/>
        </w:rPr>
        <w:t>Balanço Patrimonial</w:t>
      </w:r>
    </w:p>
    <w:tbl>
      <w:tblPr>
        <w:tblW w:w="5000" w:type="pct"/>
        <w:tblLayout w:type="fixed"/>
        <w:tblCellMar>
          <w:left w:w="70" w:type="dxa"/>
          <w:right w:w="70" w:type="dxa"/>
        </w:tblCellMar>
        <w:tblLook w:val="04A0" w:firstRow="1" w:lastRow="0" w:firstColumn="1" w:lastColumn="0" w:noHBand="0" w:noVBand="1"/>
      </w:tblPr>
      <w:tblGrid>
        <w:gridCol w:w="3244"/>
        <w:gridCol w:w="973"/>
        <w:gridCol w:w="1041"/>
        <w:gridCol w:w="1039"/>
        <w:gridCol w:w="910"/>
        <w:gridCol w:w="919"/>
        <w:gridCol w:w="1085"/>
      </w:tblGrid>
      <w:tr w:rsidR="00E9008A" w:rsidRPr="00316249" w:rsidTr="005B7D01">
        <w:trPr>
          <w:trHeight w:val="227"/>
          <w:tblHeader/>
        </w:trPr>
        <w:tc>
          <w:tcPr>
            <w:tcW w:w="1761" w:type="pct"/>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E9008A" w:rsidRPr="00316249" w:rsidRDefault="00E9008A" w:rsidP="005B7D01">
            <w:pPr>
              <w:jc w:val="center"/>
              <w:rPr>
                <w:b/>
                <w:bCs/>
                <w:color w:val="000000"/>
                <w:sz w:val="12"/>
                <w:szCs w:val="12"/>
              </w:rPr>
            </w:pPr>
            <w:r w:rsidRPr="00316249">
              <w:rPr>
                <w:b/>
                <w:bCs/>
                <w:color w:val="000000"/>
                <w:sz w:val="12"/>
                <w:szCs w:val="12"/>
              </w:rPr>
              <w:t>Ativo</w:t>
            </w:r>
          </w:p>
        </w:tc>
        <w:tc>
          <w:tcPr>
            <w:tcW w:w="1657"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color w:val="000000"/>
                <w:sz w:val="12"/>
                <w:szCs w:val="12"/>
              </w:rPr>
            </w:pPr>
            <w:r w:rsidRPr="00316249">
              <w:rPr>
                <w:b/>
                <w:color w:val="000000"/>
                <w:sz w:val="12"/>
                <w:szCs w:val="12"/>
              </w:rPr>
              <w:t>Controladora</w:t>
            </w:r>
          </w:p>
        </w:tc>
        <w:tc>
          <w:tcPr>
            <w:tcW w:w="1582"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color w:val="000000"/>
                <w:sz w:val="12"/>
                <w:szCs w:val="12"/>
              </w:rPr>
            </w:pPr>
            <w:r w:rsidRPr="00316249">
              <w:rPr>
                <w:b/>
                <w:color w:val="000000"/>
                <w:sz w:val="12"/>
                <w:szCs w:val="12"/>
              </w:rPr>
              <w:t>Consolidado</w:t>
            </w:r>
          </w:p>
        </w:tc>
      </w:tr>
      <w:tr w:rsidR="00E9008A" w:rsidRPr="00316249" w:rsidTr="005B7D01">
        <w:trPr>
          <w:trHeight w:val="227"/>
          <w:tblHeader/>
        </w:trPr>
        <w:tc>
          <w:tcPr>
            <w:tcW w:w="1761" w:type="pct"/>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2"/>
                <w:szCs w:val="12"/>
              </w:rPr>
            </w:pPr>
          </w:p>
        </w:tc>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r w:rsidRPr="00316249">
              <w:rPr>
                <w:color w:val="000000"/>
                <w:sz w:val="12"/>
                <w:szCs w:val="12"/>
              </w:rPr>
              <w:t>Ajustes</w:t>
            </w:r>
          </w:p>
        </w:tc>
        <w:tc>
          <w:tcPr>
            <w:tcW w:w="564"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c>
          <w:tcPr>
            <w:tcW w:w="494"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r w:rsidRPr="00316249">
              <w:rPr>
                <w:color w:val="000000"/>
                <w:sz w:val="12"/>
                <w:szCs w:val="12"/>
              </w:rPr>
              <w:t>Ajustes</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r>
      <w:tr w:rsidR="00E9008A" w:rsidRPr="00316249" w:rsidTr="005B7D01">
        <w:trPr>
          <w:trHeight w:val="1274"/>
          <w:tblHeader/>
        </w:trPr>
        <w:tc>
          <w:tcPr>
            <w:tcW w:w="1761" w:type="pct"/>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2"/>
                <w:szCs w:val="12"/>
              </w:rPr>
            </w:pPr>
          </w:p>
        </w:tc>
        <w:tc>
          <w:tcPr>
            <w:tcW w:w="52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jc w:val="center"/>
              <w:rPr>
                <w:b/>
                <w:bCs/>
                <w:color w:val="000000"/>
                <w:sz w:val="12"/>
                <w:szCs w:val="12"/>
              </w:rPr>
            </w:pPr>
          </w:p>
        </w:tc>
        <w:tc>
          <w:tcPr>
            <w:tcW w:w="565" w:type="pct"/>
            <w:tcBorders>
              <w:top w:val="single" w:sz="4" w:space="0" w:color="auto"/>
              <w:left w:val="nil"/>
              <w:bottom w:val="single" w:sz="4" w:space="0" w:color="auto"/>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Equivalência Patrimonial</w:t>
            </w:r>
          </w:p>
        </w:tc>
        <w:tc>
          <w:tcPr>
            <w:tcW w:w="564"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jc w:val="center"/>
              <w:rPr>
                <w:b/>
                <w:bCs/>
                <w:color w:val="000000"/>
                <w:sz w:val="12"/>
                <w:szCs w:val="12"/>
              </w:rPr>
            </w:pPr>
          </w:p>
        </w:tc>
        <w:tc>
          <w:tcPr>
            <w:tcW w:w="494"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jc w:val="center"/>
              <w:rPr>
                <w:b/>
                <w:bCs/>
                <w:color w:val="000000"/>
                <w:sz w:val="12"/>
                <w:szCs w:val="12"/>
              </w:rPr>
            </w:pPr>
          </w:p>
        </w:tc>
        <w:tc>
          <w:tcPr>
            <w:tcW w:w="499" w:type="pct"/>
            <w:tcBorders>
              <w:top w:val="nil"/>
              <w:left w:val="single" w:sz="4" w:space="0" w:color="auto"/>
              <w:bottom w:val="single" w:sz="4" w:space="0" w:color="000000"/>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Parcela "A" e Outros Itens Financeiros</w:t>
            </w:r>
          </w:p>
        </w:tc>
        <w:tc>
          <w:tcPr>
            <w:tcW w:w="589"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jc w:val="center"/>
              <w:rPr>
                <w:b/>
                <w:bCs/>
                <w:color w:val="000000"/>
                <w:sz w:val="12"/>
                <w:szCs w:val="12"/>
              </w:rPr>
            </w:pPr>
          </w:p>
        </w:tc>
      </w:tr>
      <w:tr w:rsidR="00E9008A" w:rsidRPr="00316249" w:rsidTr="005B7D01">
        <w:trPr>
          <w:trHeight w:val="227"/>
          <w:tblHeader/>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color w:val="000000"/>
                <w:sz w:val="12"/>
                <w:szCs w:val="12"/>
              </w:rPr>
            </w:pPr>
            <w:r w:rsidRPr="00316249">
              <w:rPr>
                <w:b/>
                <w:bCs/>
                <w:color w:val="000000"/>
                <w:sz w:val="12"/>
                <w:szCs w:val="12"/>
              </w:rPr>
              <w:t> </w:t>
            </w:r>
          </w:p>
        </w:tc>
        <w:tc>
          <w:tcPr>
            <w:tcW w:w="528" w:type="pct"/>
            <w:tcBorders>
              <w:top w:val="nil"/>
              <w:left w:val="nil"/>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p>
        </w:tc>
        <w:tc>
          <w:tcPr>
            <w:tcW w:w="565" w:type="pct"/>
            <w:tcBorders>
              <w:top w:val="single" w:sz="4" w:space="0" w:color="auto"/>
              <w:left w:val="nil"/>
              <w:bottom w:val="single" w:sz="4" w:space="0" w:color="auto"/>
              <w:right w:val="single" w:sz="4" w:space="0" w:color="auto"/>
            </w:tcBorders>
            <w:shd w:val="clear" w:color="000000" w:fill="FFFFFF"/>
            <w:vAlign w:val="center"/>
            <w:hideMark/>
          </w:tcPr>
          <w:p w:rsidR="00E9008A" w:rsidRPr="00316249" w:rsidRDefault="00E9008A" w:rsidP="005B7D01">
            <w:pPr>
              <w:jc w:val="center"/>
              <w:rPr>
                <w:color w:val="000000"/>
                <w:sz w:val="12"/>
                <w:szCs w:val="12"/>
              </w:rPr>
            </w:pPr>
          </w:p>
        </w:tc>
        <w:tc>
          <w:tcPr>
            <w:tcW w:w="564" w:type="pct"/>
            <w:tcBorders>
              <w:top w:val="nil"/>
              <w:left w:val="nil"/>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Circulante</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62"/>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Caixa e Equivalentes de Caixa</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10.083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10.083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78.043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78.043</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Contas a Receber</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10.008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10.008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548.842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548.842</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Depósitos e Bloqueios Judiciais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w:t>
            </w:r>
          </w:p>
        </w:tc>
      </w:tr>
      <w:tr w:rsidR="00E9008A" w:rsidRPr="00316249" w:rsidTr="005B7D01">
        <w:trPr>
          <w:trHeight w:val="58"/>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Estoques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468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468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7.178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7.178</w:t>
            </w:r>
          </w:p>
        </w:tc>
      </w:tr>
      <w:tr w:rsidR="00E9008A" w:rsidRPr="00316249" w:rsidTr="005B7D01">
        <w:trPr>
          <w:trHeight w:val="104"/>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Tributos e Contribuições Compensáveis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2.428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2.428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23.015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23.015</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Valores a Receber de Parcela "A" e Outros Itens Financeiros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554.918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31.243</w:t>
            </w: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586.161</w:t>
            </w:r>
          </w:p>
        </w:tc>
      </w:tr>
      <w:tr w:rsidR="00E9008A" w:rsidRPr="00316249" w:rsidTr="005B7D01">
        <w:trPr>
          <w:trHeight w:val="54"/>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Demais Créditos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9.172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9.172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68.256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68.256</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Ativos não Circulante Mantido para Venda</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275.969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275.969</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Total do Circulante</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32.159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32.159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1.556.221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31.243</w:t>
            </w: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1.587.464</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Não Circulante</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Aplicações Financeiras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6.434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6.434</w:t>
            </w:r>
          </w:p>
        </w:tc>
      </w:tr>
      <w:tr w:rsidR="00E9008A" w:rsidRPr="00316249" w:rsidTr="005B7D01">
        <w:trPr>
          <w:trHeight w:val="6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lastRenderedPageBreak/>
              <w:t>Contas a Receber</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19.636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19.636</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Empréstimos e Financiamentos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Depósitos e Bloqueios Judiciais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824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824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3.095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3.095</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Tributos e Contribuições Compensáveis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8.028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8.028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22.011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22.011</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Ativo Financeiro Indenizável</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27.651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67.721</w:t>
            </w: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95.372</w:t>
            </w:r>
          </w:p>
        </w:tc>
      </w:tr>
      <w:tr w:rsidR="00E9008A" w:rsidRPr="00316249" w:rsidTr="005B7D01">
        <w:trPr>
          <w:trHeight w:val="134"/>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Valores a Receber de Parcela A e Outros Itens Financeiros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127.710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127.710</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Demais Créditos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285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285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22.932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22.932</w:t>
            </w:r>
          </w:p>
        </w:tc>
      </w:tr>
      <w:tr w:rsidR="00E9008A" w:rsidRPr="00316249" w:rsidTr="005B7D01">
        <w:trPr>
          <w:trHeight w:val="98"/>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9.137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9.137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229.469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67.721</w:t>
            </w: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297.190</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Investimentos</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658.143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(39.218)</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618.925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353.750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353.750</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Imobilizado</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15.491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15.491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109.153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109.153</w:t>
            </w:r>
          </w:p>
        </w:tc>
      </w:tr>
      <w:tr w:rsidR="00E9008A" w:rsidRPr="00316249" w:rsidTr="005B7D01">
        <w:trPr>
          <w:trHeight w:val="14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Intangível</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62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62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1.096.135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(67.721)</w:t>
            </w: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1.028.414</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Total do Não Circulante</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682.833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 xml:space="preserve">                (39.218)</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643.615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1.788.507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b/>
                <w:color w:val="000000"/>
                <w:sz w:val="12"/>
                <w:szCs w:val="12"/>
              </w:rPr>
              <w:t>(67.721)</w:t>
            </w: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1.788.507</w:t>
            </w:r>
          </w:p>
        </w:tc>
      </w:tr>
      <w:tr w:rsidR="00E9008A" w:rsidRPr="00316249" w:rsidTr="005B7D01">
        <w:trPr>
          <w:trHeight w:val="9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Total do Ativo</w:t>
            </w:r>
          </w:p>
        </w:tc>
        <w:tc>
          <w:tcPr>
            <w:tcW w:w="52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714.992 </w:t>
            </w:r>
          </w:p>
        </w:tc>
        <w:tc>
          <w:tcPr>
            <w:tcW w:w="565"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 xml:space="preserve">                (39.218)</w:t>
            </w:r>
          </w:p>
        </w:tc>
        <w:tc>
          <w:tcPr>
            <w:tcW w:w="56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675.774 </w:t>
            </w:r>
          </w:p>
        </w:tc>
        <w:tc>
          <w:tcPr>
            <w:tcW w:w="4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3.344.728 </w:t>
            </w:r>
          </w:p>
        </w:tc>
        <w:tc>
          <w:tcPr>
            <w:tcW w:w="49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b/>
                <w:color w:val="000000"/>
                <w:sz w:val="12"/>
                <w:szCs w:val="12"/>
              </w:rPr>
              <w:t>31.243</w:t>
            </w:r>
          </w:p>
        </w:tc>
        <w:tc>
          <w:tcPr>
            <w:tcW w:w="589"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3.375.971</w:t>
            </w:r>
          </w:p>
        </w:tc>
      </w:tr>
    </w:tbl>
    <w:p w:rsidR="007F7D85" w:rsidRDefault="007F7D85" w:rsidP="00E9008A">
      <w:pPr>
        <w:autoSpaceDE w:val="0"/>
        <w:autoSpaceDN w:val="0"/>
        <w:adjustRightInd w:val="0"/>
        <w:jc w:val="both"/>
        <w:rPr>
          <w:sz w:val="22"/>
          <w:szCs w:val="22"/>
        </w:rPr>
      </w:pPr>
    </w:p>
    <w:p w:rsidR="007F7D85" w:rsidRDefault="007F7D85">
      <w:pPr>
        <w:rPr>
          <w:sz w:val="22"/>
          <w:szCs w:val="22"/>
        </w:rPr>
      </w:pPr>
      <w:r>
        <w:rPr>
          <w:sz w:val="22"/>
          <w:szCs w:val="22"/>
        </w:rPr>
        <w:br w:type="page"/>
      </w:r>
    </w:p>
    <w:p w:rsidR="00E9008A" w:rsidRPr="00316249" w:rsidRDefault="00E9008A" w:rsidP="00E9008A">
      <w:pPr>
        <w:autoSpaceDE w:val="0"/>
        <w:autoSpaceDN w:val="0"/>
        <w:adjustRightInd w:val="0"/>
        <w:jc w:val="both"/>
        <w:rPr>
          <w:sz w:val="22"/>
          <w:szCs w:val="22"/>
        </w:rPr>
      </w:pPr>
    </w:p>
    <w:tbl>
      <w:tblPr>
        <w:tblW w:w="5000" w:type="pct"/>
        <w:tblCellMar>
          <w:left w:w="70" w:type="dxa"/>
          <w:right w:w="70" w:type="dxa"/>
        </w:tblCellMar>
        <w:tblLook w:val="04A0" w:firstRow="1" w:lastRow="0" w:firstColumn="1" w:lastColumn="0" w:noHBand="0" w:noVBand="1"/>
      </w:tblPr>
      <w:tblGrid>
        <w:gridCol w:w="3243"/>
        <w:gridCol w:w="905"/>
        <w:gridCol w:w="1094"/>
        <w:gridCol w:w="1102"/>
        <w:gridCol w:w="890"/>
        <w:gridCol w:w="923"/>
        <w:gridCol w:w="1054"/>
      </w:tblGrid>
      <w:tr w:rsidR="00E9008A" w:rsidRPr="00316249" w:rsidTr="005B7D01">
        <w:trPr>
          <w:trHeight w:val="227"/>
          <w:tblHeader/>
        </w:trPr>
        <w:tc>
          <w:tcPr>
            <w:tcW w:w="1761" w:type="pct"/>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E9008A" w:rsidRPr="00316249" w:rsidRDefault="00E9008A" w:rsidP="005B7D01">
            <w:pPr>
              <w:jc w:val="center"/>
              <w:rPr>
                <w:b/>
                <w:bCs/>
                <w:color w:val="000000"/>
                <w:sz w:val="12"/>
                <w:szCs w:val="12"/>
              </w:rPr>
            </w:pPr>
            <w:r w:rsidRPr="00316249">
              <w:rPr>
                <w:b/>
                <w:bCs/>
                <w:color w:val="000000"/>
                <w:sz w:val="12"/>
                <w:szCs w:val="12"/>
              </w:rPr>
              <w:t>Passivo</w:t>
            </w:r>
          </w:p>
        </w:tc>
        <w:tc>
          <w:tcPr>
            <w:tcW w:w="1683"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color w:val="000000"/>
                <w:sz w:val="12"/>
                <w:szCs w:val="12"/>
              </w:rPr>
            </w:pPr>
            <w:r w:rsidRPr="00316249">
              <w:rPr>
                <w:b/>
                <w:color w:val="000000"/>
                <w:sz w:val="12"/>
                <w:szCs w:val="12"/>
              </w:rPr>
              <w:t>Controladora</w:t>
            </w:r>
          </w:p>
        </w:tc>
        <w:tc>
          <w:tcPr>
            <w:tcW w:w="1556"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color w:val="000000"/>
                <w:sz w:val="12"/>
                <w:szCs w:val="12"/>
              </w:rPr>
            </w:pPr>
            <w:r w:rsidRPr="00316249">
              <w:rPr>
                <w:b/>
                <w:color w:val="000000"/>
                <w:sz w:val="12"/>
                <w:szCs w:val="12"/>
              </w:rPr>
              <w:t>Consolidado</w:t>
            </w:r>
          </w:p>
        </w:tc>
      </w:tr>
      <w:tr w:rsidR="00E9008A" w:rsidRPr="00316249" w:rsidTr="005B7D01">
        <w:trPr>
          <w:trHeight w:val="227"/>
          <w:tblHeader/>
        </w:trPr>
        <w:tc>
          <w:tcPr>
            <w:tcW w:w="1761" w:type="pct"/>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jc w:val="center"/>
              <w:rPr>
                <w:b/>
                <w:bCs/>
                <w:color w:val="000000"/>
                <w:sz w:val="12"/>
                <w:szCs w:val="12"/>
              </w:rPr>
            </w:pPr>
          </w:p>
        </w:tc>
        <w:tc>
          <w:tcPr>
            <w:tcW w:w="491"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r w:rsidRPr="00316249">
              <w:rPr>
                <w:color w:val="000000"/>
                <w:sz w:val="12"/>
                <w:szCs w:val="12"/>
              </w:rPr>
              <w:t>Ajustes</w:t>
            </w:r>
          </w:p>
        </w:tc>
        <w:tc>
          <w:tcPr>
            <w:tcW w:w="598"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c>
          <w:tcPr>
            <w:tcW w:w="483"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r w:rsidRPr="00316249">
              <w:rPr>
                <w:color w:val="000000"/>
                <w:sz w:val="12"/>
                <w:szCs w:val="12"/>
              </w:rPr>
              <w:t>Ajustes</w:t>
            </w:r>
          </w:p>
        </w:tc>
        <w:tc>
          <w:tcPr>
            <w:tcW w:w="572" w:type="pct"/>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r>
      <w:tr w:rsidR="00E9008A" w:rsidRPr="00316249" w:rsidTr="005B7D01">
        <w:trPr>
          <w:trHeight w:val="725"/>
          <w:tblHeader/>
        </w:trPr>
        <w:tc>
          <w:tcPr>
            <w:tcW w:w="1761" w:type="pct"/>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2"/>
                <w:szCs w:val="12"/>
              </w:rPr>
            </w:pPr>
          </w:p>
        </w:tc>
        <w:tc>
          <w:tcPr>
            <w:tcW w:w="491"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Equivalência Patrimonial</w:t>
            </w:r>
          </w:p>
        </w:tc>
        <w:tc>
          <w:tcPr>
            <w:tcW w:w="59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jc w:val="center"/>
              <w:rPr>
                <w:b/>
                <w:bCs/>
                <w:color w:val="000000"/>
                <w:sz w:val="12"/>
                <w:szCs w:val="12"/>
              </w:rPr>
            </w:pPr>
          </w:p>
        </w:tc>
        <w:tc>
          <w:tcPr>
            <w:tcW w:w="483"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jc w:val="center"/>
              <w:rPr>
                <w:b/>
                <w:bCs/>
                <w:color w:val="000000"/>
                <w:sz w:val="12"/>
                <w:szCs w:val="12"/>
              </w:rPr>
            </w:pPr>
          </w:p>
        </w:tc>
        <w:tc>
          <w:tcPr>
            <w:tcW w:w="501" w:type="pct"/>
            <w:tcBorders>
              <w:top w:val="nil"/>
              <w:left w:val="single" w:sz="4" w:space="0" w:color="auto"/>
              <w:bottom w:val="single" w:sz="4" w:space="0" w:color="000000"/>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Parcela "A" e Outros Itens Financeiros</w:t>
            </w:r>
          </w:p>
        </w:tc>
        <w:tc>
          <w:tcPr>
            <w:tcW w:w="572"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jc w:val="center"/>
              <w:rPr>
                <w:b/>
                <w:bCs/>
                <w:color w:val="000000"/>
                <w:sz w:val="12"/>
                <w:szCs w:val="12"/>
              </w:rPr>
            </w:pPr>
          </w:p>
        </w:tc>
      </w:tr>
      <w:tr w:rsidR="00E9008A" w:rsidRPr="00316249" w:rsidTr="005B7D01">
        <w:trPr>
          <w:trHeight w:val="126"/>
          <w:tblHeader/>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186"/>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Circulante</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Fornecedores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2.213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2.213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322.035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322.035</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Obrigações Tributárias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1.250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1.250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264.796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264.796</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Contribuição de Iluminação Pública</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135.107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135.107</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Encargos Regulatórios</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118.605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118.605</w:t>
            </w:r>
          </w:p>
        </w:tc>
      </w:tr>
      <w:tr w:rsidR="00E9008A" w:rsidRPr="00316249" w:rsidTr="005B7D01">
        <w:trPr>
          <w:trHeight w:val="84"/>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Debêntures</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16.568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16.568</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Empréstimos e Financiamentos</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55.325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55.325</w:t>
            </w:r>
          </w:p>
        </w:tc>
      </w:tr>
      <w:tr w:rsidR="00E9008A" w:rsidRPr="00316249" w:rsidTr="005B7D01">
        <w:trPr>
          <w:trHeight w:val="74"/>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Obrigações Societárias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18.692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18.692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30.871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30.871</w:t>
            </w:r>
          </w:p>
        </w:tc>
      </w:tr>
      <w:tr w:rsidR="00E9008A" w:rsidRPr="00316249" w:rsidTr="005B7D01">
        <w:trPr>
          <w:trHeight w:val="62"/>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Obrigações Sociais e Trabalhistas (i)</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153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153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40.518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(1.788)</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38.730</w:t>
            </w:r>
          </w:p>
        </w:tc>
      </w:tr>
      <w:tr w:rsidR="00E9008A" w:rsidRPr="00316249" w:rsidTr="005B7D01">
        <w:trPr>
          <w:trHeight w:val="122"/>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Valores a Pagar de Parcela "A" e Outros Itens Financeiros (i)</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279.627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62.903</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342.530</w:t>
            </w:r>
          </w:p>
        </w:tc>
      </w:tr>
      <w:tr w:rsidR="00E9008A" w:rsidRPr="00316249" w:rsidTr="005B7D01">
        <w:trPr>
          <w:trHeight w:val="96"/>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Benefícios Pós Emprego</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69.465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69.465</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rPr>
                <w:color w:val="000000"/>
                <w:sz w:val="12"/>
                <w:szCs w:val="12"/>
              </w:rPr>
            </w:pPr>
            <w:r w:rsidRPr="00316249">
              <w:rPr>
                <w:color w:val="000000"/>
                <w:sz w:val="12"/>
                <w:szCs w:val="12"/>
              </w:rPr>
              <w:t xml:space="preserve">Provisões </w:t>
            </w:r>
            <w:r>
              <w:rPr>
                <w:color w:val="000000"/>
                <w:sz w:val="12"/>
                <w:szCs w:val="12"/>
              </w:rPr>
              <w:t>P</w:t>
            </w:r>
            <w:r w:rsidRPr="00316249">
              <w:rPr>
                <w:color w:val="000000"/>
                <w:sz w:val="12"/>
                <w:szCs w:val="12"/>
              </w:rPr>
              <w:t xml:space="preserve">ara </w:t>
            </w:r>
            <w:r>
              <w:rPr>
                <w:color w:val="000000"/>
                <w:sz w:val="12"/>
                <w:szCs w:val="12"/>
              </w:rPr>
              <w:t>R</w:t>
            </w:r>
            <w:r w:rsidRPr="00316249">
              <w:rPr>
                <w:color w:val="000000"/>
                <w:sz w:val="12"/>
                <w:szCs w:val="12"/>
              </w:rPr>
              <w:t xml:space="preserve">iscos </w:t>
            </w:r>
            <w:r>
              <w:rPr>
                <w:color w:val="000000"/>
                <w:sz w:val="12"/>
                <w:szCs w:val="12"/>
              </w:rPr>
              <w:t>T</w:t>
            </w:r>
            <w:r w:rsidRPr="00316249">
              <w:rPr>
                <w:color w:val="000000"/>
                <w:sz w:val="12"/>
                <w:szCs w:val="12"/>
              </w:rPr>
              <w:t xml:space="preserve">rabalhistas, </w:t>
            </w:r>
            <w:r>
              <w:rPr>
                <w:color w:val="000000"/>
                <w:sz w:val="12"/>
                <w:szCs w:val="12"/>
              </w:rPr>
              <w:t>C</w:t>
            </w:r>
            <w:r w:rsidRPr="00316249">
              <w:rPr>
                <w:color w:val="000000"/>
                <w:sz w:val="12"/>
                <w:szCs w:val="12"/>
              </w:rPr>
              <w:t xml:space="preserve">íveis, </w:t>
            </w:r>
            <w:r>
              <w:rPr>
                <w:color w:val="000000"/>
                <w:sz w:val="12"/>
                <w:szCs w:val="12"/>
              </w:rPr>
              <w:t>Fiscais e R</w:t>
            </w:r>
            <w:r w:rsidRPr="00316249">
              <w:rPr>
                <w:color w:val="000000"/>
                <w:sz w:val="12"/>
                <w:szCs w:val="12"/>
              </w:rPr>
              <w:t>egulatórios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9.168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9.168</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Demais Obrigações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423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423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33.421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33.421</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color w:val="000000"/>
                <w:sz w:val="12"/>
                <w:szCs w:val="12"/>
              </w:rPr>
            </w:pPr>
            <w:r w:rsidRPr="00316249">
              <w:rPr>
                <w:b/>
                <w:color w:val="000000"/>
                <w:sz w:val="12"/>
                <w:szCs w:val="12"/>
              </w:rPr>
              <w:t>Total do Circulante</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22.731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22.731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1.375.506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61.115</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b/>
                <w:bCs/>
                <w:color w:val="000000"/>
                <w:sz w:val="12"/>
                <w:szCs w:val="12"/>
              </w:rPr>
              <w:t>1.436.621</w:t>
            </w:r>
          </w:p>
        </w:tc>
      </w:tr>
      <w:tr w:rsidR="00E9008A" w:rsidRPr="00316249" w:rsidTr="005B7D01">
        <w:trPr>
          <w:trHeight w:val="101"/>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color w:val="000000"/>
                <w:sz w:val="12"/>
                <w:szCs w:val="12"/>
              </w:rPr>
            </w:pP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Não Circulante</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Fornecedores</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25.960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25.960</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Obrigações Tributárias (</w:t>
            </w:r>
            <w:proofErr w:type="spellStart"/>
            <w:r w:rsidRPr="00316249">
              <w:rPr>
                <w:color w:val="000000"/>
                <w:sz w:val="12"/>
                <w:szCs w:val="12"/>
              </w:rPr>
              <w:t>ii</w:t>
            </w:r>
            <w:proofErr w:type="spellEnd"/>
            <w:r w:rsidRPr="00316249">
              <w:rPr>
                <w:color w:val="000000"/>
                <w:sz w:val="12"/>
                <w:szCs w:val="12"/>
              </w:rPr>
              <w:t>)</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97.269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97.269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273.494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9.346</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282.840</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Contribuição de Iluminação Pública</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110.088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110.088</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Debêntures</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112.571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112.571</w:t>
            </w:r>
          </w:p>
        </w:tc>
      </w:tr>
      <w:tr w:rsidR="00E9008A" w:rsidRPr="00316249" w:rsidTr="005B7D01">
        <w:trPr>
          <w:trHeight w:val="72"/>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Empréstimos e Financiamentos</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223.619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223.619</w:t>
            </w:r>
          </w:p>
        </w:tc>
      </w:tr>
      <w:tr w:rsidR="00E9008A" w:rsidRPr="00316249" w:rsidTr="005B7D01">
        <w:trPr>
          <w:trHeight w:val="74"/>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Benefícios Pós Emprego</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21.626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21.626</w:t>
            </w:r>
          </w:p>
        </w:tc>
      </w:tr>
      <w:tr w:rsidR="00E9008A" w:rsidRPr="00316249" w:rsidTr="005B7D01">
        <w:trPr>
          <w:trHeight w:val="74"/>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Encargos Regulatórios</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182.269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182.269</w:t>
            </w:r>
          </w:p>
        </w:tc>
      </w:tr>
      <w:tr w:rsidR="00E9008A" w:rsidRPr="00316249" w:rsidTr="005B7D01">
        <w:trPr>
          <w:trHeight w:val="76"/>
        </w:trPr>
        <w:tc>
          <w:tcPr>
            <w:tcW w:w="1761" w:type="pc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rPr>
                <w:color w:val="000000"/>
                <w:sz w:val="12"/>
                <w:szCs w:val="12"/>
              </w:rPr>
            </w:pPr>
            <w:r w:rsidRPr="00316249">
              <w:rPr>
                <w:color w:val="000000"/>
                <w:sz w:val="12"/>
                <w:szCs w:val="12"/>
              </w:rPr>
              <w:t xml:space="preserve">Provisões </w:t>
            </w:r>
            <w:r>
              <w:rPr>
                <w:color w:val="000000"/>
                <w:sz w:val="12"/>
                <w:szCs w:val="12"/>
              </w:rPr>
              <w:t>P</w:t>
            </w:r>
            <w:r w:rsidRPr="00316249">
              <w:rPr>
                <w:color w:val="000000"/>
                <w:sz w:val="12"/>
                <w:szCs w:val="12"/>
              </w:rPr>
              <w:t xml:space="preserve">ara </w:t>
            </w:r>
            <w:r>
              <w:rPr>
                <w:color w:val="000000"/>
                <w:sz w:val="12"/>
                <w:szCs w:val="12"/>
              </w:rPr>
              <w:t>R</w:t>
            </w:r>
            <w:r w:rsidRPr="00316249">
              <w:rPr>
                <w:color w:val="000000"/>
                <w:sz w:val="12"/>
                <w:szCs w:val="12"/>
              </w:rPr>
              <w:t xml:space="preserve">iscos </w:t>
            </w:r>
            <w:r>
              <w:rPr>
                <w:color w:val="000000"/>
                <w:sz w:val="12"/>
                <w:szCs w:val="12"/>
              </w:rPr>
              <w:t>Trabalhistas, Cíveis, F</w:t>
            </w:r>
            <w:r w:rsidRPr="00316249">
              <w:rPr>
                <w:color w:val="000000"/>
                <w:sz w:val="12"/>
                <w:szCs w:val="12"/>
              </w:rPr>
              <w:t xml:space="preserve">iscais e </w:t>
            </w:r>
            <w:r>
              <w:rPr>
                <w:color w:val="000000"/>
                <w:sz w:val="12"/>
                <w:szCs w:val="12"/>
              </w:rPr>
              <w:t>R</w:t>
            </w:r>
            <w:r w:rsidRPr="00316249">
              <w:rPr>
                <w:color w:val="000000"/>
                <w:sz w:val="12"/>
                <w:szCs w:val="12"/>
              </w:rPr>
              <w:t>egulatórios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8.356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8.356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69.399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69.399</w:t>
            </w:r>
          </w:p>
        </w:tc>
      </w:tr>
      <w:tr w:rsidR="00E9008A" w:rsidRPr="00316249" w:rsidTr="005B7D01">
        <w:trPr>
          <w:trHeight w:val="64"/>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Obrigações Vinculadas a Concessão</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117.546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117.546</w:t>
            </w:r>
          </w:p>
        </w:tc>
      </w:tr>
      <w:tr w:rsidR="00E9008A" w:rsidRPr="00316249" w:rsidTr="005B7D01">
        <w:trPr>
          <w:trHeight w:val="52"/>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Demais Obrigações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11.829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11.829</w:t>
            </w:r>
          </w:p>
        </w:tc>
      </w:tr>
      <w:tr w:rsidR="00E9008A" w:rsidRPr="00316249" w:rsidTr="005B7D01">
        <w:trPr>
          <w:trHeight w:val="54"/>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b/>
                <w:color w:val="000000"/>
                <w:sz w:val="12"/>
                <w:szCs w:val="12"/>
              </w:rPr>
              <w:t xml:space="preserve">Total do </w:t>
            </w:r>
            <w:r w:rsidRPr="00316249">
              <w:rPr>
                <w:b/>
                <w:bCs/>
                <w:color w:val="000000"/>
                <w:sz w:val="12"/>
                <w:szCs w:val="12"/>
              </w:rPr>
              <w:t>Não Circulante</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105.625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105.625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1.148.401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9.346</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1.157.747</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88"/>
        </w:trPr>
        <w:tc>
          <w:tcPr>
            <w:tcW w:w="1761" w:type="pc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rPr>
                <w:b/>
                <w:bCs/>
                <w:color w:val="000000"/>
                <w:sz w:val="12"/>
                <w:szCs w:val="12"/>
              </w:rPr>
            </w:pPr>
            <w:r w:rsidRPr="00316249">
              <w:rPr>
                <w:b/>
                <w:bCs/>
                <w:color w:val="000000"/>
                <w:sz w:val="12"/>
                <w:szCs w:val="12"/>
              </w:rPr>
              <w:t>Patrimônio Líquido</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76"/>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Capital Social</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566.025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566.025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566.025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566.025</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Ajuste de Avaliação Patrimonial</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206.815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206.815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206.815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206.815</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color w:val="000000"/>
                <w:sz w:val="12"/>
                <w:szCs w:val="12"/>
              </w:rPr>
            </w:pPr>
            <w:r w:rsidRPr="00316249">
              <w:rPr>
                <w:color w:val="000000"/>
                <w:sz w:val="12"/>
                <w:szCs w:val="12"/>
              </w:rPr>
              <w:t>Prejuízos Acumulados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(186.204)</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(39.218)</w:t>
            </w:r>
          </w:p>
        </w:tc>
        <w:tc>
          <w:tcPr>
            <w:tcW w:w="598" w:type="pct"/>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color w:val="000000"/>
                <w:sz w:val="12"/>
                <w:szCs w:val="12"/>
              </w:rPr>
            </w:pPr>
            <w:r w:rsidRPr="00316249">
              <w:rPr>
                <w:color w:val="000000"/>
                <w:sz w:val="12"/>
                <w:szCs w:val="12"/>
              </w:rPr>
              <w:t>(225.422)</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xml:space="preserve">       (186.204)</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(39.218)</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(225.422)</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Atribuível a</w:t>
            </w:r>
            <w:r>
              <w:rPr>
                <w:b/>
                <w:bCs/>
                <w:color w:val="000000"/>
                <w:sz w:val="12"/>
                <w:szCs w:val="12"/>
              </w:rPr>
              <w:t>o</w:t>
            </w:r>
            <w:r w:rsidRPr="00316249">
              <w:rPr>
                <w:b/>
                <w:bCs/>
                <w:color w:val="000000"/>
                <w:sz w:val="12"/>
                <w:szCs w:val="12"/>
              </w:rPr>
              <w:t xml:space="preserve"> </w:t>
            </w:r>
            <w:r>
              <w:rPr>
                <w:b/>
                <w:bCs/>
                <w:color w:val="000000"/>
                <w:sz w:val="12"/>
                <w:szCs w:val="12"/>
              </w:rPr>
              <w:t>A</w:t>
            </w:r>
            <w:r w:rsidRPr="00316249">
              <w:rPr>
                <w:b/>
                <w:bCs/>
                <w:color w:val="000000"/>
                <w:sz w:val="12"/>
                <w:szCs w:val="12"/>
              </w:rPr>
              <w:t xml:space="preserve">cionista </w:t>
            </w:r>
            <w:r>
              <w:rPr>
                <w:b/>
                <w:bCs/>
                <w:color w:val="000000"/>
                <w:sz w:val="12"/>
                <w:szCs w:val="12"/>
              </w:rPr>
              <w:t>C</w:t>
            </w:r>
            <w:r w:rsidRPr="00316249">
              <w:rPr>
                <w:b/>
                <w:bCs/>
                <w:color w:val="000000"/>
                <w:sz w:val="12"/>
                <w:szCs w:val="12"/>
              </w:rPr>
              <w:t>ontrolador</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586.636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color w:val="000000"/>
                <w:sz w:val="12"/>
                <w:szCs w:val="12"/>
              </w:rPr>
              <w:t xml:space="preserve">                (39.218)</w:t>
            </w:r>
          </w:p>
        </w:tc>
        <w:tc>
          <w:tcPr>
            <w:tcW w:w="598" w:type="pct"/>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b/>
                <w:color w:val="000000"/>
                <w:sz w:val="12"/>
                <w:szCs w:val="12"/>
              </w:rPr>
            </w:pPr>
            <w:r w:rsidRPr="00316249">
              <w:rPr>
                <w:b/>
                <w:color w:val="000000"/>
                <w:sz w:val="12"/>
                <w:szCs w:val="12"/>
              </w:rPr>
              <w:t>547.418</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586.636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b/>
                <w:color w:val="000000"/>
                <w:sz w:val="12"/>
                <w:szCs w:val="12"/>
              </w:rPr>
              <w:t>(39.218)</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547.418</w:t>
            </w:r>
          </w:p>
        </w:tc>
      </w:tr>
      <w:tr w:rsidR="00E9008A" w:rsidRPr="00316249" w:rsidTr="005B7D01">
        <w:trPr>
          <w:trHeight w:val="126"/>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 xml:space="preserve">Atribuível aos </w:t>
            </w:r>
            <w:r>
              <w:rPr>
                <w:b/>
                <w:bCs/>
                <w:color w:val="000000"/>
                <w:sz w:val="12"/>
                <w:szCs w:val="12"/>
              </w:rPr>
              <w:t>A</w:t>
            </w:r>
            <w:r w:rsidRPr="00316249">
              <w:rPr>
                <w:b/>
                <w:bCs/>
                <w:color w:val="000000"/>
                <w:sz w:val="12"/>
                <w:szCs w:val="12"/>
              </w:rPr>
              <w:t xml:space="preserve">cionistas </w:t>
            </w:r>
            <w:r>
              <w:rPr>
                <w:b/>
                <w:bCs/>
                <w:color w:val="000000"/>
                <w:sz w:val="12"/>
                <w:szCs w:val="12"/>
              </w:rPr>
              <w:t>Não C</w:t>
            </w:r>
            <w:r w:rsidRPr="00316249">
              <w:rPr>
                <w:b/>
                <w:bCs/>
                <w:color w:val="000000"/>
                <w:sz w:val="12"/>
                <w:szCs w:val="12"/>
              </w:rPr>
              <w:t>ontroladores</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234.185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234.185</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Total do Patrimônio Líquido</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586.636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color w:val="000000"/>
                <w:sz w:val="12"/>
                <w:szCs w:val="12"/>
              </w:rPr>
              <w:t xml:space="preserve">                (39.218)</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547.418</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820.821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b/>
                <w:color w:val="000000"/>
                <w:sz w:val="12"/>
                <w:szCs w:val="12"/>
              </w:rPr>
              <w:t>(39.218)</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781.603</w:t>
            </w: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491"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4"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98"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483" w:type="pct"/>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p>
        </w:tc>
      </w:tr>
      <w:tr w:rsidR="00E9008A" w:rsidRPr="00316249" w:rsidTr="005B7D01">
        <w:trPr>
          <w:trHeight w:val="50"/>
        </w:trPr>
        <w:tc>
          <w:tcPr>
            <w:tcW w:w="1761"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color w:val="000000"/>
                <w:sz w:val="12"/>
                <w:szCs w:val="12"/>
              </w:rPr>
            </w:pPr>
            <w:r w:rsidRPr="00316249">
              <w:rPr>
                <w:b/>
                <w:bCs/>
                <w:color w:val="000000"/>
                <w:sz w:val="12"/>
                <w:szCs w:val="12"/>
              </w:rPr>
              <w:t>Total do Passivo</w:t>
            </w:r>
          </w:p>
        </w:tc>
        <w:tc>
          <w:tcPr>
            <w:tcW w:w="49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714.992 </w:t>
            </w:r>
          </w:p>
        </w:tc>
        <w:tc>
          <w:tcPr>
            <w:tcW w:w="594"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color w:val="000000"/>
                <w:sz w:val="12"/>
                <w:szCs w:val="12"/>
              </w:rPr>
              <w:t xml:space="preserve">                (39.218)</w:t>
            </w:r>
          </w:p>
        </w:tc>
        <w:tc>
          <w:tcPr>
            <w:tcW w:w="598"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675.774              </w:t>
            </w:r>
          </w:p>
        </w:tc>
        <w:tc>
          <w:tcPr>
            <w:tcW w:w="483"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color w:val="000000"/>
                <w:sz w:val="12"/>
                <w:szCs w:val="12"/>
              </w:rPr>
            </w:pPr>
            <w:r w:rsidRPr="00316249">
              <w:rPr>
                <w:b/>
                <w:bCs/>
                <w:color w:val="000000"/>
                <w:sz w:val="12"/>
                <w:szCs w:val="12"/>
              </w:rPr>
              <w:t xml:space="preserve">      3.344.728 </w:t>
            </w:r>
          </w:p>
        </w:tc>
        <w:tc>
          <w:tcPr>
            <w:tcW w:w="501"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color w:val="000000"/>
                <w:sz w:val="12"/>
                <w:szCs w:val="12"/>
              </w:rPr>
            </w:pPr>
            <w:r w:rsidRPr="00316249">
              <w:rPr>
                <w:b/>
                <w:color w:val="000000"/>
                <w:sz w:val="12"/>
                <w:szCs w:val="12"/>
              </w:rPr>
              <w:t>31.243</w:t>
            </w:r>
          </w:p>
        </w:tc>
        <w:tc>
          <w:tcPr>
            <w:tcW w:w="572" w:type="pct"/>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color w:val="000000"/>
                <w:sz w:val="12"/>
                <w:szCs w:val="12"/>
              </w:rPr>
            </w:pPr>
            <w:r w:rsidRPr="00316249">
              <w:rPr>
                <w:b/>
                <w:bCs/>
                <w:color w:val="000000"/>
                <w:sz w:val="12"/>
                <w:szCs w:val="12"/>
              </w:rPr>
              <w:t>3.375.971</w:t>
            </w:r>
          </w:p>
        </w:tc>
      </w:tr>
    </w:tbl>
    <w:p w:rsidR="00E9008A" w:rsidRPr="00316249" w:rsidRDefault="00E9008A" w:rsidP="00E9008A">
      <w:pPr>
        <w:spacing w:before="240" w:after="240" w:line="252" w:lineRule="auto"/>
        <w:jc w:val="both"/>
        <w:rPr>
          <w:b/>
          <w:sz w:val="22"/>
          <w:szCs w:val="22"/>
        </w:rPr>
      </w:pPr>
      <w:r w:rsidRPr="00316249">
        <w:rPr>
          <w:b/>
          <w:sz w:val="22"/>
          <w:szCs w:val="22"/>
        </w:rPr>
        <w:t>Demonstração das Mutações do Patrimônio Líquido</w:t>
      </w:r>
    </w:p>
    <w:tbl>
      <w:tblPr>
        <w:tblW w:w="5000" w:type="pct"/>
        <w:tblCellMar>
          <w:left w:w="70" w:type="dxa"/>
          <w:right w:w="70" w:type="dxa"/>
        </w:tblCellMar>
        <w:tblLook w:val="04A0" w:firstRow="1" w:lastRow="0" w:firstColumn="1" w:lastColumn="0" w:noHBand="0" w:noVBand="1"/>
      </w:tblPr>
      <w:tblGrid>
        <w:gridCol w:w="6782"/>
        <w:gridCol w:w="1267"/>
        <w:gridCol w:w="1162"/>
      </w:tblGrid>
      <w:tr w:rsidR="00E9008A" w:rsidRPr="00316249" w:rsidTr="005B7D01">
        <w:trPr>
          <w:trHeight w:val="173"/>
        </w:trPr>
        <w:tc>
          <w:tcPr>
            <w:tcW w:w="368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9008A" w:rsidRPr="00316249" w:rsidRDefault="00E9008A" w:rsidP="005B7D01">
            <w:pPr>
              <w:spacing w:before="240"/>
              <w:rPr>
                <w:color w:val="000000"/>
                <w:sz w:val="12"/>
                <w:szCs w:val="12"/>
              </w:rPr>
            </w:pPr>
            <w:r w:rsidRPr="00316249">
              <w:rPr>
                <w:color w:val="000000"/>
                <w:sz w:val="12"/>
                <w:szCs w:val="12"/>
              </w:rPr>
              <w:t> </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rsidR="00E9008A" w:rsidRPr="00316249" w:rsidRDefault="00E9008A" w:rsidP="005B7D01">
            <w:pPr>
              <w:jc w:val="center"/>
              <w:rPr>
                <w:b/>
                <w:bCs/>
                <w:color w:val="000000"/>
                <w:sz w:val="12"/>
                <w:szCs w:val="12"/>
              </w:rPr>
            </w:pPr>
            <w:r w:rsidRPr="00316249">
              <w:rPr>
                <w:b/>
                <w:bCs/>
                <w:color w:val="000000"/>
                <w:sz w:val="12"/>
                <w:szCs w:val="12"/>
              </w:rPr>
              <w:t xml:space="preserve">Controladora </w:t>
            </w:r>
          </w:p>
        </w:tc>
        <w:tc>
          <w:tcPr>
            <w:tcW w:w="631" w:type="pct"/>
            <w:tcBorders>
              <w:top w:val="single" w:sz="4" w:space="0" w:color="auto"/>
              <w:left w:val="nil"/>
              <w:bottom w:val="single" w:sz="4" w:space="0" w:color="auto"/>
              <w:right w:val="single" w:sz="4" w:space="0" w:color="auto"/>
            </w:tcBorders>
            <w:shd w:val="clear" w:color="auto" w:fill="auto"/>
            <w:noWrap/>
            <w:vAlign w:val="bottom"/>
            <w:hideMark/>
          </w:tcPr>
          <w:p w:rsidR="00E9008A" w:rsidRPr="00316249" w:rsidRDefault="00E9008A" w:rsidP="005B7D01">
            <w:pPr>
              <w:jc w:val="center"/>
              <w:rPr>
                <w:b/>
                <w:bCs/>
                <w:color w:val="000000"/>
                <w:sz w:val="12"/>
                <w:szCs w:val="12"/>
              </w:rPr>
            </w:pPr>
            <w:r w:rsidRPr="00316249">
              <w:rPr>
                <w:b/>
                <w:bCs/>
                <w:color w:val="000000"/>
                <w:sz w:val="12"/>
                <w:szCs w:val="12"/>
              </w:rPr>
              <w:t>Consolidado</w:t>
            </w:r>
          </w:p>
        </w:tc>
      </w:tr>
      <w:tr w:rsidR="00E9008A" w:rsidRPr="00316249" w:rsidTr="005B7D01">
        <w:trPr>
          <w:trHeight w:val="208"/>
        </w:trPr>
        <w:tc>
          <w:tcPr>
            <w:tcW w:w="368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color w:val="000000"/>
                <w:sz w:val="12"/>
                <w:szCs w:val="12"/>
              </w:rPr>
            </w:pPr>
            <w:r w:rsidRPr="00316249">
              <w:rPr>
                <w:b/>
                <w:bCs/>
                <w:color w:val="000000"/>
                <w:sz w:val="12"/>
                <w:szCs w:val="12"/>
              </w:rPr>
              <w:t xml:space="preserve">Saldo em 31 de dezembro de 2015 </w:t>
            </w:r>
            <w:r>
              <w:rPr>
                <w:b/>
                <w:bCs/>
                <w:color w:val="000000"/>
                <w:sz w:val="12"/>
                <w:szCs w:val="12"/>
              </w:rPr>
              <w:t>–</w:t>
            </w:r>
            <w:r w:rsidRPr="00316249">
              <w:rPr>
                <w:b/>
                <w:bCs/>
                <w:color w:val="000000"/>
                <w:sz w:val="12"/>
                <w:szCs w:val="12"/>
              </w:rPr>
              <w:t xml:space="preserve"> Divulgado</w:t>
            </w:r>
          </w:p>
        </w:tc>
        <w:tc>
          <w:tcPr>
            <w:tcW w:w="68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586.636 </w:t>
            </w:r>
          </w:p>
        </w:tc>
        <w:tc>
          <w:tcPr>
            <w:tcW w:w="63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820.821   </w:t>
            </w:r>
          </w:p>
        </w:tc>
      </w:tr>
      <w:tr w:rsidR="00E9008A" w:rsidRPr="00316249" w:rsidTr="005B7D01">
        <w:trPr>
          <w:trHeight w:val="139"/>
        </w:trPr>
        <w:tc>
          <w:tcPr>
            <w:tcW w:w="368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color w:val="000000"/>
                <w:sz w:val="12"/>
                <w:szCs w:val="12"/>
              </w:rPr>
            </w:pPr>
            <w:r w:rsidRPr="00316249">
              <w:rPr>
                <w:b/>
                <w:bCs/>
                <w:color w:val="000000"/>
                <w:sz w:val="12"/>
                <w:szCs w:val="12"/>
              </w:rPr>
              <w:t xml:space="preserve"> Ajuste de Exercícios Anteriores</w:t>
            </w:r>
          </w:p>
        </w:tc>
        <w:tc>
          <w:tcPr>
            <w:tcW w:w="68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63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128"/>
        </w:trPr>
        <w:tc>
          <w:tcPr>
            <w:tcW w:w="368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xml:space="preserve">   Ajuste na Parcela "A" e Outros Itens Financeiros</w:t>
            </w:r>
          </w:p>
        </w:tc>
        <w:tc>
          <w:tcPr>
            <w:tcW w:w="68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63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(39.218)</w:t>
            </w:r>
          </w:p>
        </w:tc>
      </w:tr>
      <w:tr w:rsidR="00E9008A" w:rsidRPr="00316249" w:rsidTr="005B7D01">
        <w:trPr>
          <w:trHeight w:val="116"/>
        </w:trPr>
        <w:tc>
          <w:tcPr>
            <w:tcW w:w="368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color w:val="000000"/>
                <w:sz w:val="12"/>
                <w:szCs w:val="12"/>
              </w:rPr>
            </w:pPr>
            <w:r w:rsidRPr="00316249">
              <w:rPr>
                <w:b/>
                <w:bCs/>
                <w:color w:val="000000"/>
                <w:sz w:val="12"/>
                <w:szCs w:val="12"/>
              </w:rPr>
              <w:t xml:space="preserve">   Equivalência Patrimonial sobre:</w:t>
            </w:r>
          </w:p>
        </w:tc>
        <w:tc>
          <w:tcPr>
            <w:tcW w:w="68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63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117"/>
        </w:trPr>
        <w:tc>
          <w:tcPr>
            <w:tcW w:w="368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xml:space="preserve">Alteração do </w:t>
            </w:r>
            <w:r>
              <w:rPr>
                <w:color w:val="000000"/>
                <w:sz w:val="12"/>
                <w:szCs w:val="12"/>
              </w:rPr>
              <w:t>R</w:t>
            </w:r>
            <w:r w:rsidRPr="00316249">
              <w:rPr>
                <w:color w:val="000000"/>
                <w:sz w:val="12"/>
                <w:szCs w:val="12"/>
              </w:rPr>
              <w:t>esultado em Investida – CEB Distribuição</w:t>
            </w:r>
            <w:r>
              <w:rPr>
                <w:color w:val="000000"/>
                <w:sz w:val="12"/>
                <w:szCs w:val="12"/>
              </w:rPr>
              <w:t xml:space="preserve"> S.A.</w:t>
            </w:r>
          </w:p>
        </w:tc>
        <w:tc>
          <w:tcPr>
            <w:tcW w:w="68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(39.218)</w:t>
            </w:r>
          </w:p>
        </w:tc>
        <w:tc>
          <w:tcPr>
            <w:tcW w:w="63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106"/>
        </w:trPr>
        <w:tc>
          <w:tcPr>
            <w:tcW w:w="368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color w:val="000000"/>
                <w:sz w:val="12"/>
                <w:szCs w:val="12"/>
              </w:rPr>
            </w:pPr>
            <w:r w:rsidRPr="00316249">
              <w:rPr>
                <w:b/>
                <w:color w:val="000000"/>
                <w:sz w:val="12"/>
                <w:szCs w:val="12"/>
              </w:rPr>
              <w:t xml:space="preserve">Saldo em 31 de dezembro de 2014 </w:t>
            </w:r>
            <w:r w:rsidRPr="00316249">
              <w:rPr>
                <w:color w:val="000000"/>
                <w:sz w:val="12"/>
                <w:szCs w:val="12"/>
              </w:rPr>
              <w:t>–</w:t>
            </w:r>
            <w:r w:rsidRPr="00316249">
              <w:rPr>
                <w:b/>
                <w:color w:val="000000"/>
                <w:sz w:val="12"/>
                <w:szCs w:val="12"/>
              </w:rPr>
              <w:t xml:space="preserve"> Reapresentado</w:t>
            </w:r>
          </w:p>
        </w:tc>
        <w:tc>
          <w:tcPr>
            <w:tcW w:w="68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547.418</w:t>
            </w:r>
          </w:p>
        </w:tc>
        <w:tc>
          <w:tcPr>
            <w:tcW w:w="63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w:t>
            </w:r>
            <w:r w:rsidRPr="00316249">
              <w:rPr>
                <w:b/>
                <w:color w:val="000000"/>
                <w:sz w:val="12"/>
                <w:szCs w:val="12"/>
              </w:rPr>
              <w:t>781.603</w:t>
            </w:r>
          </w:p>
        </w:tc>
      </w:tr>
    </w:tbl>
    <w:p w:rsidR="007F7D85" w:rsidRDefault="007F7D85" w:rsidP="00E9008A">
      <w:pPr>
        <w:spacing w:before="240" w:after="240" w:line="252" w:lineRule="auto"/>
        <w:jc w:val="both"/>
        <w:rPr>
          <w:b/>
          <w:sz w:val="22"/>
          <w:szCs w:val="22"/>
        </w:rPr>
      </w:pPr>
    </w:p>
    <w:p w:rsidR="007F7D85" w:rsidRDefault="007F7D85">
      <w:pPr>
        <w:rPr>
          <w:b/>
          <w:sz w:val="22"/>
          <w:szCs w:val="22"/>
        </w:rPr>
      </w:pPr>
      <w:r>
        <w:rPr>
          <w:b/>
          <w:sz w:val="22"/>
          <w:szCs w:val="22"/>
        </w:rPr>
        <w:br w:type="page"/>
      </w:r>
    </w:p>
    <w:p w:rsidR="00E9008A" w:rsidRPr="00316249" w:rsidRDefault="00E9008A" w:rsidP="00E9008A">
      <w:pPr>
        <w:spacing w:before="240" w:after="240" w:line="252" w:lineRule="auto"/>
        <w:jc w:val="both"/>
        <w:rPr>
          <w:b/>
          <w:sz w:val="22"/>
          <w:szCs w:val="22"/>
        </w:rPr>
      </w:pPr>
      <w:r w:rsidRPr="00316249">
        <w:rPr>
          <w:b/>
          <w:sz w:val="22"/>
          <w:szCs w:val="22"/>
        </w:rPr>
        <w:lastRenderedPageBreak/>
        <w:t>Demonstração do Resultado do Exercício</w:t>
      </w:r>
    </w:p>
    <w:tbl>
      <w:tblPr>
        <w:tblW w:w="0" w:type="auto"/>
        <w:tblInd w:w="70" w:type="dxa"/>
        <w:tblCellMar>
          <w:left w:w="70" w:type="dxa"/>
          <w:right w:w="70" w:type="dxa"/>
        </w:tblCellMar>
        <w:tblLook w:val="04A0" w:firstRow="1" w:lastRow="0" w:firstColumn="1" w:lastColumn="0" w:noHBand="0" w:noVBand="1"/>
      </w:tblPr>
      <w:tblGrid>
        <w:gridCol w:w="3244"/>
        <w:gridCol w:w="812"/>
        <w:gridCol w:w="884"/>
        <w:gridCol w:w="1051"/>
        <w:gridCol w:w="848"/>
        <w:gridCol w:w="1251"/>
        <w:gridCol w:w="1051"/>
      </w:tblGrid>
      <w:tr w:rsidR="00E9008A" w:rsidRPr="00316249" w:rsidTr="005B7D01">
        <w:trPr>
          <w:trHeight w:val="169"/>
          <w:tblHead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2"/>
                <w:szCs w:val="12"/>
              </w:rPr>
            </w:pPr>
            <w:r w:rsidRPr="00316249">
              <w:rPr>
                <w:color w:val="000000"/>
                <w:sz w:val="12"/>
                <w:szCs w:val="12"/>
              </w:rPr>
              <w:t>R</w:t>
            </w:r>
            <w:r w:rsidRPr="00316249">
              <w:rPr>
                <w:b/>
                <w:color w:val="000000"/>
                <w:sz w:val="12"/>
                <w:szCs w:val="12"/>
              </w:rPr>
              <w:t>esultado</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bCs/>
                <w:color w:val="000000"/>
                <w:sz w:val="12"/>
                <w:szCs w:val="12"/>
              </w:rPr>
            </w:pPr>
            <w:r w:rsidRPr="00316249">
              <w:rPr>
                <w:b/>
                <w:bCs/>
                <w:color w:val="000000"/>
                <w:sz w:val="12"/>
                <w:szCs w:val="12"/>
              </w:rPr>
              <w:t>Controladora</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bCs/>
                <w:color w:val="000000"/>
                <w:sz w:val="12"/>
                <w:szCs w:val="12"/>
              </w:rPr>
            </w:pPr>
            <w:r w:rsidRPr="00316249">
              <w:rPr>
                <w:b/>
                <w:bCs/>
                <w:color w:val="000000"/>
                <w:sz w:val="12"/>
                <w:szCs w:val="12"/>
              </w:rPr>
              <w:t>Consolidado</w:t>
            </w:r>
          </w:p>
        </w:tc>
      </w:tr>
      <w:tr w:rsidR="00E9008A" w:rsidRPr="00316249" w:rsidTr="005B7D01">
        <w:trPr>
          <w:trHeight w:val="480"/>
          <w:tblHeader/>
        </w:trPr>
        <w:tc>
          <w:tcPr>
            <w:tcW w:w="0" w:type="auto"/>
            <w:vMerge/>
            <w:tcBorders>
              <w:left w:val="single" w:sz="4" w:space="0" w:color="auto"/>
              <w:right w:val="single" w:sz="4" w:space="0" w:color="auto"/>
            </w:tcBorders>
            <w:shd w:val="clear" w:color="auto" w:fill="auto"/>
            <w:noWrap/>
            <w:vAlign w:val="bottom"/>
            <w:hideMark/>
          </w:tcPr>
          <w:p w:rsidR="00E9008A" w:rsidRPr="00316249" w:rsidRDefault="00E9008A" w:rsidP="005B7D01">
            <w:pPr>
              <w:jc w:val="center"/>
              <w:rPr>
                <w:color w:val="000000"/>
                <w:sz w:val="12"/>
                <w:szCs w:val="12"/>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0" w:type="auto"/>
            <w:tcBorders>
              <w:top w:val="nil"/>
              <w:left w:val="nil"/>
              <w:bottom w:val="nil"/>
              <w:right w:val="nil"/>
            </w:tcBorders>
            <w:shd w:val="clear" w:color="auto" w:fill="auto"/>
            <w:vAlign w:val="center"/>
            <w:hideMark/>
          </w:tcPr>
          <w:p w:rsidR="00E9008A" w:rsidRPr="00316249" w:rsidRDefault="00E9008A" w:rsidP="005B7D01">
            <w:pPr>
              <w:jc w:val="center"/>
              <w:rPr>
                <w:color w:val="000000"/>
                <w:sz w:val="12"/>
                <w:szCs w:val="12"/>
              </w:rPr>
            </w:pPr>
            <w:r w:rsidRPr="00316249">
              <w:rPr>
                <w:color w:val="000000"/>
                <w:sz w:val="12"/>
                <w:szCs w:val="12"/>
              </w:rPr>
              <w:t>Correção de Classificação</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0" w:type="auto"/>
            <w:tcBorders>
              <w:top w:val="nil"/>
              <w:left w:val="nil"/>
              <w:bottom w:val="nil"/>
              <w:right w:val="nil"/>
            </w:tcBorders>
            <w:shd w:val="clear" w:color="auto" w:fill="auto"/>
            <w:vAlign w:val="center"/>
            <w:hideMark/>
          </w:tcPr>
          <w:p w:rsidR="00E9008A" w:rsidRPr="00316249" w:rsidRDefault="00E9008A" w:rsidP="005B7D01">
            <w:pPr>
              <w:jc w:val="center"/>
              <w:rPr>
                <w:color w:val="000000"/>
                <w:sz w:val="12"/>
                <w:szCs w:val="12"/>
              </w:rPr>
            </w:pPr>
            <w:r w:rsidRPr="00316249">
              <w:rPr>
                <w:color w:val="000000"/>
                <w:sz w:val="12"/>
                <w:szCs w:val="12"/>
              </w:rPr>
              <w:t>Correção de Classificação</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r>
      <w:tr w:rsidR="00E9008A" w:rsidRPr="00316249" w:rsidTr="005B7D01">
        <w:trPr>
          <w:trHeight w:val="525"/>
          <w:tblHeader/>
        </w:trPr>
        <w:tc>
          <w:tcPr>
            <w:tcW w:w="0" w:type="auto"/>
            <w:vMerge/>
            <w:tcBorders>
              <w:left w:val="single" w:sz="4" w:space="0" w:color="auto"/>
              <w:bottom w:val="nil"/>
              <w:right w:val="single" w:sz="4" w:space="0" w:color="auto"/>
            </w:tcBorders>
            <w:shd w:val="clear" w:color="auto" w:fill="auto"/>
            <w:noWrap/>
            <w:vAlign w:val="center"/>
            <w:hideMark/>
          </w:tcPr>
          <w:p w:rsidR="00E9008A" w:rsidRPr="00316249" w:rsidRDefault="00E9008A" w:rsidP="005B7D01">
            <w:pPr>
              <w:jc w:val="center"/>
              <w:rPr>
                <w:b/>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Equivalência Patrimonial</w:t>
            </w: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Reprocessamento Energia de Curto Prazo - CCEE</w:t>
            </w: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r>
      <w:tr w:rsidR="00E9008A" w:rsidRPr="00316249" w:rsidTr="005B7D01">
        <w:trPr>
          <w:trHeight w:val="50"/>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r>
      <w:tr w:rsidR="00E9008A" w:rsidRPr="00316249" w:rsidTr="005B7D01">
        <w:trPr>
          <w:trHeight w:val="117"/>
          <w:tblHead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2"/>
                <w:szCs w:val="12"/>
              </w:rPr>
            </w:pPr>
            <w:r w:rsidRPr="00316249">
              <w:rPr>
                <w:color w:val="000000"/>
                <w:sz w:val="12"/>
                <w:szCs w:val="12"/>
              </w:rPr>
              <w:t> </w:t>
            </w:r>
          </w:p>
        </w:tc>
      </w:tr>
      <w:tr w:rsidR="00E9008A" w:rsidRPr="00316249" w:rsidTr="005B7D01">
        <w:trPr>
          <w:trHeight w:val="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RECEITA OPERACIONAL LÍQUIDA (b)</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25.485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25.485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2.427.203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(31.199)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2.396.004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 Custo com Energia Elétrica</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(1.634.432)</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(1.634.432)</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 Custo de Operação (c)</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(317.476)</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(2.022)</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(319.498)</w:t>
            </w:r>
          </w:p>
        </w:tc>
      </w:tr>
      <w:tr w:rsidR="00E9008A" w:rsidRPr="00316249" w:rsidTr="005B7D01">
        <w:trPr>
          <w:trHeight w:val="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 Custo do Serviço Prestado a Terceiros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(23.753)</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(23.753)</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(21.348)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(21.348)</w:t>
            </w:r>
          </w:p>
        </w:tc>
      </w:tr>
      <w:tr w:rsidR="00E9008A" w:rsidRPr="00316249" w:rsidTr="005B7D01">
        <w:trPr>
          <w:trHeight w:val="86"/>
        </w:trPr>
        <w:tc>
          <w:tcPr>
            <w:tcW w:w="0" w:type="auto"/>
            <w:tcBorders>
              <w:top w:val="nil"/>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rPr>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Lucro Bruto</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1.732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1.732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453.947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(33.221)</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420.726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Receitas/(Despesas) Operacionais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60.360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(39.218)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21.142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(196.368)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6.277 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(190.091)</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Despesas com Vendas (c)</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(22.174)</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(22.174)</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(157.932)</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3.440 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(154.492)</w:t>
            </w:r>
          </w:p>
        </w:tc>
      </w:tr>
      <w:tr w:rsidR="00E9008A" w:rsidRPr="00316249" w:rsidTr="005B7D01">
        <w:trPr>
          <w:trHeight w:val="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Despesas Gerais e Administrativas (c)</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(9.758)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(9.758)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(150.709)</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(3.647)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(154.356)</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Resultado de Equivalência Patrimonial</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93.069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(39.218)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53.851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(2.213)</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(2.213)</w:t>
            </w:r>
          </w:p>
        </w:tc>
      </w:tr>
      <w:tr w:rsidR="00E9008A" w:rsidRPr="00316249" w:rsidTr="005B7D01">
        <w:trPr>
          <w:trHeight w:val="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Outras Receitas (Despesas) Operacionais (d)</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(777)</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(777)</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114.486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6.484 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120.970</w:t>
            </w:r>
          </w:p>
        </w:tc>
      </w:tr>
      <w:tr w:rsidR="00E9008A" w:rsidRPr="00316249" w:rsidTr="005B7D01">
        <w:trPr>
          <w:trHeight w:val="1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  Outras Receitas Operacionais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126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126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209.478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6.484 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215.962</w:t>
            </w:r>
          </w:p>
        </w:tc>
      </w:tr>
      <w:tr w:rsidR="00E9008A" w:rsidRPr="00316249" w:rsidTr="005B7D01">
        <w:trPr>
          <w:trHeight w:val="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  Outras Despesas Operacionais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(903)</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(903)</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(94.992)</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(94.992)</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2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Lucro</w:t>
            </w:r>
            <w:r>
              <w:rPr>
                <w:b/>
                <w:bCs/>
                <w:sz w:val="12"/>
                <w:szCs w:val="12"/>
              </w:rPr>
              <w:t>/</w:t>
            </w:r>
            <w:r w:rsidRPr="00316249">
              <w:rPr>
                <w:b/>
                <w:bCs/>
                <w:sz w:val="12"/>
                <w:szCs w:val="12"/>
              </w:rPr>
              <w:t>(Prejuízo) Operacional antes do Resultado Financeiro</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62.092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(39.218)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22.874</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257.579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(26.944)</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230.635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Receitas (Despesas) Financeiras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2.654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2.654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(109.367)</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(109.367)</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Receitas Financeiras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2.743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2.743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134.780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134.780 </w:t>
            </w:r>
          </w:p>
        </w:tc>
      </w:tr>
      <w:tr w:rsidR="00E9008A" w:rsidRPr="00316249" w:rsidTr="005B7D01">
        <w:trPr>
          <w:trHeight w:val="1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Despesas Financeiras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(89)</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(89)</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(201.225)</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(201.225)</w:t>
            </w:r>
          </w:p>
        </w:tc>
      </w:tr>
      <w:tr w:rsidR="00E9008A" w:rsidRPr="00316249" w:rsidTr="005B7D01">
        <w:trPr>
          <w:trHeight w:val="9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Variação Cambial</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(42.922)</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(42.922)</w:t>
            </w:r>
          </w:p>
        </w:tc>
      </w:tr>
      <w:tr w:rsidR="00E9008A" w:rsidRPr="00316249" w:rsidTr="005B7D01">
        <w:trPr>
          <w:trHeight w:val="1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 xml:space="preserve">Lucro/ (Prejuízo) Operacional </w:t>
            </w:r>
            <w:r>
              <w:rPr>
                <w:b/>
                <w:bCs/>
                <w:sz w:val="12"/>
                <w:szCs w:val="12"/>
              </w:rPr>
              <w:t>A</w:t>
            </w:r>
            <w:r w:rsidRPr="00316249">
              <w:rPr>
                <w:b/>
                <w:bCs/>
                <w:sz w:val="12"/>
                <w:szCs w:val="12"/>
              </w:rPr>
              <w:t>ntes dos Tributos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64.746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(39.218)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25.528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148.212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(26.944)</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121.268 </w:t>
            </w:r>
          </w:p>
        </w:tc>
      </w:tr>
      <w:tr w:rsidR="00E9008A" w:rsidRPr="00316249" w:rsidTr="005B7D0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Imposto de Renda e Contribuição Social</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(80)</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(80)</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(59.693)</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color w:val="000000"/>
                <w:sz w:val="12"/>
                <w:szCs w:val="12"/>
              </w:rPr>
              <w:t>(12.275)</w:t>
            </w:r>
            <w:r w:rsidRPr="00316249">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(71.968)</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Imposto de Renda e Contribuição Social </w:t>
            </w:r>
            <w:r>
              <w:rPr>
                <w:sz w:val="12"/>
                <w:szCs w:val="12"/>
              </w:rPr>
              <w:t>–</w:t>
            </w:r>
            <w:r w:rsidRPr="00316249">
              <w:rPr>
                <w:sz w:val="12"/>
                <w:szCs w:val="12"/>
              </w:rPr>
              <w:t xml:space="preserve"> Corrente</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(80)</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(80)</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(19.433)</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(19.433)</w:t>
            </w:r>
          </w:p>
        </w:tc>
      </w:tr>
      <w:tr w:rsidR="00E9008A" w:rsidRPr="00316249" w:rsidTr="005B7D01">
        <w:trPr>
          <w:trHeight w:val="1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Imposto de Renda e Contribuição Social </w:t>
            </w:r>
            <w:r>
              <w:rPr>
                <w:sz w:val="12"/>
                <w:szCs w:val="12"/>
              </w:rPr>
              <w:t>–</w:t>
            </w:r>
            <w:r w:rsidRPr="00316249">
              <w:rPr>
                <w:sz w:val="12"/>
                <w:szCs w:val="12"/>
              </w:rPr>
              <w:t xml:space="preserve"> Diferido</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(40.260)</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(12.275)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 (52.535)</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2"/>
                <w:szCs w:val="12"/>
              </w:rPr>
            </w:pPr>
            <w:r w:rsidRPr="00316249">
              <w:rPr>
                <w:b/>
                <w:bCs/>
                <w:sz w:val="12"/>
                <w:szCs w:val="12"/>
              </w:rPr>
              <w:t>Lucro Líquido / (Prejuízo) do Período</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64.666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(39.218)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25.448</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88.519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 (39.219)</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2"/>
                <w:szCs w:val="12"/>
              </w:rPr>
            </w:pPr>
            <w:r w:rsidRPr="00316249">
              <w:rPr>
                <w:b/>
                <w:bCs/>
                <w:color w:val="000000"/>
                <w:sz w:val="12"/>
                <w:szCs w:val="12"/>
              </w:rPr>
              <w:t xml:space="preserve">49.300 </w:t>
            </w:r>
          </w:p>
        </w:tc>
      </w:tr>
      <w:tr w:rsidR="00E9008A" w:rsidRPr="00316249" w:rsidTr="005B7D01">
        <w:trPr>
          <w:trHeight w:val="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Atribuído aos Acionistas Controladores</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64.666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25.448</w:t>
            </w:r>
          </w:p>
        </w:tc>
      </w:tr>
      <w:tr w:rsidR="00E9008A" w:rsidRPr="00316249" w:rsidTr="005B7D01">
        <w:trPr>
          <w:trHeight w:val="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2"/>
                <w:szCs w:val="12"/>
              </w:rPr>
            </w:pPr>
            <w:r w:rsidRPr="00316249">
              <w:rPr>
                <w:sz w:val="12"/>
                <w:szCs w:val="12"/>
              </w:rPr>
              <w:t xml:space="preserve">Atribuído aos Acionistas </w:t>
            </w:r>
            <w:r>
              <w:rPr>
                <w:sz w:val="12"/>
                <w:szCs w:val="12"/>
              </w:rPr>
              <w:t>N</w:t>
            </w:r>
            <w:r w:rsidRPr="00316249">
              <w:rPr>
                <w:sz w:val="12"/>
                <w:szCs w:val="12"/>
              </w:rPr>
              <w:t xml:space="preserve">ão Controladores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23.853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2"/>
                <w:szCs w:val="12"/>
              </w:rPr>
            </w:pPr>
            <w:r w:rsidRPr="00316249">
              <w:rPr>
                <w:color w:val="000000"/>
                <w:sz w:val="12"/>
                <w:szCs w:val="12"/>
              </w:rPr>
              <w:t xml:space="preserve">23.852 </w:t>
            </w:r>
          </w:p>
        </w:tc>
      </w:tr>
    </w:tbl>
    <w:p w:rsidR="007F7D85" w:rsidRDefault="007F7D85" w:rsidP="00E9008A">
      <w:pPr>
        <w:spacing w:before="240" w:after="240" w:line="252" w:lineRule="auto"/>
        <w:jc w:val="both"/>
        <w:rPr>
          <w:b/>
          <w:sz w:val="22"/>
          <w:szCs w:val="22"/>
        </w:rPr>
      </w:pPr>
    </w:p>
    <w:p w:rsidR="007F7D85" w:rsidRDefault="007F7D85">
      <w:pPr>
        <w:rPr>
          <w:b/>
          <w:sz w:val="22"/>
          <w:szCs w:val="22"/>
        </w:rPr>
      </w:pPr>
      <w:r>
        <w:rPr>
          <w:b/>
          <w:sz w:val="22"/>
          <w:szCs w:val="22"/>
        </w:rPr>
        <w:br w:type="page"/>
      </w:r>
    </w:p>
    <w:p w:rsidR="00E9008A" w:rsidRPr="00316249" w:rsidRDefault="00E9008A" w:rsidP="00E9008A">
      <w:pPr>
        <w:spacing w:before="240" w:after="240" w:line="252" w:lineRule="auto"/>
        <w:jc w:val="both"/>
        <w:rPr>
          <w:b/>
          <w:sz w:val="22"/>
          <w:szCs w:val="22"/>
        </w:rPr>
      </w:pPr>
      <w:r w:rsidRPr="00316249">
        <w:rPr>
          <w:b/>
          <w:sz w:val="22"/>
          <w:szCs w:val="22"/>
        </w:rPr>
        <w:lastRenderedPageBreak/>
        <w:t>Demonstração do Valor Adicionado</w:t>
      </w:r>
    </w:p>
    <w:tbl>
      <w:tblPr>
        <w:tblW w:w="9781" w:type="dxa"/>
        <w:tblInd w:w="70" w:type="dxa"/>
        <w:tblCellMar>
          <w:left w:w="70" w:type="dxa"/>
          <w:right w:w="70" w:type="dxa"/>
        </w:tblCellMar>
        <w:tblLook w:val="04A0" w:firstRow="1" w:lastRow="0" w:firstColumn="1" w:lastColumn="0" w:noHBand="0" w:noVBand="1"/>
      </w:tblPr>
      <w:tblGrid>
        <w:gridCol w:w="2977"/>
        <w:gridCol w:w="970"/>
        <w:gridCol w:w="1180"/>
        <w:gridCol w:w="1120"/>
        <w:gridCol w:w="1223"/>
        <w:gridCol w:w="1103"/>
        <w:gridCol w:w="1272"/>
      </w:tblGrid>
      <w:tr w:rsidR="00E9008A" w:rsidRPr="00316249" w:rsidTr="005B7D01">
        <w:trPr>
          <w:trHeight w:val="300"/>
          <w:tblHeader/>
        </w:trPr>
        <w:tc>
          <w:tcPr>
            <w:tcW w:w="29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jc w:val="center"/>
              <w:rPr>
                <w:color w:val="000000"/>
                <w:sz w:val="12"/>
                <w:szCs w:val="12"/>
              </w:rPr>
            </w:pPr>
            <w:r w:rsidRPr="00316249">
              <w:rPr>
                <w:color w:val="000000"/>
                <w:sz w:val="12"/>
                <w:szCs w:val="12"/>
              </w:rPr>
              <w:t>Resultado</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bCs/>
                <w:color w:val="000000"/>
                <w:sz w:val="12"/>
                <w:szCs w:val="12"/>
              </w:rPr>
            </w:pPr>
            <w:r w:rsidRPr="00316249">
              <w:rPr>
                <w:b/>
                <w:bCs/>
                <w:color w:val="000000"/>
                <w:sz w:val="12"/>
                <w:szCs w:val="12"/>
              </w:rPr>
              <w:t>Controladora</w:t>
            </w:r>
          </w:p>
        </w:tc>
        <w:tc>
          <w:tcPr>
            <w:tcW w:w="359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center"/>
              <w:rPr>
                <w:b/>
                <w:bCs/>
                <w:color w:val="000000"/>
                <w:sz w:val="12"/>
                <w:szCs w:val="12"/>
              </w:rPr>
            </w:pPr>
            <w:r w:rsidRPr="00316249">
              <w:rPr>
                <w:b/>
                <w:bCs/>
                <w:color w:val="000000"/>
                <w:sz w:val="12"/>
                <w:szCs w:val="12"/>
              </w:rPr>
              <w:t>Consolidado</w:t>
            </w:r>
          </w:p>
        </w:tc>
      </w:tr>
      <w:tr w:rsidR="00E9008A" w:rsidRPr="00316249" w:rsidTr="005B7D01">
        <w:trPr>
          <w:trHeight w:val="480"/>
          <w:tblHeader/>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2"/>
                <w:szCs w:val="12"/>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0" w:type="auto"/>
            <w:tcBorders>
              <w:top w:val="nil"/>
              <w:left w:val="nil"/>
              <w:bottom w:val="nil"/>
              <w:right w:val="nil"/>
            </w:tcBorders>
            <w:shd w:val="clear" w:color="auto" w:fill="auto"/>
            <w:vAlign w:val="center"/>
            <w:hideMark/>
          </w:tcPr>
          <w:p w:rsidR="00E9008A" w:rsidRPr="00316249" w:rsidRDefault="00E9008A" w:rsidP="005B7D01">
            <w:pPr>
              <w:jc w:val="center"/>
              <w:rPr>
                <w:color w:val="000000"/>
                <w:sz w:val="12"/>
                <w:szCs w:val="12"/>
              </w:rPr>
            </w:pPr>
            <w:r w:rsidRPr="00316249">
              <w:rPr>
                <w:color w:val="000000"/>
                <w:sz w:val="12"/>
                <w:szCs w:val="12"/>
              </w:rPr>
              <w:t>Correção de Classificação</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c>
          <w:tcPr>
            <w:tcW w:w="1223" w:type="dxa"/>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Divulgado em 31/12/2015</w:t>
            </w:r>
          </w:p>
        </w:tc>
        <w:tc>
          <w:tcPr>
            <w:tcW w:w="1103" w:type="dxa"/>
            <w:tcBorders>
              <w:top w:val="nil"/>
              <w:left w:val="nil"/>
              <w:bottom w:val="nil"/>
              <w:right w:val="nil"/>
            </w:tcBorders>
            <w:shd w:val="clear" w:color="auto" w:fill="auto"/>
            <w:vAlign w:val="center"/>
            <w:hideMark/>
          </w:tcPr>
          <w:p w:rsidR="00E9008A" w:rsidRPr="00316249" w:rsidRDefault="00E9008A" w:rsidP="005B7D01">
            <w:pPr>
              <w:jc w:val="center"/>
              <w:rPr>
                <w:color w:val="000000"/>
                <w:sz w:val="12"/>
                <w:szCs w:val="12"/>
              </w:rPr>
            </w:pPr>
            <w:r w:rsidRPr="00316249">
              <w:rPr>
                <w:color w:val="000000"/>
                <w:sz w:val="12"/>
                <w:szCs w:val="12"/>
              </w:rPr>
              <w:t>Correção de Classificação</w:t>
            </w:r>
          </w:p>
        </w:tc>
        <w:tc>
          <w:tcPr>
            <w:tcW w:w="1272" w:type="dxa"/>
            <w:vMerge w:val="restart"/>
            <w:tcBorders>
              <w:top w:val="nil"/>
              <w:left w:val="single" w:sz="4" w:space="0" w:color="auto"/>
              <w:bottom w:val="single" w:sz="4" w:space="0" w:color="auto"/>
              <w:right w:val="single" w:sz="4" w:space="0" w:color="auto"/>
            </w:tcBorders>
            <w:shd w:val="clear" w:color="000000" w:fill="FFFFFF"/>
            <w:vAlign w:val="center"/>
            <w:hideMark/>
          </w:tcPr>
          <w:p w:rsidR="00E9008A" w:rsidRPr="00316249" w:rsidRDefault="00E9008A" w:rsidP="005B7D01">
            <w:pPr>
              <w:jc w:val="center"/>
              <w:rPr>
                <w:b/>
                <w:bCs/>
                <w:color w:val="000000"/>
                <w:sz w:val="12"/>
                <w:szCs w:val="12"/>
              </w:rPr>
            </w:pPr>
            <w:r w:rsidRPr="00316249">
              <w:rPr>
                <w:b/>
                <w:bCs/>
                <w:color w:val="000000"/>
                <w:sz w:val="12"/>
                <w:szCs w:val="12"/>
              </w:rPr>
              <w:t>Reapresentação 31/12/2015</w:t>
            </w:r>
          </w:p>
        </w:tc>
      </w:tr>
      <w:tr w:rsidR="00E9008A" w:rsidRPr="00316249" w:rsidTr="005B7D01">
        <w:trPr>
          <w:trHeight w:val="480"/>
          <w:tblHeader/>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Equivalência Patrimonial</w:t>
            </w: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1223" w:type="dxa"/>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110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9008A" w:rsidRPr="00316249" w:rsidRDefault="00E9008A" w:rsidP="005B7D01">
            <w:pPr>
              <w:jc w:val="center"/>
              <w:rPr>
                <w:color w:val="000000"/>
                <w:sz w:val="12"/>
                <w:szCs w:val="12"/>
              </w:rPr>
            </w:pPr>
            <w:r w:rsidRPr="00316249">
              <w:rPr>
                <w:color w:val="000000"/>
                <w:sz w:val="12"/>
                <w:szCs w:val="12"/>
              </w:rPr>
              <w:t>Reprocessamento Energia de Curto Prazo - CCEE</w:t>
            </w:r>
          </w:p>
        </w:tc>
        <w:tc>
          <w:tcPr>
            <w:tcW w:w="1272" w:type="dxa"/>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r>
      <w:tr w:rsidR="00E9008A" w:rsidRPr="00316249" w:rsidTr="005B7D01">
        <w:trPr>
          <w:trHeight w:val="300"/>
          <w:tblHeader/>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1223" w:type="dxa"/>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c>
          <w:tcPr>
            <w:tcW w:w="1103" w:type="dxa"/>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color w:val="000000"/>
                <w:sz w:val="12"/>
                <w:szCs w:val="12"/>
              </w:rPr>
            </w:pPr>
          </w:p>
        </w:tc>
        <w:tc>
          <w:tcPr>
            <w:tcW w:w="1272" w:type="dxa"/>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2"/>
                <w:szCs w:val="12"/>
              </w:rPr>
            </w:pPr>
          </w:p>
        </w:tc>
      </w:tr>
      <w:tr w:rsidR="00E9008A" w:rsidRPr="00316249" w:rsidTr="005B7D01">
        <w:trPr>
          <w:trHeight w:val="183"/>
          <w:tblHeader/>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sz w:val="12"/>
                <w:szCs w:val="12"/>
              </w:rPr>
            </w:pPr>
          </w:p>
        </w:tc>
        <w:tc>
          <w:tcPr>
            <w:tcW w:w="0" w:type="auto"/>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p>
        </w:tc>
        <w:tc>
          <w:tcPr>
            <w:tcW w:w="0" w:type="auto"/>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p>
        </w:tc>
        <w:tc>
          <w:tcPr>
            <w:tcW w:w="1223" w:type="dxa"/>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p>
        </w:tc>
        <w:tc>
          <w:tcPr>
            <w:tcW w:w="1103" w:type="dxa"/>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p>
        </w:tc>
        <w:tc>
          <w:tcPr>
            <w:tcW w:w="1272" w:type="dxa"/>
            <w:tcBorders>
              <w:top w:val="nil"/>
              <w:left w:val="nil"/>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rPr>
                <w:b/>
                <w:bCs/>
                <w:sz w:val="12"/>
                <w:szCs w:val="12"/>
              </w:rPr>
            </w:pPr>
            <w:r w:rsidRPr="00316249">
              <w:rPr>
                <w:b/>
                <w:bCs/>
                <w:sz w:val="12"/>
                <w:szCs w:val="12"/>
              </w:rPr>
              <w:t>Receitas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6.771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6.771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4.005.147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(31.660)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3.973.487</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Venda de Energia e Serviços Prestados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28.869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28.869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3.950.071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(31.660)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3.918.411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 xml:space="preserve"> Receita de Construção de Ativos Próprios</w:t>
            </w: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82.781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82.781 </w:t>
            </w:r>
          </w:p>
        </w:tc>
      </w:tr>
      <w:tr w:rsidR="00E9008A" w:rsidRPr="00316249" w:rsidTr="005B7D01">
        <w:trPr>
          <w:trHeight w:val="266"/>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 xml:space="preserve">Provisão/Rev. </w:t>
            </w:r>
            <w:r>
              <w:rPr>
                <w:sz w:val="12"/>
                <w:szCs w:val="12"/>
              </w:rPr>
              <w:t>P</w:t>
            </w:r>
            <w:r w:rsidRPr="00316249">
              <w:rPr>
                <w:sz w:val="12"/>
                <w:szCs w:val="12"/>
              </w:rPr>
              <w:t>ara Créditos de Liquidação Duvidosa</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(22.174)</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(22.174)</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(85.219)</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(85.219)</w:t>
            </w:r>
          </w:p>
        </w:tc>
      </w:tr>
      <w:tr w:rsidR="00E9008A" w:rsidRPr="00316249" w:rsidTr="005B7D01">
        <w:trPr>
          <w:trHeight w:val="128"/>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Receita de Alienação de Ativo Imobilizado</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76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76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(10.536)</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(10.536)</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Outras Receitas</w:t>
            </w: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68.050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68.050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Insumos Adquiridos de Terceiros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(24.568)</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(24.568)</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(2.020.906)</w:t>
            </w:r>
          </w:p>
        </w:tc>
        <w:tc>
          <w:tcPr>
            <w:tcW w:w="1103" w:type="dxa"/>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b/>
                <w:bCs/>
                <w:sz w:val="12"/>
                <w:szCs w:val="12"/>
              </w:rPr>
            </w:pP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(2.020.906)</w:t>
            </w:r>
          </w:p>
        </w:tc>
      </w:tr>
      <w:tr w:rsidR="00E9008A" w:rsidRPr="00316249" w:rsidTr="005B7D01">
        <w:trPr>
          <w:trHeight w:val="94"/>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Custos com Serviço de Energia Elétrica</w:t>
            </w: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(1.818.753)</w:t>
            </w:r>
          </w:p>
        </w:tc>
        <w:tc>
          <w:tcPr>
            <w:tcW w:w="1103" w:type="dxa"/>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(1.818.753)</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Custos de Construção</w:t>
            </w: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(82.781)</w:t>
            </w:r>
          </w:p>
        </w:tc>
        <w:tc>
          <w:tcPr>
            <w:tcW w:w="1103" w:type="dxa"/>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(82.781)</w:t>
            </w:r>
          </w:p>
        </w:tc>
      </w:tr>
      <w:tr w:rsidR="00E9008A" w:rsidRPr="00316249" w:rsidTr="005B7D01">
        <w:trPr>
          <w:trHeight w:val="7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Serviços de Terceiros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(22.934)</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(22.934)</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(152.996)</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(152.996)</w:t>
            </w:r>
          </w:p>
        </w:tc>
      </w:tr>
      <w:tr w:rsidR="00E9008A" w:rsidRPr="00316249" w:rsidTr="005B7D01">
        <w:trPr>
          <w:trHeight w:val="72"/>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Material</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(811)</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(811)</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(7.045)</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(7.045)</w:t>
            </w:r>
          </w:p>
        </w:tc>
      </w:tr>
      <w:tr w:rsidR="00E9008A" w:rsidRPr="00316249" w:rsidTr="005B7D01">
        <w:trPr>
          <w:trHeight w:val="59"/>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Provisões/Reversões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(855)</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(855)</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96.010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96.010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 xml:space="preserve">Outros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32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32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(55.341)</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(55.341)</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Valor Adicionado Bruto</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(17.797)</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(17.797)</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1.984.241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(31.660)</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1.952.581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Retenções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(89)</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(89)</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(54.467)</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(54.467)</w:t>
            </w:r>
          </w:p>
        </w:tc>
      </w:tr>
      <w:tr w:rsidR="00E9008A" w:rsidRPr="00316249" w:rsidTr="005B7D01">
        <w:trPr>
          <w:trHeight w:val="167"/>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Depreciação</w:t>
            </w:r>
            <w:r>
              <w:rPr>
                <w:sz w:val="12"/>
                <w:szCs w:val="12"/>
              </w:rPr>
              <w:t xml:space="preserve"> </w:t>
            </w:r>
            <w:r w:rsidRPr="00316249">
              <w:rPr>
                <w:sz w:val="12"/>
                <w:szCs w:val="12"/>
              </w:rPr>
              <w:t>e Amortização</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(89)</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(89)</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(54.467)</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(54.467)</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 xml:space="preserve"> Valor Adicionado Líquido Produzido</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(17.886)</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(17.886)</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1.929.774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(31.660)</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1.898.114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 xml:space="preserve"> Valor Adicionado Recebido em Transferência</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95.812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(39.218)</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56.594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132.567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132.567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Receitas Financeiras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2.688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2.688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134.460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134.460 </w:t>
            </w:r>
          </w:p>
        </w:tc>
      </w:tr>
      <w:tr w:rsidR="00E9008A" w:rsidRPr="00316249" w:rsidTr="005B7D01">
        <w:trPr>
          <w:trHeight w:val="106"/>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Resultado de Equivalência Patrimonial</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93.069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(39.218)</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53.851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(2.213)</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(2.213)</w:t>
            </w:r>
          </w:p>
        </w:tc>
      </w:tr>
      <w:tr w:rsidR="00E9008A" w:rsidRPr="00316249" w:rsidTr="005B7D01">
        <w:trPr>
          <w:trHeight w:val="94"/>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Dividendos Recebidos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55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55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320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320 </w:t>
            </w:r>
          </w:p>
        </w:tc>
      </w:tr>
      <w:tr w:rsidR="00E9008A" w:rsidRPr="00316249" w:rsidTr="005B7D01">
        <w:trPr>
          <w:trHeight w:val="82"/>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 xml:space="preserve"> Valor Adicionado Total a Distribuir</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77.926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(39.218)</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38.708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2.062.341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(31.660)</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2.030.681 </w:t>
            </w:r>
          </w:p>
        </w:tc>
      </w:tr>
      <w:tr w:rsidR="00E9008A" w:rsidRPr="00316249" w:rsidTr="005B7D01">
        <w:trPr>
          <w:trHeight w:val="84"/>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Distribuição do Valor Adicionado</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77.926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(39.218)</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38.708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2.062.341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(31.660)</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2.030.681 </w:t>
            </w:r>
          </w:p>
        </w:tc>
      </w:tr>
      <w:tr w:rsidR="00E9008A" w:rsidRPr="00316249" w:rsidTr="005B7D01">
        <w:trPr>
          <w:trHeight w:val="72"/>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Empregados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10.710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10.710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185.964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(1.788)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184.176</w:t>
            </w:r>
          </w:p>
        </w:tc>
      </w:tr>
      <w:tr w:rsidR="00E9008A" w:rsidRPr="00316249" w:rsidTr="005B7D01">
        <w:trPr>
          <w:trHeight w:val="6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Remuneração Direta</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10.643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10.643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111.192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111.192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FGTS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44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44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10.916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10.916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 xml:space="preserve">Benefícios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23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23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51.743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(1.788)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49.955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Participação nos Lucros e Resultados</w:t>
            </w: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tcPr>
          <w:p w:rsidR="00E9008A" w:rsidRPr="00316249" w:rsidRDefault="00E9008A" w:rsidP="005B7D01">
            <w:pPr>
              <w:jc w:val="right"/>
              <w:rPr>
                <w:sz w:val="12"/>
                <w:szCs w:val="12"/>
              </w:rPr>
            </w:pP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12.113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12.113 </w:t>
            </w:r>
          </w:p>
        </w:tc>
      </w:tr>
      <w:tr w:rsidR="00E9008A" w:rsidRPr="00316249" w:rsidTr="005B7D01">
        <w:trPr>
          <w:trHeight w:val="154"/>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Impostos, Taxas e Contribuições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2.343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2.343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1.501.478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sz w:val="12"/>
                <w:szCs w:val="12"/>
              </w:rPr>
            </w:pPr>
            <w:r w:rsidRPr="00316249">
              <w:rPr>
                <w:b/>
                <w:sz w:val="12"/>
                <w:szCs w:val="12"/>
              </w:rPr>
              <w:t>9.346 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1.510.824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Federal</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1.752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1.752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862.926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9.346 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872.272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Estadual e Municipal</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591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591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638.552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638.552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Remuneração de Capitais de Terceiros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207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207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286.380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286.380 </w:t>
            </w:r>
          </w:p>
        </w:tc>
      </w:tr>
      <w:tr w:rsidR="00E9008A" w:rsidRPr="00316249" w:rsidTr="005B7D01">
        <w:trPr>
          <w:trHeight w:val="12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Aluguéis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118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118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42.233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42.233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Despesas Financeiras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89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89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244.147 </w:t>
            </w:r>
          </w:p>
        </w:tc>
        <w:tc>
          <w:tcPr>
            <w:tcW w:w="1103" w:type="dxa"/>
            <w:tcBorders>
              <w:top w:val="nil"/>
              <w:left w:val="nil"/>
              <w:bottom w:val="nil"/>
              <w:right w:val="nil"/>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244.147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rPr>
                <w:b/>
                <w:bCs/>
                <w:sz w:val="12"/>
                <w:szCs w:val="12"/>
              </w:rPr>
            </w:pPr>
            <w:r w:rsidRPr="00316249">
              <w:rPr>
                <w:b/>
                <w:bCs/>
                <w:sz w:val="12"/>
                <w:szCs w:val="12"/>
              </w:rPr>
              <w:t>Remuneração de Capitais Próprios</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64.666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(39.218)</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25.448</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88.519 </w:t>
            </w:r>
          </w:p>
        </w:tc>
        <w:tc>
          <w:tcPr>
            <w:tcW w:w="1103" w:type="dxa"/>
            <w:tcBorders>
              <w:top w:val="single" w:sz="4" w:space="0" w:color="auto"/>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 (39.218)</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b/>
                <w:bCs/>
                <w:sz w:val="12"/>
                <w:szCs w:val="12"/>
              </w:rPr>
            </w:pPr>
            <w:r w:rsidRPr="00316249">
              <w:rPr>
                <w:b/>
                <w:bCs/>
                <w:sz w:val="12"/>
                <w:szCs w:val="12"/>
              </w:rPr>
              <w:t xml:space="preserve">49.301 </w:t>
            </w:r>
          </w:p>
        </w:tc>
      </w:tr>
      <w:tr w:rsidR="00E9008A" w:rsidRPr="00316249" w:rsidTr="005B7D01">
        <w:trPr>
          <w:trHeight w:val="5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 xml:space="preserve">Participação dos Acionistas Não Controladores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23.853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23.853 </w:t>
            </w:r>
          </w:p>
        </w:tc>
      </w:tr>
      <w:tr w:rsidR="00E9008A" w:rsidRPr="00316249" w:rsidTr="005B7D01">
        <w:trPr>
          <w:trHeight w:val="74"/>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E9008A" w:rsidRPr="00316249" w:rsidRDefault="00E9008A" w:rsidP="005B7D01">
            <w:pPr>
              <w:ind w:firstLineChars="300" w:firstLine="360"/>
              <w:rPr>
                <w:sz w:val="12"/>
                <w:szCs w:val="12"/>
              </w:rPr>
            </w:pPr>
            <w:r w:rsidRPr="00316249">
              <w:rPr>
                <w:sz w:val="12"/>
                <w:szCs w:val="12"/>
              </w:rPr>
              <w:t xml:space="preserve">Lucros Líquidos/(Prejuízos) Retidos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64.666 </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(39.218)</w:t>
            </w:r>
          </w:p>
        </w:tc>
        <w:tc>
          <w:tcPr>
            <w:tcW w:w="0" w:type="auto"/>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25.448 </w:t>
            </w:r>
          </w:p>
        </w:tc>
        <w:tc>
          <w:tcPr>
            <w:tcW w:w="122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64.666 </w:t>
            </w:r>
          </w:p>
        </w:tc>
        <w:tc>
          <w:tcPr>
            <w:tcW w:w="1103"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(39.218)</w:t>
            </w:r>
          </w:p>
        </w:tc>
        <w:tc>
          <w:tcPr>
            <w:tcW w:w="1272" w:type="dxa"/>
            <w:tcBorders>
              <w:top w:val="nil"/>
              <w:left w:val="nil"/>
              <w:bottom w:val="single" w:sz="4" w:space="0" w:color="auto"/>
              <w:right w:val="single" w:sz="4" w:space="0" w:color="auto"/>
            </w:tcBorders>
            <w:shd w:val="clear" w:color="000000" w:fill="FFFFFF"/>
            <w:noWrap/>
            <w:vAlign w:val="center"/>
            <w:hideMark/>
          </w:tcPr>
          <w:p w:rsidR="00E9008A" w:rsidRPr="00316249" w:rsidRDefault="00E9008A" w:rsidP="005B7D01">
            <w:pPr>
              <w:jc w:val="right"/>
              <w:rPr>
                <w:sz w:val="12"/>
                <w:szCs w:val="12"/>
              </w:rPr>
            </w:pPr>
            <w:r w:rsidRPr="00316249">
              <w:rPr>
                <w:sz w:val="12"/>
                <w:szCs w:val="12"/>
              </w:rPr>
              <w:t xml:space="preserve">                     25.448 </w:t>
            </w:r>
          </w:p>
        </w:tc>
      </w:tr>
    </w:tbl>
    <w:p w:rsidR="00E9008A" w:rsidRPr="00316249" w:rsidRDefault="00E9008A" w:rsidP="00E9008A">
      <w:pPr>
        <w:rPr>
          <w:b/>
          <w:sz w:val="22"/>
          <w:szCs w:val="22"/>
        </w:rPr>
      </w:pPr>
    </w:p>
    <w:p w:rsidR="00E9008A" w:rsidRPr="00316249" w:rsidRDefault="00E9008A" w:rsidP="00E9008A">
      <w:pPr>
        <w:rPr>
          <w:b/>
          <w:sz w:val="22"/>
          <w:szCs w:val="22"/>
        </w:rPr>
      </w:pPr>
      <w:r w:rsidRPr="00316249">
        <w:rPr>
          <w:b/>
          <w:sz w:val="22"/>
          <w:szCs w:val="22"/>
        </w:rPr>
        <w:t xml:space="preserve">Os eventos que motivaram os ajustes estão descritos </w:t>
      </w:r>
      <w:r>
        <w:rPr>
          <w:b/>
          <w:sz w:val="22"/>
          <w:szCs w:val="22"/>
        </w:rPr>
        <w:t>a seguir</w:t>
      </w:r>
      <w:r w:rsidRPr="00316249">
        <w:rPr>
          <w:b/>
          <w:sz w:val="22"/>
          <w:szCs w:val="22"/>
        </w:rPr>
        <w:t>:</w:t>
      </w:r>
    </w:p>
    <w:p w:rsidR="00E9008A" w:rsidRPr="00316249" w:rsidRDefault="00E9008A" w:rsidP="00E9008A">
      <w:pPr>
        <w:rPr>
          <w:b/>
          <w:sz w:val="22"/>
          <w:szCs w:val="22"/>
        </w:rPr>
      </w:pPr>
    </w:p>
    <w:p w:rsidR="00E9008A" w:rsidRPr="00316249" w:rsidRDefault="00E9008A" w:rsidP="00E9008A">
      <w:pPr>
        <w:rPr>
          <w:b/>
          <w:sz w:val="22"/>
          <w:szCs w:val="22"/>
        </w:rPr>
      </w:pPr>
      <w:r>
        <w:rPr>
          <w:b/>
          <w:sz w:val="22"/>
          <w:szCs w:val="22"/>
        </w:rPr>
        <w:t>(</w:t>
      </w:r>
      <w:r w:rsidRPr="00316249">
        <w:rPr>
          <w:b/>
          <w:sz w:val="22"/>
          <w:szCs w:val="22"/>
        </w:rPr>
        <w:t>i) Reclassificações</w:t>
      </w:r>
    </w:p>
    <w:p w:rsidR="00E9008A" w:rsidRPr="00316249" w:rsidRDefault="00E9008A" w:rsidP="00E9008A">
      <w:pPr>
        <w:rPr>
          <w:b/>
          <w:sz w:val="22"/>
          <w:szCs w:val="22"/>
        </w:rPr>
      </w:pPr>
    </w:p>
    <w:p w:rsidR="00E9008A" w:rsidRPr="00316249" w:rsidRDefault="00E9008A" w:rsidP="00E9008A">
      <w:pPr>
        <w:pStyle w:val="PargrafodaLista"/>
        <w:numPr>
          <w:ilvl w:val="0"/>
          <w:numId w:val="30"/>
        </w:numPr>
        <w:contextualSpacing/>
        <w:jc w:val="both"/>
        <w:rPr>
          <w:rFonts w:ascii="Times New Roman" w:hAnsi="Times New Roman" w:cs="Times New Roman"/>
          <w:lang w:val="pt-BR" w:eastAsia="pt-BR"/>
        </w:rPr>
      </w:pPr>
      <w:r>
        <w:rPr>
          <w:rFonts w:ascii="Times New Roman" w:hAnsi="Times New Roman" w:cs="Times New Roman"/>
          <w:b/>
          <w:lang w:val="pt-BR" w:eastAsia="pt-BR"/>
        </w:rPr>
        <w:t>Ativo Financeiro de C</w:t>
      </w:r>
      <w:r w:rsidRPr="00316249">
        <w:rPr>
          <w:rFonts w:ascii="Times New Roman" w:hAnsi="Times New Roman" w:cs="Times New Roman"/>
          <w:b/>
          <w:lang w:val="pt-BR" w:eastAsia="pt-BR"/>
        </w:rPr>
        <w:t xml:space="preserve">oncessões: </w:t>
      </w:r>
      <w:r w:rsidRPr="00316249">
        <w:rPr>
          <w:rFonts w:ascii="Times New Roman" w:hAnsi="Times New Roman" w:cs="Times New Roman"/>
          <w:lang w:val="pt-BR" w:eastAsia="pt-BR"/>
        </w:rPr>
        <w:t>Em dezembro de</w:t>
      </w:r>
      <w:r w:rsidRPr="00316249">
        <w:rPr>
          <w:rFonts w:ascii="Times New Roman" w:hAnsi="Times New Roman" w:cs="Times New Roman"/>
          <w:b/>
          <w:lang w:val="pt-BR" w:eastAsia="pt-BR"/>
        </w:rPr>
        <w:t xml:space="preserve"> </w:t>
      </w:r>
      <w:r w:rsidRPr="00316249">
        <w:rPr>
          <w:rFonts w:ascii="Times New Roman" w:hAnsi="Times New Roman" w:cs="Times New Roman"/>
          <w:lang w:val="pt-BR" w:eastAsia="pt-BR"/>
        </w:rPr>
        <w:t xml:space="preserve">2015, com a prorrogação do Contrato de Concessão de Distribuição por mais 30 anos, grande parte dos ativos classificados como financeiros foram transferidos para realização no ativo intangível, inclusive a remuneração aplicada ao Valor Novo de Reposição (VNR). Entretanto, após reanálise da transferência, verificou-se que </w:t>
      </w:r>
      <w:r>
        <w:rPr>
          <w:rFonts w:ascii="Times New Roman" w:hAnsi="Times New Roman" w:cs="Times New Roman"/>
          <w:lang w:val="pt-BR" w:eastAsia="pt-BR"/>
        </w:rPr>
        <w:t xml:space="preserve">os </w:t>
      </w:r>
      <w:r w:rsidRPr="00316249">
        <w:rPr>
          <w:rFonts w:ascii="Times New Roman" w:hAnsi="Times New Roman" w:cs="Times New Roman"/>
          <w:lang w:val="pt-BR" w:eastAsia="pt-BR"/>
        </w:rPr>
        <w:t>valores dessa remuneração</w:t>
      </w:r>
      <w:r>
        <w:rPr>
          <w:rFonts w:ascii="Times New Roman" w:hAnsi="Times New Roman" w:cs="Times New Roman"/>
          <w:lang w:val="pt-BR" w:eastAsia="pt-BR"/>
        </w:rPr>
        <w:t>,</w:t>
      </w:r>
      <w:r w:rsidRPr="00316249">
        <w:rPr>
          <w:rFonts w:ascii="Times New Roman" w:hAnsi="Times New Roman" w:cs="Times New Roman"/>
          <w:lang w:val="pt-BR" w:eastAsia="pt-BR"/>
        </w:rPr>
        <w:t xml:space="preserve"> aplicáveis à rubrica Terreno</w:t>
      </w:r>
      <w:r>
        <w:rPr>
          <w:rFonts w:ascii="Times New Roman" w:hAnsi="Times New Roman" w:cs="Times New Roman"/>
          <w:lang w:val="pt-BR" w:eastAsia="pt-BR"/>
        </w:rPr>
        <w:t>,</w:t>
      </w:r>
      <w:r w:rsidRPr="00316249">
        <w:rPr>
          <w:rFonts w:ascii="Times New Roman" w:hAnsi="Times New Roman" w:cs="Times New Roman"/>
          <w:lang w:val="pt-BR" w:eastAsia="pt-BR"/>
        </w:rPr>
        <w:t xml:space="preserve"> havia sido tran</w:t>
      </w:r>
      <w:r>
        <w:rPr>
          <w:rFonts w:ascii="Times New Roman" w:hAnsi="Times New Roman" w:cs="Times New Roman"/>
          <w:lang w:val="pt-BR" w:eastAsia="pt-BR"/>
        </w:rPr>
        <w:t>sferidos</w:t>
      </w:r>
      <w:r w:rsidRPr="00316249">
        <w:rPr>
          <w:rFonts w:ascii="Times New Roman" w:hAnsi="Times New Roman" w:cs="Times New Roman"/>
          <w:lang w:val="pt-BR" w:eastAsia="pt-BR"/>
        </w:rPr>
        <w:t xml:space="preserve"> para o Ativo Intangível. Tal transferência em 2015 gerou efeito positivo no resultado pela reversão do diferimento do Imposto de Renda e Contribuição Social </w:t>
      </w:r>
      <w:r>
        <w:rPr>
          <w:rFonts w:ascii="Times New Roman" w:hAnsi="Times New Roman" w:cs="Times New Roman"/>
          <w:lang w:val="pt-BR" w:eastAsia="pt-BR"/>
        </w:rPr>
        <w:t>S</w:t>
      </w:r>
      <w:r w:rsidRPr="00316249">
        <w:rPr>
          <w:rFonts w:ascii="Times New Roman" w:hAnsi="Times New Roman" w:cs="Times New Roman"/>
          <w:lang w:val="pt-BR" w:eastAsia="pt-BR"/>
        </w:rPr>
        <w:t>obre Lucro.</w:t>
      </w:r>
    </w:p>
    <w:p w:rsidR="00E9008A" w:rsidRPr="00316249" w:rsidRDefault="00E9008A" w:rsidP="00E9008A">
      <w:pPr>
        <w:ind w:left="709"/>
        <w:jc w:val="both"/>
        <w:rPr>
          <w:sz w:val="22"/>
          <w:szCs w:val="22"/>
        </w:rPr>
      </w:pPr>
      <w:r w:rsidRPr="00316249">
        <w:rPr>
          <w:sz w:val="22"/>
          <w:szCs w:val="22"/>
        </w:rPr>
        <w:t>Em dezembro de 2016</w:t>
      </w:r>
      <w:r>
        <w:rPr>
          <w:sz w:val="22"/>
          <w:szCs w:val="22"/>
        </w:rPr>
        <w:t>,</w:t>
      </w:r>
      <w:r w:rsidRPr="00316249">
        <w:rPr>
          <w:sz w:val="22"/>
          <w:szCs w:val="22"/>
        </w:rPr>
        <w:t xml:space="preserve"> a Companhia procedeu </w:t>
      </w:r>
      <w:r>
        <w:rPr>
          <w:sz w:val="22"/>
          <w:szCs w:val="22"/>
        </w:rPr>
        <w:t>a</w:t>
      </w:r>
      <w:r w:rsidRPr="00316249">
        <w:rPr>
          <w:sz w:val="22"/>
          <w:szCs w:val="22"/>
        </w:rPr>
        <w:t xml:space="preserve"> reclassificação contábil efetuando a transferência do valor de R$ 67.721 do Ativo Intangível para o Ativo Financeiro e efetuou o ajuste contábil dos tributos diferidos sobre o VNR, gerando um efeito negativo no Patrimônio Líquido de R$ 23.014.</w:t>
      </w:r>
    </w:p>
    <w:p w:rsidR="00E9008A" w:rsidRPr="00316249" w:rsidRDefault="00E9008A" w:rsidP="00E9008A">
      <w:pPr>
        <w:ind w:left="709"/>
        <w:jc w:val="both"/>
        <w:rPr>
          <w:sz w:val="22"/>
          <w:szCs w:val="22"/>
        </w:rPr>
      </w:pPr>
    </w:p>
    <w:p w:rsidR="00E9008A" w:rsidRPr="00316249" w:rsidRDefault="00E9008A" w:rsidP="00E9008A">
      <w:pPr>
        <w:pStyle w:val="PargrafodaLista"/>
        <w:numPr>
          <w:ilvl w:val="0"/>
          <w:numId w:val="30"/>
        </w:numPr>
        <w:contextualSpacing/>
        <w:jc w:val="both"/>
        <w:rPr>
          <w:rFonts w:ascii="Times New Roman" w:hAnsi="Times New Roman" w:cs="Times New Roman"/>
          <w:lang w:val="pt-BR" w:eastAsia="pt-BR"/>
        </w:rPr>
      </w:pPr>
      <w:r w:rsidRPr="00316249">
        <w:rPr>
          <w:rFonts w:ascii="Times New Roman" w:hAnsi="Times New Roman" w:cs="Times New Roman"/>
          <w:b/>
          <w:lang w:val="pt-BR" w:eastAsia="pt-BR"/>
        </w:rPr>
        <w:t>Taxa de Fiscalização</w:t>
      </w:r>
      <w:r w:rsidRPr="00316249">
        <w:rPr>
          <w:rFonts w:ascii="Times New Roman" w:hAnsi="Times New Roman" w:cs="Times New Roman"/>
          <w:lang w:val="pt-BR" w:eastAsia="pt-BR"/>
        </w:rPr>
        <w:t>: A Taxa de Fiscalização ANEEL em 2015 foi apresentada como Custo de Operação no grupo de Despesas Operacionais – Serviço com Energia. Em 2016 a Taxa de Fiscalização foi reclassificada para o grupo Deduções da Receita (R$ 2.467) conforme determina a ANEEL no Manual de Contabilidade.</w:t>
      </w:r>
    </w:p>
    <w:p w:rsidR="00E9008A" w:rsidRPr="00316249" w:rsidRDefault="00E9008A" w:rsidP="00E9008A">
      <w:pPr>
        <w:pStyle w:val="PargrafodaLista"/>
        <w:contextualSpacing/>
        <w:jc w:val="both"/>
        <w:rPr>
          <w:rFonts w:ascii="Times New Roman" w:hAnsi="Times New Roman" w:cs="Times New Roman"/>
          <w:lang w:val="pt-BR" w:eastAsia="pt-BR"/>
        </w:rPr>
      </w:pPr>
    </w:p>
    <w:p w:rsidR="00E9008A" w:rsidRPr="00316249" w:rsidRDefault="00E9008A" w:rsidP="00E9008A">
      <w:pPr>
        <w:pStyle w:val="PargrafodaLista"/>
        <w:numPr>
          <w:ilvl w:val="0"/>
          <w:numId w:val="30"/>
        </w:numPr>
        <w:contextualSpacing/>
        <w:jc w:val="both"/>
        <w:rPr>
          <w:rFonts w:ascii="Times New Roman" w:hAnsi="Times New Roman" w:cs="Times New Roman"/>
          <w:lang w:val="pt-BR" w:eastAsia="pt-BR"/>
        </w:rPr>
      </w:pPr>
      <w:r w:rsidRPr="00316249">
        <w:rPr>
          <w:rFonts w:ascii="Times New Roman" w:hAnsi="Times New Roman" w:cs="Times New Roman"/>
          <w:b/>
          <w:lang w:val="pt-BR" w:eastAsia="pt-BR"/>
        </w:rPr>
        <w:t xml:space="preserve">Participação nos Lucros e Custo com Previdência Privada: </w:t>
      </w:r>
      <w:r w:rsidRPr="00316249">
        <w:rPr>
          <w:rFonts w:ascii="Times New Roman" w:hAnsi="Times New Roman" w:cs="Times New Roman"/>
          <w:lang w:val="pt-BR" w:eastAsia="pt-BR"/>
        </w:rPr>
        <w:t>Com a implantação do novo sistema ERP/SAP foi possível segregar os custos com participação nos Lucros e com a Previdência Privada entre Custo de Operação, Despesas com Vendas e Despesas Gerais e Administrativas. Diante disso, os valores apresentados em 2015 foram reclassificados para fins de comparabilidade.</w:t>
      </w:r>
    </w:p>
    <w:p w:rsidR="00E9008A" w:rsidRPr="00316249" w:rsidRDefault="00E9008A" w:rsidP="00E9008A">
      <w:pPr>
        <w:pStyle w:val="PargrafodaLista"/>
        <w:spacing w:after="0"/>
        <w:rPr>
          <w:rFonts w:ascii="Times New Roman" w:hAnsi="Times New Roman" w:cs="Times New Roman"/>
          <w:lang w:val="pt-BR" w:eastAsia="pt-BR"/>
        </w:rPr>
      </w:pPr>
    </w:p>
    <w:p w:rsidR="00E9008A" w:rsidRPr="00316249" w:rsidRDefault="00E9008A" w:rsidP="00E9008A">
      <w:pPr>
        <w:pStyle w:val="PargrafodaLista"/>
        <w:numPr>
          <w:ilvl w:val="0"/>
          <w:numId w:val="30"/>
        </w:numPr>
        <w:contextualSpacing/>
        <w:jc w:val="both"/>
        <w:rPr>
          <w:rFonts w:ascii="Times New Roman" w:hAnsi="Times New Roman" w:cs="Times New Roman"/>
          <w:lang w:val="pt-BR" w:eastAsia="pt-BR"/>
        </w:rPr>
      </w:pPr>
      <w:r w:rsidRPr="00316249">
        <w:rPr>
          <w:rFonts w:ascii="Times New Roman" w:hAnsi="Times New Roman" w:cs="Times New Roman"/>
          <w:b/>
          <w:lang w:val="pt-BR" w:eastAsia="pt-BR"/>
        </w:rPr>
        <w:t xml:space="preserve">Receita de Recuperação de Perdas e Compensação a Consumidores: </w:t>
      </w:r>
      <w:r w:rsidRPr="00316249">
        <w:rPr>
          <w:rFonts w:ascii="Times New Roman" w:hAnsi="Times New Roman" w:cs="Times New Roman"/>
          <w:lang w:val="pt-BR" w:eastAsia="pt-BR"/>
        </w:rPr>
        <w:t>Os valores relativos à Receita de Recuperação de Perdas e Compensação a Consumidores foram apresentados no exercício de 2015 como Outras Receitas e Outras Despesas, respectivamente. Em 2016 tais valores estão sendo apresentados como Despesas com Vendas para melhoria da divulgação e comparação.</w:t>
      </w:r>
    </w:p>
    <w:p w:rsidR="00E9008A" w:rsidRPr="00316249" w:rsidRDefault="00E9008A" w:rsidP="00E9008A">
      <w:pPr>
        <w:jc w:val="both"/>
        <w:rPr>
          <w:b/>
          <w:bCs/>
          <w:color w:val="000000"/>
          <w:sz w:val="22"/>
          <w:szCs w:val="22"/>
        </w:rPr>
      </w:pPr>
      <w:r>
        <w:rPr>
          <w:b/>
          <w:bCs/>
          <w:color w:val="000000"/>
          <w:sz w:val="22"/>
          <w:szCs w:val="22"/>
        </w:rPr>
        <w:t>(</w:t>
      </w:r>
      <w:proofErr w:type="spellStart"/>
      <w:r w:rsidRPr="00316249">
        <w:rPr>
          <w:b/>
          <w:bCs/>
          <w:color w:val="000000"/>
          <w:sz w:val="22"/>
          <w:szCs w:val="22"/>
        </w:rPr>
        <w:t>ii</w:t>
      </w:r>
      <w:proofErr w:type="spellEnd"/>
      <w:r w:rsidRPr="00316249">
        <w:rPr>
          <w:b/>
          <w:bCs/>
          <w:color w:val="000000"/>
          <w:sz w:val="22"/>
          <w:szCs w:val="22"/>
        </w:rPr>
        <w:t>) Ajustes</w:t>
      </w:r>
    </w:p>
    <w:p w:rsidR="00E9008A" w:rsidRPr="00316249" w:rsidRDefault="00E9008A" w:rsidP="00E9008A">
      <w:pPr>
        <w:jc w:val="both"/>
        <w:rPr>
          <w:b/>
          <w:bCs/>
          <w:color w:val="000000"/>
          <w:sz w:val="22"/>
          <w:szCs w:val="22"/>
        </w:rPr>
      </w:pPr>
    </w:p>
    <w:p w:rsidR="00E9008A" w:rsidRPr="00316249" w:rsidRDefault="00E9008A" w:rsidP="00E9008A">
      <w:pPr>
        <w:pStyle w:val="PargrafodaLista"/>
        <w:numPr>
          <w:ilvl w:val="0"/>
          <w:numId w:val="31"/>
        </w:numPr>
        <w:ind w:left="709" w:hanging="425"/>
        <w:contextualSpacing/>
        <w:jc w:val="both"/>
        <w:rPr>
          <w:rFonts w:ascii="Times New Roman" w:hAnsi="Times New Roman" w:cs="Times New Roman"/>
          <w:lang w:val="pt-BR"/>
        </w:rPr>
      </w:pPr>
      <w:r w:rsidRPr="00316249">
        <w:rPr>
          <w:rFonts w:ascii="Times New Roman" w:hAnsi="Times New Roman" w:cs="Times New Roman"/>
          <w:b/>
          <w:lang w:val="pt-BR"/>
        </w:rPr>
        <w:t>Ativos e Passivos Regulatórios (CVA):</w:t>
      </w:r>
      <w:r w:rsidRPr="00316249">
        <w:rPr>
          <w:rFonts w:ascii="Times New Roman" w:hAnsi="Times New Roman" w:cs="Times New Roman"/>
          <w:lang w:val="pt-BR"/>
        </w:rPr>
        <w:t xml:space="preserve"> Por meio da Resolução Homologatória nº 1.937, de 25 de agosto de 2015, a ANEEL homologou os valores dos componentes tarifários financeiros do IRT 2015 contabilizados pela CEB Distribuição</w:t>
      </w:r>
      <w:r>
        <w:rPr>
          <w:rFonts w:ascii="Times New Roman" w:hAnsi="Times New Roman" w:cs="Times New Roman"/>
          <w:lang w:val="pt-BR"/>
        </w:rPr>
        <w:t xml:space="preserve"> S.A.</w:t>
      </w:r>
      <w:r w:rsidRPr="00316249">
        <w:rPr>
          <w:rFonts w:ascii="Times New Roman" w:hAnsi="Times New Roman" w:cs="Times New Roman"/>
          <w:lang w:val="pt-BR"/>
        </w:rPr>
        <w:t xml:space="preserve"> para serem amortizados à medida da realização do faturamento mensal.</w:t>
      </w:r>
    </w:p>
    <w:p w:rsidR="00E9008A" w:rsidRPr="00316249" w:rsidRDefault="00E9008A" w:rsidP="00E9008A">
      <w:pPr>
        <w:ind w:left="709"/>
        <w:jc w:val="both"/>
        <w:rPr>
          <w:sz w:val="22"/>
          <w:szCs w:val="22"/>
        </w:rPr>
      </w:pPr>
      <w:r w:rsidRPr="00316249">
        <w:rPr>
          <w:sz w:val="22"/>
          <w:szCs w:val="22"/>
        </w:rPr>
        <w:t>Em abril de 2016, na apuração da amortização da CVA, verificou-se a ocorrência de valores subestimados em relação ao total dos componentes financeiros no período pós IRT de 2015, no valor líquido de R$ 31.660.</w:t>
      </w:r>
    </w:p>
    <w:p w:rsidR="00E9008A" w:rsidRPr="00316249" w:rsidRDefault="00E9008A" w:rsidP="00E9008A">
      <w:pPr>
        <w:ind w:left="709"/>
        <w:jc w:val="both"/>
        <w:rPr>
          <w:sz w:val="22"/>
          <w:szCs w:val="22"/>
        </w:rPr>
      </w:pPr>
    </w:p>
    <w:p w:rsidR="00E9008A" w:rsidRPr="00316249" w:rsidRDefault="00E9008A" w:rsidP="00E9008A">
      <w:pPr>
        <w:ind w:left="709"/>
        <w:jc w:val="both"/>
        <w:rPr>
          <w:sz w:val="22"/>
          <w:szCs w:val="22"/>
        </w:rPr>
      </w:pPr>
      <w:r w:rsidRPr="00316249">
        <w:rPr>
          <w:sz w:val="22"/>
          <w:szCs w:val="22"/>
        </w:rPr>
        <w:t>A CEB D, por sua vez, realizou o registro desta transação, de forma retrospectiva, conforme preceitua o CPC 23 - Políticas Contábeis, Mudança de Estimativa e Retificação de Erro e CPC 26 (R1) – Apresentação das Demonstrações Contábeis.</w:t>
      </w:r>
    </w:p>
    <w:p w:rsidR="00E9008A" w:rsidRPr="00316249" w:rsidRDefault="00E9008A" w:rsidP="00E9008A">
      <w:pPr>
        <w:ind w:left="709"/>
        <w:jc w:val="both"/>
        <w:rPr>
          <w:sz w:val="22"/>
          <w:szCs w:val="22"/>
        </w:rPr>
      </w:pPr>
    </w:p>
    <w:p w:rsidR="00E9008A" w:rsidRPr="00316249" w:rsidRDefault="00E9008A" w:rsidP="00E9008A">
      <w:pPr>
        <w:ind w:left="709"/>
        <w:jc w:val="both"/>
        <w:rPr>
          <w:sz w:val="22"/>
          <w:szCs w:val="22"/>
        </w:rPr>
      </w:pPr>
      <w:r w:rsidRPr="00316249">
        <w:rPr>
          <w:sz w:val="22"/>
          <w:szCs w:val="22"/>
        </w:rPr>
        <w:t xml:space="preserve">O efeito desta transação no patrimônio líquido da distribuidora foi de R$ 16.204, decorrente do registro nos ativos e passivos regulatórios (R$ 31.243 e </w:t>
      </w:r>
      <w:r>
        <w:rPr>
          <w:sz w:val="22"/>
          <w:szCs w:val="22"/>
        </w:rPr>
        <w:t xml:space="preserve">R$ </w:t>
      </w:r>
      <w:r w:rsidRPr="00316249">
        <w:rPr>
          <w:sz w:val="22"/>
          <w:szCs w:val="22"/>
        </w:rPr>
        <w:t xml:space="preserve">62.903, respectivamente), nos impostos diferidos (R$ 13.668) e na provisão da Participação nos Lucros e Resultados </w:t>
      </w:r>
      <w:r>
        <w:rPr>
          <w:sz w:val="22"/>
          <w:szCs w:val="22"/>
        </w:rPr>
        <w:t>–</w:t>
      </w:r>
      <w:r w:rsidRPr="00316249">
        <w:rPr>
          <w:sz w:val="22"/>
          <w:szCs w:val="22"/>
        </w:rPr>
        <w:t xml:space="preserve"> PLR (R$ 1.788).</w:t>
      </w:r>
    </w:p>
    <w:p w:rsidR="00E9008A" w:rsidRPr="00316249" w:rsidRDefault="00E9008A" w:rsidP="00E9008A">
      <w:pPr>
        <w:ind w:left="709"/>
        <w:jc w:val="both"/>
        <w:rPr>
          <w:sz w:val="22"/>
          <w:szCs w:val="22"/>
        </w:rPr>
      </w:pPr>
    </w:p>
    <w:p w:rsidR="00E9008A" w:rsidRPr="00316249" w:rsidRDefault="00E9008A" w:rsidP="00E9008A">
      <w:pPr>
        <w:pStyle w:val="PargrafodaLista"/>
        <w:numPr>
          <w:ilvl w:val="0"/>
          <w:numId w:val="31"/>
        </w:numPr>
        <w:ind w:left="709" w:hanging="425"/>
        <w:contextualSpacing/>
        <w:jc w:val="both"/>
        <w:rPr>
          <w:rFonts w:ascii="Times New Roman" w:hAnsi="Times New Roman" w:cs="Times New Roman"/>
          <w:lang w:val="pt-BR" w:eastAsia="pt-BR"/>
        </w:rPr>
      </w:pPr>
      <w:r w:rsidRPr="00316249">
        <w:rPr>
          <w:rFonts w:ascii="Times New Roman" w:hAnsi="Times New Roman" w:cs="Times New Roman"/>
          <w:b/>
          <w:lang w:val="pt-BR"/>
        </w:rPr>
        <w:t xml:space="preserve">Imposto de Renda e Contribuição Social diferidos sobre a Atualização Valor Novo de Reposição (VNR): </w:t>
      </w:r>
      <w:r w:rsidRPr="00316249">
        <w:rPr>
          <w:rFonts w:ascii="Times New Roman" w:hAnsi="Times New Roman" w:cs="Times New Roman"/>
          <w:lang w:val="pt-BR" w:eastAsia="pt-BR"/>
        </w:rPr>
        <w:t>Com a reclassificação do valor de R$ 67.721 do Ativo Intangível para o Ativo Financeiro foi necessário apropriar o diferimento do imposto de renda e a contribuição social sobre o VNR. O efeito desta transação no Patrimônio Líquido foi de R$ 23.014.</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 xml:space="preserve">INSTRUMENTOS FINANCEIROS E GESTÃO DE RISCO </w:t>
      </w:r>
    </w:p>
    <w:p w:rsidR="00E9008A" w:rsidRPr="00316249" w:rsidRDefault="00E9008A" w:rsidP="00E9008A">
      <w:pPr>
        <w:widowControl w:val="0"/>
        <w:spacing w:before="240"/>
        <w:jc w:val="both"/>
        <w:rPr>
          <w:sz w:val="22"/>
          <w:szCs w:val="22"/>
        </w:rPr>
      </w:pPr>
      <w:r w:rsidRPr="00316249">
        <w:rPr>
          <w:sz w:val="22"/>
          <w:szCs w:val="22"/>
        </w:rPr>
        <w:t>Relativamente à gestão de risco, há duas vertentes predominantes que têm merecido particular atenção da Administração: (i) a conjuntura econômico-financeira da CEB Distribuição S.A.; e (</w:t>
      </w:r>
      <w:proofErr w:type="spellStart"/>
      <w:r w:rsidRPr="00316249">
        <w:rPr>
          <w:sz w:val="22"/>
          <w:szCs w:val="22"/>
        </w:rPr>
        <w:t>ii</w:t>
      </w:r>
      <w:proofErr w:type="spellEnd"/>
      <w:r w:rsidRPr="00316249">
        <w:rPr>
          <w:sz w:val="22"/>
          <w:szCs w:val="22"/>
        </w:rPr>
        <w:t xml:space="preserve">) as </w:t>
      </w:r>
      <w:r w:rsidRPr="00316249">
        <w:rPr>
          <w:sz w:val="22"/>
          <w:szCs w:val="22"/>
        </w:rPr>
        <w:lastRenderedPageBreak/>
        <w:t xml:space="preserve">consequências da crise hídrica que repercutem no Mecanismo de Realocação de Energia – MRE, resultando em encargos relevantes para a CEB Lajeado S.A.; a CEB Participações S.A.; a CEB Geração S.A.; a Corumbá Concessões S.A.; e a Energética Corumbá III </w:t>
      </w:r>
      <w:proofErr w:type="gramStart"/>
      <w:r w:rsidRPr="00316249">
        <w:rPr>
          <w:sz w:val="22"/>
          <w:szCs w:val="22"/>
        </w:rPr>
        <w:t>S.A..</w:t>
      </w:r>
      <w:proofErr w:type="gramEnd"/>
    </w:p>
    <w:p w:rsidR="00E9008A" w:rsidRPr="00316249" w:rsidRDefault="00E9008A" w:rsidP="00E9008A">
      <w:pPr>
        <w:pStyle w:val="PargrafodaLista"/>
        <w:widowControl w:val="0"/>
        <w:numPr>
          <w:ilvl w:val="0"/>
          <w:numId w:val="22"/>
        </w:numPr>
        <w:spacing w:before="240"/>
        <w:ind w:left="426" w:hanging="426"/>
        <w:jc w:val="both"/>
        <w:rPr>
          <w:rFonts w:ascii="Times New Roman" w:hAnsi="Times New Roman" w:cs="Times New Roman"/>
          <w:lang w:val="pt-BR"/>
        </w:rPr>
      </w:pPr>
      <w:r w:rsidRPr="00316249">
        <w:rPr>
          <w:rFonts w:ascii="Times New Roman" w:hAnsi="Times New Roman" w:cs="Times New Roman"/>
          <w:lang w:val="pt-BR"/>
        </w:rPr>
        <w:t>Quanto à CEB D, a diretriz da Administração é oferecer um serviço de qualidade à população do Distrito Federal e garantir rentabilidade compatível com o mercado a</w:t>
      </w:r>
      <w:r>
        <w:rPr>
          <w:rFonts w:ascii="Times New Roman" w:hAnsi="Times New Roman" w:cs="Times New Roman"/>
          <w:lang w:val="pt-BR"/>
        </w:rPr>
        <w:t>os</w:t>
      </w:r>
      <w:r w:rsidRPr="00316249">
        <w:rPr>
          <w:rFonts w:ascii="Times New Roman" w:hAnsi="Times New Roman" w:cs="Times New Roman"/>
          <w:lang w:val="pt-BR"/>
        </w:rPr>
        <w:t xml:space="preserve"> seus acionistas. </w:t>
      </w:r>
    </w:p>
    <w:p w:rsidR="00E9008A" w:rsidRPr="00316249" w:rsidRDefault="00E9008A" w:rsidP="00E9008A">
      <w:pPr>
        <w:widowControl w:val="0"/>
        <w:spacing w:before="240"/>
        <w:ind w:left="426"/>
        <w:jc w:val="both"/>
        <w:rPr>
          <w:sz w:val="22"/>
          <w:szCs w:val="22"/>
        </w:rPr>
      </w:pPr>
      <w:r w:rsidRPr="00316249">
        <w:rPr>
          <w:sz w:val="22"/>
          <w:szCs w:val="22"/>
        </w:rPr>
        <w:t>A CEB Distribuição S.A. tem convivido com dois problemas estruturais: endividamento oneroso e custos e despesas operacionais incompatíveis com as receitas correspondentes.</w:t>
      </w:r>
    </w:p>
    <w:p w:rsidR="00E9008A" w:rsidRPr="00316249" w:rsidRDefault="00E9008A" w:rsidP="00E9008A">
      <w:pPr>
        <w:widowControl w:val="0"/>
        <w:spacing w:before="240"/>
        <w:ind w:left="426"/>
        <w:jc w:val="both"/>
        <w:rPr>
          <w:sz w:val="22"/>
          <w:szCs w:val="22"/>
        </w:rPr>
      </w:pPr>
      <w:r w:rsidRPr="00316249">
        <w:rPr>
          <w:sz w:val="22"/>
          <w:szCs w:val="22"/>
        </w:rPr>
        <w:t>Para combater a grave crise financeira da Distribuidora, a Administração, em janeiro de 2015, concebeu um plano de trabalho que envolve três fases: ajustes pontuais; ajustes estruturais; e reorganização societária do Grupo CEB.</w:t>
      </w:r>
    </w:p>
    <w:p w:rsidR="00E9008A" w:rsidRDefault="00E9008A" w:rsidP="00E9008A">
      <w:pPr>
        <w:widowControl w:val="0"/>
        <w:spacing w:before="240"/>
        <w:ind w:left="426"/>
        <w:jc w:val="both"/>
        <w:rPr>
          <w:sz w:val="22"/>
          <w:szCs w:val="22"/>
        </w:rPr>
      </w:pPr>
      <w:r w:rsidRPr="00316249">
        <w:rPr>
          <w:sz w:val="22"/>
          <w:szCs w:val="22"/>
        </w:rPr>
        <w:t>A primeira foi concluída. As segunda e terceira fases tiveram seu início com a publicação de Fato Relevante, em 28 de setembro de 2015, do Plano de Transformação, que abarca o conjunto de ações que visa melhorar a eficiência operacional e financeira da Companhia. Tal iniciativa tem o intuito de reverter o histórico recente de resultados negativos e chamadas de aporte de capital por parte dos acionistas. A segunda fase, reorganização societária do Grupo CEB, consiste, principalmente, nas alienações de ativos de geração de energia elétrica; e de distribuição de gás natural. Neste sentido, foi aprovada pelo Poder Público do Distrito Federal através da Lei nº 5.577, de 21 de dezembro de 2015. Conforme previsto pela Lei, os recursos oriundos da venda dos ativos serão destinados a investimentos, pagamentos de tributos e amortizações de dívidas. A terceira fase constitui-se, basicamente de reduções estruturais de custos e despesas operacionais.</w:t>
      </w:r>
    </w:p>
    <w:p w:rsidR="00E9008A" w:rsidRPr="00747E73" w:rsidRDefault="00E9008A" w:rsidP="00E9008A">
      <w:pPr>
        <w:pStyle w:val="PargrafodaLista"/>
        <w:widowControl w:val="0"/>
        <w:numPr>
          <w:ilvl w:val="0"/>
          <w:numId w:val="22"/>
        </w:numPr>
        <w:spacing w:before="240"/>
        <w:ind w:left="426" w:hanging="426"/>
        <w:jc w:val="both"/>
        <w:rPr>
          <w:rFonts w:ascii="Times New Roman" w:hAnsi="Times New Roman" w:cs="Times New Roman"/>
          <w:lang w:val="pt-BR"/>
        </w:rPr>
      </w:pPr>
      <w:r w:rsidRPr="00747E73">
        <w:rPr>
          <w:rFonts w:ascii="Times New Roman" w:hAnsi="Times New Roman" w:cs="Times New Roman"/>
          <w:lang w:val="pt-BR"/>
        </w:rPr>
        <w:t xml:space="preserve">Conforme relatado no Item 1.2 destas Notas Explicativas, as empresas geradoras controladas pela CEB aderiram ao “Acordo GDF – Repactuação do Risco Hidrológico” e promoveram ação judicial que resultou no diferimento “Do Pedido de Antecipação dos Efeitos da Tutela”, esta última em 31 de março de 2016. Essas iniciativas mitigaram os efeitos nocivos decorrentes da crise hídrica, bem como os desdobramentos causados pelas </w:t>
      </w:r>
      <w:proofErr w:type="spellStart"/>
      <w:r w:rsidRPr="00747E73">
        <w:rPr>
          <w:rFonts w:ascii="Times New Roman" w:hAnsi="Times New Roman" w:cs="Times New Roman"/>
          <w:lang w:val="pt-BR"/>
        </w:rPr>
        <w:t>judicializações</w:t>
      </w:r>
      <w:proofErr w:type="spellEnd"/>
      <w:r w:rsidRPr="00747E73">
        <w:rPr>
          <w:rFonts w:ascii="Times New Roman" w:hAnsi="Times New Roman" w:cs="Times New Roman"/>
          <w:lang w:val="pt-BR"/>
        </w:rPr>
        <w:t xml:space="preserve"> por parte daqueles que não aderiram à repactuação do risco hidrológico.</w:t>
      </w:r>
    </w:p>
    <w:p w:rsidR="00E9008A" w:rsidRPr="009752FC" w:rsidRDefault="00E9008A" w:rsidP="009752FC">
      <w:pPr>
        <w:pStyle w:val="PargrafodaLista"/>
        <w:numPr>
          <w:ilvl w:val="1"/>
          <w:numId w:val="23"/>
        </w:numPr>
        <w:spacing w:before="240" w:after="240"/>
        <w:ind w:hanging="574"/>
        <w:jc w:val="both"/>
        <w:rPr>
          <w:rFonts w:ascii="Times New Roman" w:eastAsia="Arial Unicode MS" w:hAnsi="Times New Roman" w:cs="Times New Roman"/>
          <w:b/>
          <w:iCs/>
        </w:rPr>
      </w:pPr>
      <w:r w:rsidRPr="009752FC">
        <w:rPr>
          <w:rFonts w:ascii="Times New Roman" w:eastAsia="Arial Unicode MS" w:hAnsi="Times New Roman" w:cs="Times New Roman"/>
          <w:b/>
          <w:iCs/>
        </w:rPr>
        <w:t xml:space="preserve">Fatores de Risco </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 xml:space="preserve">A Administração da CEB e de suas controladas tem total responsabilidade pelo estabelecimento e supervisão da estrutura de gerenciamento de seus riscos observando, para tanto, as avaliações técnicas corporativas das empresas do Grupo. </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 xml:space="preserve">As políticas de gerenciamento de risco são estabelecidas para dar previsibilidade a eventuais riscos, objetivando definir limites e controles apropriados, de forma a propiciar monitoração permanente e aderência aos limites operativos estabelecidos a cada empresa. A Administração busca, efetivamente, a previsibilidade com vistas ao acompanhamento de operações que porventura possam comprometer a liquidez e rentabilidade do Grupo. </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 xml:space="preserve">Essa política, lastreada em sistemas de gerenciamento de riscos, trata da revisão periódica dos riscos financeiros associados às captações, de modo a antecipar eventuais mudanças nas condições de mercado e seus reflexos nas atividades do Grupo. </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 xml:space="preserve">A CEB, por meio de seus atos normativos e de gestão em suas controladas, atua de forma a </w:t>
      </w:r>
      <w:r w:rsidRPr="00316249">
        <w:rPr>
          <w:sz w:val="22"/>
          <w:szCs w:val="22"/>
        </w:rPr>
        <w:lastRenderedPageBreak/>
        <w:t xml:space="preserve">desenvolver um ambiente de controle disciplinado e construtivo, no qual as empresas ajustam seus padrões de riscos às recomendações da Administração. </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O Grupo mantém operações com instrumentos financeiros, cujos limites de exposição aos riscos de crédito são aprovados e revisados periodicamente pela Administração. Todos os instrumentos financeiros são inerentes à atividade operacional do Grupo, que não opera com instrumentos financeiros derivativos.</w:t>
      </w:r>
    </w:p>
    <w:p w:rsidR="00E9008A" w:rsidRPr="009752FC" w:rsidRDefault="00E9008A" w:rsidP="009752FC">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Risco de crédito</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A controlada CEB D está obrigada, por força de regulamentação do setor de energia elétrica e cláusula incluída no contrato de concessão, a fornecer energia elétrica para todos os clientes localizados na sua área de concessão. De acordo com a regulamentação do setor, a concessionária tem o direito de cortar o fornecimento de energia elétrica dos consumidores que não efetuem o pagamento das faturas. Com 75% do consumo de energia baseado nos consumidores residenciais, comerciais e industriais, a concessionária, bem como o Grupo, apresentam níveis baixos de risco de crédito. Seus maiores devedores continuam sendo os órgãos públicos, responsáveis por cerca de 20% do consumo total. Com relação aos procedimentos de cobrança, a Administração efetua o acompanhamento sistemático e individual junto aos seus clientes, encaminhando ao Serasa as inadimplências persistentes. A CEB D possui, ainda, linha de parcelamento a devedores, objetivando manter a liquidez de seus faturamentos.</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A maioria das demais controladas, coligadas e controladas em conjunto, possui como principal cliente a CEB D. O principal mitigador de risco é a regulamentação setorial, uma vez que os custos dessas contratações estão incorporados na Parcela A das tarifas, que são capturados nos processos de reajustes e de revisões tarifárias.</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Além dos aspectos apresentados, a Administração entende que a estrutura de controle e contratações adotada para a minimização de riscos de crédito, corroborada pela regulação setorial emanada da Agência Nacional de Energia Elétrica – ANEEL, garante às concessionárias riscos mínimos de sofrer perdas decorrentes de inadimplência de suas contrapartes ou de instituições financeiras depositárias de recursos financeiros. Do mesmo modo, a prudência nos investimentos financeiros minimiza os riscos de crédito, uma vez que realiza operações com instituições financeiras de baixo risco avaliadas por agência de </w:t>
      </w:r>
      <w:r w:rsidRPr="00316249">
        <w:rPr>
          <w:i/>
          <w:sz w:val="22"/>
          <w:szCs w:val="22"/>
        </w:rPr>
        <w:t>rating</w:t>
      </w:r>
      <w:r w:rsidRPr="00316249">
        <w:rPr>
          <w:sz w:val="22"/>
          <w:szCs w:val="22"/>
        </w:rPr>
        <w:t xml:space="preserve">. Reitera-se, finalmente, que a Distribuidora utiliza todas as ferramentas de cobrança permitidas pelo Órgão Regulador, tais como: corte por inadimplência; negativação de débitos e acompanhamento; e negociação permanente das posições em aberto. </w:t>
      </w:r>
    </w:p>
    <w:p w:rsidR="00E9008A" w:rsidRPr="009752FC" w:rsidRDefault="00E9008A" w:rsidP="009752FC">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 xml:space="preserve">Risco de liquidez </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O Grupo, em especial a CEB D, tem financiado suas operações com recursos oriundos de suas atividades operacionais, do mercado financeiro e de empresas controladas e coligadas. A situação econômica e financeira é constantemente avaliada por meio de informações da área financeira, tratadas em ambiente de executivos da Companhia.</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Os planos da Administração para manutenção das atividades da concessionária passam, entre outros, pela venda de ativos não operacionais; desinvestimentos de ativos em operação; na rentabilidade futura dos investimentos em andamento; e na capacidade de obter novas linhas de financiamentos. Assim, as demonstrações financeiras foram elaboradas no pressuposto de continuidade normal dos negócios da concessionária e não incluem nenhum ajuste relativo à realização e à classificação dos ativos ou quanto aos valores e à classificação dos passivos que seriam requeridos na impossibilidade de a controlada continuar operando.</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lastRenderedPageBreak/>
        <w:t>A seguir, estão demonstrados os fluxos de caixa contratuais dos passivos financeiros: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0"/>
        <w:gridCol w:w="870"/>
        <w:gridCol w:w="901"/>
        <w:gridCol w:w="882"/>
        <w:gridCol w:w="1030"/>
        <w:gridCol w:w="1030"/>
        <w:gridCol w:w="1028"/>
      </w:tblGrid>
      <w:tr w:rsidR="00E9008A" w:rsidRPr="00316249" w:rsidTr="005B7D01">
        <w:trPr>
          <w:trHeight w:val="425"/>
          <w:tblHeader/>
        </w:trPr>
        <w:tc>
          <w:tcPr>
            <w:tcW w:w="1884" w:type="pct"/>
            <w:shd w:val="clear" w:color="000000" w:fill="D9D9D9"/>
            <w:vAlign w:val="center"/>
            <w:hideMark/>
          </w:tcPr>
          <w:p w:rsidR="00E9008A" w:rsidRPr="00316249" w:rsidRDefault="00E9008A" w:rsidP="005B7D01">
            <w:pPr>
              <w:spacing w:before="240" w:after="240"/>
              <w:jc w:val="center"/>
              <w:rPr>
                <w:color w:val="000000"/>
                <w:sz w:val="16"/>
                <w:szCs w:val="18"/>
              </w:rPr>
            </w:pPr>
            <w:r w:rsidRPr="00316249">
              <w:rPr>
                <w:b/>
                <w:bCs/>
                <w:color w:val="000000"/>
                <w:sz w:val="16"/>
                <w:szCs w:val="18"/>
              </w:rPr>
              <w:t>Consolidado</w:t>
            </w:r>
          </w:p>
        </w:tc>
        <w:tc>
          <w:tcPr>
            <w:tcW w:w="472" w:type="pct"/>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Valor</w:t>
            </w:r>
          </w:p>
        </w:tc>
        <w:tc>
          <w:tcPr>
            <w:tcW w:w="489" w:type="pct"/>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Até 6 meses</w:t>
            </w:r>
          </w:p>
        </w:tc>
        <w:tc>
          <w:tcPr>
            <w:tcW w:w="479" w:type="pct"/>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De 6 meses a 1 ano</w:t>
            </w:r>
          </w:p>
        </w:tc>
        <w:tc>
          <w:tcPr>
            <w:tcW w:w="559" w:type="pct"/>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De 1 a 2 anos</w:t>
            </w:r>
          </w:p>
        </w:tc>
        <w:tc>
          <w:tcPr>
            <w:tcW w:w="559" w:type="pct"/>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De 2 a 5 anos</w:t>
            </w:r>
          </w:p>
        </w:tc>
        <w:tc>
          <w:tcPr>
            <w:tcW w:w="558" w:type="pct"/>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 xml:space="preserve">Mais de 5 anos </w:t>
            </w:r>
          </w:p>
        </w:tc>
      </w:tr>
      <w:tr w:rsidR="00E9008A" w:rsidRPr="00316249" w:rsidTr="005B7D01">
        <w:trPr>
          <w:trHeight w:val="57"/>
        </w:trPr>
        <w:tc>
          <w:tcPr>
            <w:tcW w:w="1884" w:type="pct"/>
            <w:shd w:val="clear" w:color="auto" w:fill="auto"/>
            <w:noWrap/>
            <w:vAlign w:val="center"/>
            <w:hideMark/>
          </w:tcPr>
          <w:p w:rsidR="00E9008A" w:rsidRPr="00316249" w:rsidRDefault="00E9008A" w:rsidP="005B7D01">
            <w:pPr>
              <w:rPr>
                <w:b/>
                <w:bCs/>
                <w:color w:val="000000"/>
                <w:sz w:val="16"/>
                <w:szCs w:val="18"/>
              </w:rPr>
            </w:pPr>
            <w:r w:rsidRPr="00316249">
              <w:rPr>
                <w:b/>
                <w:bCs/>
                <w:color w:val="000000"/>
                <w:sz w:val="16"/>
                <w:szCs w:val="18"/>
              </w:rPr>
              <w:t xml:space="preserve">Passivos </w:t>
            </w:r>
            <w:r>
              <w:rPr>
                <w:b/>
                <w:bCs/>
                <w:color w:val="000000"/>
                <w:sz w:val="16"/>
                <w:szCs w:val="18"/>
              </w:rPr>
              <w:t>F</w:t>
            </w:r>
            <w:r w:rsidRPr="00316249">
              <w:rPr>
                <w:b/>
                <w:bCs/>
                <w:color w:val="000000"/>
                <w:sz w:val="16"/>
                <w:szCs w:val="18"/>
              </w:rPr>
              <w:t xml:space="preserve">inanceiros </w:t>
            </w:r>
            <w:r>
              <w:rPr>
                <w:b/>
                <w:bCs/>
                <w:color w:val="000000"/>
                <w:sz w:val="16"/>
                <w:szCs w:val="18"/>
              </w:rPr>
              <w:t>N</w:t>
            </w:r>
            <w:r w:rsidRPr="00316249">
              <w:rPr>
                <w:b/>
                <w:bCs/>
                <w:color w:val="000000"/>
                <w:sz w:val="16"/>
                <w:szCs w:val="18"/>
              </w:rPr>
              <w:t xml:space="preserve">ão </w:t>
            </w:r>
            <w:r>
              <w:rPr>
                <w:b/>
                <w:bCs/>
                <w:color w:val="000000"/>
                <w:sz w:val="16"/>
                <w:szCs w:val="18"/>
              </w:rPr>
              <w:t>D</w:t>
            </w:r>
            <w:r w:rsidRPr="00316249">
              <w:rPr>
                <w:b/>
                <w:bCs/>
                <w:color w:val="000000"/>
                <w:sz w:val="16"/>
                <w:szCs w:val="18"/>
              </w:rPr>
              <w:t xml:space="preserve">erivativos </w:t>
            </w:r>
          </w:p>
        </w:tc>
        <w:tc>
          <w:tcPr>
            <w:tcW w:w="472"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 </w:t>
            </w:r>
          </w:p>
        </w:tc>
        <w:tc>
          <w:tcPr>
            <w:tcW w:w="489"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 </w:t>
            </w:r>
          </w:p>
        </w:tc>
        <w:tc>
          <w:tcPr>
            <w:tcW w:w="479"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 </w:t>
            </w:r>
          </w:p>
        </w:tc>
        <w:tc>
          <w:tcPr>
            <w:tcW w:w="559"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 </w:t>
            </w:r>
          </w:p>
        </w:tc>
        <w:tc>
          <w:tcPr>
            <w:tcW w:w="559"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 </w:t>
            </w:r>
          </w:p>
        </w:tc>
        <w:tc>
          <w:tcPr>
            <w:tcW w:w="558"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 </w:t>
            </w:r>
          </w:p>
        </w:tc>
      </w:tr>
      <w:tr w:rsidR="00E9008A" w:rsidRPr="00316249" w:rsidTr="005B7D01">
        <w:trPr>
          <w:trHeight w:val="46"/>
        </w:trPr>
        <w:tc>
          <w:tcPr>
            <w:tcW w:w="1884"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Fornecedores</w:t>
            </w:r>
          </w:p>
        </w:tc>
        <w:tc>
          <w:tcPr>
            <w:tcW w:w="472"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219.195</w:t>
            </w:r>
          </w:p>
        </w:tc>
        <w:tc>
          <w:tcPr>
            <w:tcW w:w="48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219.195</w:t>
            </w:r>
          </w:p>
        </w:tc>
        <w:tc>
          <w:tcPr>
            <w:tcW w:w="479" w:type="pct"/>
            <w:shd w:val="clear" w:color="auto" w:fill="auto"/>
            <w:noWrap/>
            <w:vAlign w:val="center"/>
          </w:tcPr>
          <w:p w:rsidR="00E9008A" w:rsidRPr="00316249" w:rsidRDefault="00E9008A" w:rsidP="005B7D01">
            <w:pPr>
              <w:jc w:val="right"/>
              <w:rPr>
                <w:color w:val="000000"/>
                <w:sz w:val="16"/>
                <w:szCs w:val="18"/>
              </w:rPr>
            </w:pPr>
          </w:p>
        </w:tc>
        <w:tc>
          <w:tcPr>
            <w:tcW w:w="559" w:type="pct"/>
            <w:shd w:val="clear" w:color="auto" w:fill="auto"/>
            <w:noWrap/>
            <w:vAlign w:val="center"/>
          </w:tcPr>
          <w:p w:rsidR="00E9008A" w:rsidRPr="00316249" w:rsidRDefault="00E9008A" w:rsidP="005B7D01">
            <w:pPr>
              <w:jc w:val="right"/>
              <w:rPr>
                <w:color w:val="000000"/>
                <w:sz w:val="16"/>
                <w:szCs w:val="18"/>
              </w:rPr>
            </w:pPr>
          </w:p>
        </w:tc>
        <w:tc>
          <w:tcPr>
            <w:tcW w:w="559"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w:t>
            </w:r>
          </w:p>
        </w:tc>
        <w:tc>
          <w:tcPr>
            <w:tcW w:w="558"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w:t>
            </w:r>
          </w:p>
        </w:tc>
      </w:tr>
      <w:tr w:rsidR="00E9008A" w:rsidRPr="00316249" w:rsidTr="005B7D01">
        <w:trPr>
          <w:trHeight w:val="46"/>
        </w:trPr>
        <w:tc>
          <w:tcPr>
            <w:tcW w:w="1884"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Empréstimos e Financiamentos</w:t>
            </w:r>
          </w:p>
        </w:tc>
        <w:tc>
          <w:tcPr>
            <w:tcW w:w="472"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218.986</w:t>
            </w:r>
          </w:p>
        </w:tc>
        <w:tc>
          <w:tcPr>
            <w:tcW w:w="48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21.922</w:t>
            </w:r>
          </w:p>
        </w:tc>
        <w:tc>
          <w:tcPr>
            <w:tcW w:w="47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21.922</w:t>
            </w:r>
          </w:p>
        </w:tc>
        <w:tc>
          <w:tcPr>
            <w:tcW w:w="55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52.366</w:t>
            </w:r>
          </w:p>
        </w:tc>
        <w:tc>
          <w:tcPr>
            <w:tcW w:w="55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77.942</w:t>
            </w:r>
          </w:p>
        </w:tc>
        <w:tc>
          <w:tcPr>
            <w:tcW w:w="558"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44.834</w:t>
            </w:r>
          </w:p>
        </w:tc>
      </w:tr>
      <w:tr w:rsidR="00E9008A" w:rsidRPr="00316249" w:rsidTr="005B7D01">
        <w:trPr>
          <w:trHeight w:val="113"/>
        </w:trPr>
        <w:tc>
          <w:tcPr>
            <w:tcW w:w="1884"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Debêntures</w:t>
            </w:r>
          </w:p>
        </w:tc>
        <w:tc>
          <w:tcPr>
            <w:tcW w:w="472"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181.908</w:t>
            </w:r>
          </w:p>
        </w:tc>
        <w:tc>
          <w:tcPr>
            <w:tcW w:w="48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26.195</w:t>
            </w:r>
          </w:p>
        </w:tc>
        <w:tc>
          <w:tcPr>
            <w:tcW w:w="47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26.195</w:t>
            </w:r>
          </w:p>
        </w:tc>
        <w:tc>
          <w:tcPr>
            <w:tcW w:w="55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80.110</w:t>
            </w:r>
          </w:p>
        </w:tc>
        <w:tc>
          <w:tcPr>
            <w:tcW w:w="559"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48.653</w:t>
            </w:r>
          </w:p>
        </w:tc>
        <w:tc>
          <w:tcPr>
            <w:tcW w:w="558" w:type="pct"/>
            <w:shd w:val="clear" w:color="auto" w:fill="auto"/>
            <w:noWrap/>
            <w:vAlign w:val="center"/>
          </w:tcPr>
          <w:p w:rsidR="00E9008A" w:rsidRPr="00316249" w:rsidRDefault="00E9008A" w:rsidP="005B7D01">
            <w:pPr>
              <w:jc w:val="right"/>
              <w:rPr>
                <w:color w:val="000000"/>
                <w:sz w:val="16"/>
                <w:szCs w:val="18"/>
              </w:rPr>
            </w:pPr>
          </w:p>
        </w:tc>
      </w:tr>
      <w:tr w:rsidR="00E9008A" w:rsidRPr="00316249" w:rsidTr="005B7D01">
        <w:trPr>
          <w:trHeight w:val="46"/>
        </w:trPr>
        <w:tc>
          <w:tcPr>
            <w:tcW w:w="1884" w:type="pct"/>
            <w:shd w:val="clear" w:color="auto" w:fill="auto"/>
            <w:noWrap/>
            <w:vAlign w:val="center"/>
            <w:hideMark/>
          </w:tcPr>
          <w:p w:rsidR="00E9008A" w:rsidRPr="00316249" w:rsidRDefault="00E9008A" w:rsidP="005B7D01">
            <w:pPr>
              <w:rPr>
                <w:b/>
                <w:bCs/>
                <w:color w:val="000000"/>
                <w:sz w:val="16"/>
                <w:szCs w:val="18"/>
              </w:rPr>
            </w:pPr>
            <w:r w:rsidRPr="00316249">
              <w:rPr>
                <w:b/>
                <w:bCs/>
                <w:color w:val="000000"/>
                <w:sz w:val="16"/>
                <w:szCs w:val="18"/>
              </w:rPr>
              <w:t>Total</w:t>
            </w:r>
          </w:p>
        </w:tc>
        <w:tc>
          <w:tcPr>
            <w:tcW w:w="472"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620.089</w:t>
            </w:r>
          </w:p>
        </w:tc>
        <w:tc>
          <w:tcPr>
            <w:tcW w:w="489"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267.312</w:t>
            </w:r>
          </w:p>
        </w:tc>
        <w:tc>
          <w:tcPr>
            <w:tcW w:w="479"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48.117</w:t>
            </w:r>
          </w:p>
        </w:tc>
        <w:tc>
          <w:tcPr>
            <w:tcW w:w="559"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132.476</w:t>
            </w:r>
          </w:p>
        </w:tc>
        <w:tc>
          <w:tcPr>
            <w:tcW w:w="559"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126.595</w:t>
            </w:r>
          </w:p>
        </w:tc>
        <w:tc>
          <w:tcPr>
            <w:tcW w:w="558"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44.834</w:t>
            </w:r>
          </w:p>
        </w:tc>
      </w:tr>
    </w:tbl>
    <w:p w:rsidR="00E9008A" w:rsidRPr="009752FC" w:rsidRDefault="00E9008A" w:rsidP="009752FC">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 xml:space="preserve">Risco de taxa de juros </w:t>
      </w:r>
    </w:p>
    <w:p w:rsidR="00E9008A" w:rsidRPr="00316249" w:rsidRDefault="00E9008A" w:rsidP="00E9008A">
      <w:pPr>
        <w:widowControl w:val="0"/>
        <w:tabs>
          <w:tab w:val="left" w:pos="1134"/>
        </w:tabs>
        <w:spacing w:before="240" w:line="245" w:lineRule="auto"/>
        <w:jc w:val="both"/>
        <w:rPr>
          <w:sz w:val="22"/>
          <w:szCs w:val="22"/>
        </w:rPr>
      </w:pPr>
      <w:r w:rsidRPr="00316249">
        <w:rPr>
          <w:sz w:val="22"/>
          <w:szCs w:val="22"/>
        </w:rPr>
        <w:t>O Grupo possui ativos e passivos remunerados por taxas de expectativas inflacionárias e/ou encargos de juros. Esses ativos e passivos incluem, relevantemente, os créditos a receber na data-base do balanço, debêntures e os empréstimos passivos. Vide detalhamento desses encargos nas Notas Explicativas n</w:t>
      </w:r>
      <w:r w:rsidRPr="00316249">
        <w:rPr>
          <w:sz w:val="22"/>
          <w:szCs w:val="22"/>
          <w:vertAlign w:val="superscript"/>
        </w:rPr>
        <w:t>os</w:t>
      </w:r>
      <w:r w:rsidRPr="00316249">
        <w:rPr>
          <w:sz w:val="22"/>
          <w:szCs w:val="22"/>
        </w:rPr>
        <w:t xml:space="preserve"> 21 e 22, respectivamente.</w:t>
      </w:r>
    </w:p>
    <w:p w:rsidR="00E9008A" w:rsidRDefault="00E9008A" w:rsidP="00E9008A">
      <w:pPr>
        <w:widowControl w:val="0"/>
        <w:tabs>
          <w:tab w:val="left" w:pos="1134"/>
        </w:tabs>
        <w:spacing w:before="240" w:line="245" w:lineRule="auto"/>
        <w:jc w:val="both"/>
        <w:rPr>
          <w:sz w:val="22"/>
          <w:szCs w:val="22"/>
        </w:rPr>
      </w:pPr>
      <w:r w:rsidRPr="00316249">
        <w:rPr>
          <w:sz w:val="22"/>
          <w:szCs w:val="22"/>
        </w:rPr>
        <w:t>Consequentemente, as variações positivas e negativas dos indexadores e juros atreladas a esses ativos e passivos afetam diretamente o resultado do Grupo.</w:t>
      </w:r>
    </w:p>
    <w:p w:rsidR="009752FC" w:rsidRPr="00316249" w:rsidRDefault="009752FC" w:rsidP="009752FC">
      <w:pPr>
        <w:widowControl w:val="0"/>
        <w:tabs>
          <w:tab w:val="left" w:pos="1134"/>
        </w:tabs>
        <w:spacing w:line="245" w:lineRule="auto"/>
        <w:jc w:val="both"/>
        <w:rPr>
          <w:sz w:val="22"/>
          <w:szCs w:val="22"/>
        </w:rPr>
      </w:pPr>
    </w:p>
    <w:p w:rsidR="00E9008A" w:rsidRPr="00316249" w:rsidRDefault="00E9008A" w:rsidP="009752FC">
      <w:pPr>
        <w:pStyle w:val="PargrafodaLista"/>
        <w:numPr>
          <w:ilvl w:val="3"/>
          <w:numId w:val="23"/>
        </w:numPr>
        <w:ind w:left="567" w:hanging="567"/>
        <w:rPr>
          <w:rFonts w:ascii="Times New Roman" w:hAnsi="Times New Roman" w:cs="Times New Roman"/>
          <w:b/>
          <w:iCs/>
          <w:lang w:val="pt-BR"/>
        </w:rPr>
      </w:pPr>
      <w:r w:rsidRPr="00316249">
        <w:rPr>
          <w:rFonts w:ascii="Times New Roman" w:hAnsi="Times New Roman" w:cs="Times New Roman"/>
          <w:b/>
          <w:iCs/>
          <w:lang w:val="pt-BR"/>
        </w:rPr>
        <w:t>Análise de sensibilidade</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 Companhia desenvolveu análise de sensibilidade para os instrumentos financeiros do Grupo que estão sujeitos às oscilações nas taxas CDI, TJLP, IGPM e UMBNDES. A Companhia estima que, em um cenário provável em 31 de dezembro de 2017, as taxas CDI e IGP-M atinjam um patamar de 10,10% e 4,86%, respectivamente, de acordo com o Relatório Focus do Banco Central do Brasil, de 31 de dezembro de 2016 (</w:t>
      </w:r>
      <w:r w:rsidRPr="00CD36E6">
        <w:rPr>
          <w:sz w:val="22"/>
          <w:szCs w:val="22"/>
        </w:rPr>
        <w:t>média curto prazo – Top 5</w:t>
      </w:r>
      <w:r w:rsidRPr="00316249">
        <w:rPr>
          <w:sz w:val="22"/>
          <w:szCs w:val="22"/>
        </w:rPr>
        <w:t xml:space="preserve">). No caso da TJLP, atribuímos a taxa de 7,5% a.a., para o primeiro trimestre de 2017, conforme a Resolução nº 4.456 do BACEN, de 17 de dezembro de 2015. A Administração assumiu a premissa de que esta taxa não sofrerá alterações que possam impactar materialmente as projeções para a data de 31 de dezembro de 2017. Também se espera que a taxa de 4,32% da UMBNDES se mantenha estável para os próximos trimestres de 2017. A Companhia fez uma análise de sensibilidade dos efeitos nos resultados advindos de uma alta nas taxas de 25% e 50% em relação ao cenário provável, considerados como possível e remoto.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3"/>
        <w:gridCol w:w="1579"/>
        <w:gridCol w:w="1579"/>
      </w:tblGrid>
      <w:tr w:rsidR="00E9008A" w:rsidRPr="00316249" w:rsidTr="005B7D01">
        <w:trPr>
          <w:trHeight w:val="238"/>
          <w:tblHeader/>
        </w:trPr>
        <w:tc>
          <w:tcPr>
            <w:tcW w:w="3286" w:type="pct"/>
            <w:shd w:val="clear" w:color="000000" w:fill="D9D9D9"/>
            <w:noWrap/>
            <w:vAlign w:val="center"/>
            <w:hideMark/>
          </w:tcPr>
          <w:p w:rsidR="00E9008A" w:rsidRPr="00316249" w:rsidRDefault="00E9008A" w:rsidP="005B7D01">
            <w:pPr>
              <w:spacing w:before="240"/>
              <w:rPr>
                <w:color w:val="000000"/>
                <w:sz w:val="18"/>
                <w:szCs w:val="18"/>
              </w:rPr>
            </w:pPr>
            <w:r w:rsidRPr="00316249">
              <w:rPr>
                <w:color w:val="000000"/>
                <w:sz w:val="18"/>
                <w:szCs w:val="18"/>
              </w:rPr>
              <w:t> </w:t>
            </w:r>
          </w:p>
        </w:tc>
        <w:tc>
          <w:tcPr>
            <w:tcW w:w="85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w:t>
            </w:r>
          </w:p>
        </w:tc>
        <w:tc>
          <w:tcPr>
            <w:tcW w:w="85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w:t>
            </w:r>
          </w:p>
        </w:tc>
      </w:tr>
      <w:tr w:rsidR="00E9008A" w:rsidRPr="00316249" w:rsidTr="005B7D01">
        <w:trPr>
          <w:trHeight w:val="238"/>
        </w:trPr>
        <w:tc>
          <w:tcPr>
            <w:tcW w:w="3286"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CDI</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12,65%</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15,15%</w:t>
            </w:r>
          </w:p>
        </w:tc>
      </w:tr>
      <w:tr w:rsidR="00E9008A" w:rsidRPr="00316249" w:rsidTr="005B7D01">
        <w:trPr>
          <w:trHeight w:val="238"/>
        </w:trPr>
        <w:tc>
          <w:tcPr>
            <w:tcW w:w="3286"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TJLP</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9,38%</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11,25%</w:t>
            </w:r>
          </w:p>
        </w:tc>
      </w:tr>
      <w:tr w:rsidR="00E9008A" w:rsidRPr="00316249" w:rsidTr="005B7D01">
        <w:trPr>
          <w:trHeight w:val="238"/>
        </w:trPr>
        <w:tc>
          <w:tcPr>
            <w:tcW w:w="3286"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IGPM</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6,08%</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7,29%</w:t>
            </w:r>
          </w:p>
        </w:tc>
      </w:tr>
      <w:tr w:rsidR="00E9008A" w:rsidRPr="00316249" w:rsidTr="005B7D01">
        <w:trPr>
          <w:trHeight w:val="238"/>
        </w:trPr>
        <w:tc>
          <w:tcPr>
            <w:tcW w:w="3286"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UMBNDES</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5,40%</w:t>
            </w:r>
          </w:p>
        </w:tc>
        <w:tc>
          <w:tcPr>
            <w:tcW w:w="85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6,48%</w:t>
            </w:r>
          </w:p>
        </w:tc>
      </w:tr>
    </w:tbl>
    <w:p w:rsidR="00E9008A" w:rsidRPr="00316249" w:rsidRDefault="00E9008A" w:rsidP="00E9008A">
      <w:pPr>
        <w:widowControl w:val="0"/>
        <w:tabs>
          <w:tab w:val="left" w:pos="1134"/>
        </w:tabs>
        <w:spacing w:before="120" w:after="120" w:line="245" w:lineRule="auto"/>
        <w:jc w:val="both"/>
        <w:rPr>
          <w:sz w:val="22"/>
          <w:szCs w:val="22"/>
        </w:rPr>
      </w:pPr>
      <w:r w:rsidRPr="00316249">
        <w:rPr>
          <w:sz w:val="22"/>
          <w:szCs w:val="22"/>
        </w:rPr>
        <w:t>Fica registrado que os empréstimos contratados com taxas pré-fixadas não foram objeto de avaliação.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0"/>
        <w:gridCol w:w="1175"/>
        <w:gridCol w:w="1365"/>
        <w:gridCol w:w="1540"/>
        <w:gridCol w:w="1481"/>
      </w:tblGrid>
      <w:tr w:rsidR="00E9008A" w:rsidRPr="00316249" w:rsidTr="005B7D01">
        <w:trPr>
          <w:trHeight w:val="238"/>
        </w:trPr>
        <w:tc>
          <w:tcPr>
            <w:tcW w:w="1981" w:type="pct"/>
            <w:vMerge w:val="restart"/>
            <w:shd w:val="clear" w:color="000000" w:fill="D9D9D9"/>
            <w:noWrap/>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Alta do CDI</w:t>
            </w:r>
          </w:p>
        </w:tc>
        <w:tc>
          <w:tcPr>
            <w:tcW w:w="638" w:type="pct"/>
            <w:vMerge w:val="restar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Exposição</w:t>
            </w:r>
          </w:p>
          <w:p w:rsidR="00E9008A" w:rsidRPr="00316249" w:rsidRDefault="00E9008A" w:rsidP="005B7D01">
            <w:pPr>
              <w:jc w:val="center"/>
              <w:rPr>
                <w:b/>
                <w:bCs/>
                <w:color w:val="000000"/>
                <w:sz w:val="18"/>
                <w:szCs w:val="18"/>
              </w:rPr>
            </w:pPr>
            <w:r w:rsidRPr="00316249">
              <w:rPr>
                <w:b/>
                <w:bCs/>
                <w:color w:val="000000"/>
                <w:sz w:val="18"/>
                <w:szCs w:val="18"/>
              </w:rPr>
              <w:t xml:space="preserve"> (R$ mil)</w:t>
            </w:r>
          </w:p>
        </w:tc>
        <w:tc>
          <w:tcPr>
            <w:tcW w:w="2381" w:type="pct"/>
            <w:gridSpan w:val="3"/>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31/12/2016</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0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10,10%</w:t>
            </w:r>
          </w:p>
        </w:tc>
        <w:tc>
          <w:tcPr>
            <w:tcW w:w="83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12,65%</w:t>
            </w:r>
          </w:p>
        </w:tc>
        <w:tc>
          <w:tcPr>
            <w:tcW w:w="80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15,15%</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286.026</w:t>
            </w:r>
          </w:p>
        </w:tc>
        <w:tc>
          <w:tcPr>
            <w:tcW w:w="74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314.915</w:t>
            </w:r>
          </w:p>
        </w:tc>
        <w:tc>
          <w:tcPr>
            <w:tcW w:w="83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322.208</w:t>
            </w:r>
          </w:p>
        </w:tc>
        <w:tc>
          <w:tcPr>
            <w:tcW w:w="80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329.359</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do CDI</w:t>
            </w:r>
          </w:p>
        </w:tc>
        <w:tc>
          <w:tcPr>
            <w:tcW w:w="638" w:type="pct"/>
            <w:shd w:val="clear" w:color="auto" w:fill="auto"/>
            <w:noWrap/>
            <w:vAlign w:val="bottom"/>
          </w:tcPr>
          <w:p w:rsidR="00E9008A" w:rsidRPr="00316249" w:rsidRDefault="00E9008A" w:rsidP="005B7D01">
            <w:pPr>
              <w:jc w:val="right"/>
              <w:rPr>
                <w:color w:val="000000"/>
                <w:sz w:val="18"/>
                <w:szCs w:val="18"/>
              </w:rPr>
            </w:pPr>
          </w:p>
        </w:tc>
        <w:tc>
          <w:tcPr>
            <w:tcW w:w="74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(28.889)</w:t>
            </w:r>
          </w:p>
        </w:tc>
        <w:tc>
          <w:tcPr>
            <w:tcW w:w="83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(36.182)</w:t>
            </w:r>
          </w:p>
        </w:tc>
        <w:tc>
          <w:tcPr>
            <w:tcW w:w="80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(43.333)</w:t>
            </w:r>
          </w:p>
        </w:tc>
      </w:tr>
      <w:tr w:rsidR="00E9008A" w:rsidRPr="00316249" w:rsidTr="005B7D01">
        <w:trPr>
          <w:trHeight w:val="238"/>
        </w:trPr>
        <w:tc>
          <w:tcPr>
            <w:tcW w:w="1981" w:type="pct"/>
            <w:vMerge w:val="restart"/>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Alta do CDI</w:t>
            </w:r>
          </w:p>
        </w:tc>
        <w:tc>
          <w:tcPr>
            <w:tcW w:w="638" w:type="pct"/>
            <w:vMerge w:val="restar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Exposição</w:t>
            </w:r>
          </w:p>
          <w:p w:rsidR="00E9008A" w:rsidRPr="00316249" w:rsidRDefault="00E9008A" w:rsidP="005B7D01">
            <w:pPr>
              <w:jc w:val="center"/>
              <w:rPr>
                <w:b/>
                <w:bCs/>
                <w:color w:val="000000"/>
                <w:sz w:val="18"/>
                <w:szCs w:val="18"/>
              </w:rPr>
            </w:pPr>
            <w:r w:rsidRPr="00316249">
              <w:rPr>
                <w:b/>
                <w:bCs/>
                <w:color w:val="000000"/>
                <w:sz w:val="18"/>
                <w:szCs w:val="18"/>
              </w:rPr>
              <w:t xml:space="preserve"> (R$ mil)</w:t>
            </w:r>
          </w:p>
        </w:tc>
        <w:tc>
          <w:tcPr>
            <w:tcW w:w="2381" w:type="pct"/>
            <w:gridSpan w:val="3"/>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31/12/2015</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0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14,97%</w:t>
            </w:r>
          </w:p>
        </w:tc>
        <w:tc>
          <w:tcPr>
            <w:tcW w:w="83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18,71%</w:t>
            </w:r>
          </w:p>
        </w:tc>
        <w:tc>
          <w:tcPr>
            <w:tcW w:w="80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22,45%</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124.293</w:t>
            </w:r>
          </w:p>
        </w:tc>
        <w:tc>
          <w:tcPr>
            <w:tcW w:w="741"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142.900 </w:t>
            </w:r>
          </w:p>
        </w:tc>
        <w:tc>
          <w:tcPr>
            <w:tcW w:w="836"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147.548 </w:t>
            </w:r>
          </w:p>
        </w:tc>
        <w:tc>
          <w:tcPr>
            <w:tcW w:w="804"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152.197 </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lastRenderedPageBreak/>
              <w:t>Efeito da Variação do CDI</w:t>
            </w:r>
          </w:p>
        </w:tc>
        <w:tc>
          <w:tcPr>
            <w:tcW w:w="63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w:t>
            </w:r>
          </w:p>
        </w:tc>
        <w:tc>
          <w:tcPr>
            <w:tcW w:w="741"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(18.607)</w:t>
            </w:r>
          </w:p>
        </w:tc>
        <w:tc>
          <w:tcPr>
            <w:tcW w:w="836"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(23.255)</w:t>
            </w:r>
          </w:p>
        </w:tc>
        <w:tc>
          <w:tcPr>
            <w:tcW w:w="804"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(27.904)</w:t>
            </w:r>
          </w:p>
        </w:tc>
      </w:tr>
    </w:tbl>
    <w:p w:rsidR="00E9008A" w:rsidRPr="00316249" w:rsidRDefault="00E9008A" w:rsidP="00E9008A">
      <w:pPr>
        <w:widowControl w:val="0"/>
        <w:tabs>
          <w:tab w:val="left" w:pos="1134"/>
        </w:tabs>
        <w:spacing w:line="245" w:lineRule="auto"/>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0"/>
        <w:gridCol w:w="1175"/>
        <w:gridCol w:w="1365"/>
        <w:gridCol w:w="1540"/>
        <w:gridCol w:w="1481"/>
      </w:tblGrid>
      <w:tr w:rsidR="00E9008A" w:rsidRPr="00316249" w:rsidTr="005B7D01">
        <w:trPr>
          <w:trHeight w:val="238"/>
        </w:trPr>
        <w:tc>
          <w:tcPr>
            <w:tcW w:w="1981" w:type="pct"/>
            <w:vMerge w:val="restart"/>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Alta da TJLP</w:t>
            </w:r>
          </w:p>
        </w:tc>
        <w:tc>
          <w:tcPr>
            <w:tcW w:w="638" w:type="pct"/>
            <w:vMerge w:val="restar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Exposição </w:t>
            </w:r>
          </w:p>
          <w:p w:rsidR="00E9008A" w:rsidRPr="00316249" w:rsidRDefault="00E9008A" w:rsidP="005B7D01">
            <w:pPr>
              <w:jc w:val="center"/>
              <w:rPr>
                <w:b/>
                <w:bCs/>
                <w:color w:val="000000"/>
                <w:sz w:val="18"/>
                <w:szCs w:val="18"/>
              </w:rPr>
            </w:pPr>
            <w:r w:rsidRPr="00316249">
              <w:rPr>
                <w:b/>
                <w:bCs/>
                <w:color w:val="000000"/>
                <w:sz w:val="18"/>
                <w:szCs w:val="18"/>
              </w:rPr>
              <w:t>(R$ mil)</w:t>
            </w:r>
          </w:p>
        </w:tc>
        <w:tc>
          <w:tcPr>
            <w:tcW w:w="2381" w:type="pct"/>
            <w:gridSpan w:val="3"/>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31/12/2016</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0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7,5%</w:t>
            </w:r>
          </w:p>
        </w:tc>
        <w:tc>
          <w:tcPr>
            <w:tcW w:w="83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9,38%</w:t>
            </w:r>
          </w:p>
        </w:tc>
        <w:tc>
          <w:tcPr>
            <w:tcW w:w="80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11,25%</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65.739</w:t>
            </w:r>
          </w:p>
        </w:tc>
        <w:tc>
          <w:tcPr>
            <w:tcW w:w="74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70.669</w:t>
            </w:r>
          </w:p>
        </w:tc>
        <w:tc>
          <w:tcPr>
            <w:tcW w:w="83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71.905</w:t>
            </w:r>
          </w:p>
        </w:tc>
        <w:tc>
          <w:tcPr>
            <w:tcW w:w="80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73.135</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da TJLP</w:t>
            </w:r>
          </w:p>
        </w:tc>
        <w:tc>
          <w:tcPr>
            <w:tcW w:w="638" w:type="pct"/>
            <w:shd w:val="clear" w:color="auto" w:fill="auto"/>
            <w:noWrap/>
            <w:vAlign w:val="bottom"/>
          </w:tcPr>
          <w:p w:rsidR="00E9008A" w:rsidRPr="00316249" w:rsidRDefault="00E9008A" w:rsidP="005B7D01">
            <w:pPr>
              <w:rPr>
                <w:color w:val="000000"/>
                <w:sz w:val="18"/>
                <w:szCs w:val="18"/>
              </w:rPr>
            </w:pPr>
          </w:p>
        </w:tc>
        <w:tc>
          <w:tcPr>
            <w:tcW w:w="74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(4.930)</w:t>
            </w:r>
          </w:p>
        </w:tc>
        <w:tc>
          <w:tcPr>
            <w:tcW w:w="83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(6.166)</w:t>
            </w:r>
          </w:p>
        </w:tc>
        <w:tc>
          <w:tcPr>
            <w:tcW w:w="80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(7.396)</w:t>
            </w:r>
          </w:p>
        </w:tc>
      </w:tr>
      <w:tr w:rsidR="00E9008A" w:rsidRPr="00316249" w:rsidTr="005B7D01">
        <w:trPr>
          <w:trHeight w:val="238"/>
        </w:trPr>
        <w:tc>
          <w:tcPr>
            <w:tcW w:w="1981" w:type="pct"/>
            <w:vMerge w:val="restart"/>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Alta da TJLP</w:t>
            </w:r>
          </w:p>
        </w:tc>
        <w:tc>
          <w:tcPr>
            <w:tcW w:w="638" w:type="pct"/>
            <w:vMerge w:val="restar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Exposição </w:t>
            </w:r>
          </w:p>
          <w:p w:rsidR="00E9008A" w:rsidRPr="00316249" w:rsidRDefault="00E9008A" w:rsidP="005B7D01">
            <w:pPr>
              <w:jc w:val="center"/>
              <w:rPr>
                <w:b/>
                <w:bCs/>
                <w:color w:val="000000"/>
                <w:sz w:val="18"/>
                <w:szCs w:val="18"/>
              </w:rPr>
            </w:pPr>
            <w:r w:rsidRPr="00316249">
              <w:rPr>
                <w:b/>
                <w:bCs/>
                <w:color w:val="000000"/>
                <w:sz w:val="18"/>
                <w:szCs w:val="18"/>
              </w:rPr>
              <w:t>(R$ mil)</w:t>
            </w:r>
          </w:p>
        </w:tc>
        <w:tc>
          <w:tcPr>
            <w:tcW w:w="2381" w:type="pct"/>
            <w:gridSpan w:val="3"/>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31/12/2015</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 – 25%</w:t>
            </w:r>
          </w:p>
        </w:tc>
        <w:tc>
          <w:tcPr>
            <w:tcW w:w="80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 – 50%</w:t>
            </w:r>
          </w:p>
        </w:tc>
      </w:tr>
      <w:tr w:rsidR="00E9008A" w:rsidRPr="00316249" w:rsidTr="005B7D01">
        <w:trPr>
          <w:trHeight w:val="238"/>
        </w:trPr>
        <w:tc>
          <w:tcPr>
            <w:tcW w:w="1981" w:type="pct"/>
            <w:vMerge/>
            <w:vAlign w:val="center"/>
            <w:hideMark/>
          </w:tcPr>
          <w:p w:rsidR="00E9008A" w:rsidRPr="00316249" w:rsidRDefault="00E9008A" w:rsidP="005B7D01">
            <w:pPr>
              <w:rPr>
                <w:b/>
                <w:bCs/>
                <w:color w:val="000000"/>
                <w:sz w:val="18"/>
                <w:szCs w:val="18"/>
              </w:rPr>
            </w:pPr>
          </w:p>
        </w:tc>
        <w:tc>
          <w:tcPr>
            <w:tcW w:w="638" w:type="pct"/>
            <w:vMerge/>
            <w:vAlign w:val="center"/>
            <w:hideMark/>
          </w:tcPr>
          <w:p w:rsidR="00E9008A" w:rsidRPr="00316249" w:rsidRDefault="00E9008A" w:rsidP="005B7D01">
            <w:pPr>
              <w:rPr>
                <w:b/>
                <w:bCs/>
                <w:color w:val="000000"/>
                <w:sz w:val="18"/>
                <w:szCs w:val="18"/>
              </w:rPr>
            </w:pPr>
          </w:p>
        </w:tc>
        <w:tc>
          <w:tcPr>
            <w:tcW w:w="741"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7,50%</w:t>
            </w:r>
          </w:p>
        </w:tc>
        <w:tc>
          <w:tcPr>
            <w:tcW w:w="83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9,38%</w:t>
            </w:r>
          </w:p>
        </w:tc>
        <w:tc>
          <w:tcPr>
            <w:tcW w:w="80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11,25%</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99.293</w:t>
            </w:r>
          </w:p>
        </w:tc>
        <w:tc>
          <w:tcPr>
            <w:tcW w:w="741"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106.740 </w:t>
            </w:r>
          </w:p>
        </w:tc>
        <w:tc>
          <w:tcPr>
            <w:tcW w:w="836"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108.602 </w:t>
            </w:r>
          </w:p>
        </w:tc>
        <w:tc>
          <w:tcPr>
            <w:tcW w:w="804"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110.463 </w:t>
            </w:r>
          </w:p>
        </w:tc>
      </w:tr>
      <w:tr w:rsidR="00E9008A" w:rsidRPr="00316249" w:rsidTr="005B7D01">
        <w:trPr>
          <w:trHeight w:val="238"/>
        </w:trPr>
        <w:tc>
          <w:tcPr>
            <w:tcW w:w="1981"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da TJLP</w:t>
            </w:r>
          </w:p>
        </w:tc>
        <w:tc>
          <w:tcPr>
            <w:tcW w:w="63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w:t>
            </w:r>
          </w:p>
        </w:tc>
        <w:tc>
          <w:tcPr>
            <w:tcW w:w="741"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(7.447)</w:t>
            </w:r>
          </w:p>
        </w:tc>
        <w:tc>
          <w:tcPr>
            <w:tcW w:w="836"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(9.309)</w:t>
            </w:r>
          </w:p>
        </w:tc>
        <w:tc>
          <w:tcPr>
            <w:tcW w:w="804"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(11.170)</w:t>
            </w:r>
          </w:p>
        </w:tc>
      </w:tr>
    </w:tbl>
    <w:p w:rsidR="00E9008A" w:rsidRPr="00316249" w:rsidRDefault="00E9008A" w:rsidP="00E9008A">
      <w:pPr>
        <w:widowControl w:val="0"/>
        <w:tabs>
          <w:tab w:val="left" w:pos="1134"/>
        </w:tabs>
        <w:spacing w:line="245" w:lineRule="auto"/>
        <w:jc w:val="both"/>
        <w:rPr>
          <w:sz w:val="22"/>
          <w:szCs w:val="22"/>
        </w:rPr>
      </w:pPr>
    </w:p>
    <w:tbl>
      <w:tblPr>
        <w:tblW w:w="5000" w:type="pct"/>
        <w:tblCellMar>
          <w:left w:w="70" w:type="dxa"/>
          <w:right w:w="70" w:type="dxa"/>
        </w:tblCellMar>
        <w:tblLook w:val="04A0" w:firstRow="1" w:lastRow="0" w:firstColumn="1" w:lastColumn="0" w:noHBand="0" w:noVBand="1"/>
      </w:tblPr>
      <w:tblGrid>
        <w:gridCol w:w="3650"/>
        <w:gridCol w:w="1175"/>
        <w:gridCol w:w="1365"/>
        <w:gridCol w:w="1540"/>
        <w:gridCol w:w="1481"/>
      </w:tblGrid>
      <w:tr w:rsidR="00E9008A" w:rsidRPr="00316249" w:rsidTr="005B7D01">
        <w:trPr>
          <w:trHeight w:val="238"/>
        </w:trPr>
        <w:tc>
          <w:tcPr>
            <w:tcW w:w="198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Alta do IGP</w:t>
            </w:r>
            <w:r>
              <w:rPr>
                <w:b/>
                <w:bCs/>
                <w:color w:val="000000"/>
                <w:sz w:val="18"/>
                <w:szCs w:val="18"/>
              </w:rPr>
              <w:t>-</w:t>
            </w:r>
            <w:r w:rsidRPr="00316249">
              <w:rPr>
                <w:b/>
                <w:bCs/>
                <w:color w:val="000000"/>
                <w:sz w:val="18"/>
                <w:szCs w:val="18"/>
              </w:rPr>
              <w:t>M</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Exposição </w:t>
            </w:r>
          </w:p>
          <w:p w:rsidR="00E9008A" w:rsidRPr="00316249" w:rsidRDefault="00E9008A" w:rsidP="005B7D01">
            <w:pPr>
              <w:jc w:val="center"/>
              <w:rPr>
                <w:b/>
                <w:bCs/>
                <w:color w:val="000000"/>
                <w:sz w:val="18"/>
                <w:szCs w:val="18"/>
              </w:rPr>
            </w:pPr>
            <w:r w:rsidRPr="00316249">
              <w:rPr>
                <w:b/>
                <w:bCs/>
                <w:color w:val="000000"/>
                <w:sz w:val="18"/>
                <w:szCs w:val="18"/>
              </w:rPr>
              <w:t>(R$ mil)</w:t>
            </w:r>
          </w:p>
        </w:tc>
        <w:tc>
          <w:tcPr>
            <w:tcW w:w="2381" w:type="pct"/>
            <w:gridSpan w:val="3"/>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31/12/2016</w:t>
            </w:r>
          </w:p>
        </w:tc>
      </w:tr>
      <w:tr w:rsidR="00E9008A" w:rsidRPr="00316249" w:rsidTr="005B7D01">
        <w:trPr>
          <w:trHeight w:val="238"/>
        </w:trPr>
        <w:tc>
          <w:tcPr>
            <w:tcW w:w="198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98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4,86%</w:t>
            </w:r>
          </w:p>
        </w:tc>
        <w:tc>
          <w:tcPr>
            <w:tcW w:w="83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6,08%</w:t>
            </w:r>
          </w:p>
        </w:tc>
        <w:tc>
          <w:tcPr>
            <w:tcW w:w="80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7,29%</w:t>
            </w:r>
          </w:p>
        </w:tc>
      </w:tr>
      <w:tr w:rsidR="00E9008A" w:rsidRPr="00316249" w:rsidTr="005B7D01">
        <w:trPr>
          <w:trHeight w:val="238"/>
        </w:trPr>
        <w:tc>
          <w:tcPr>
            <w:tcW w:w="1981" w:type="pct"/>
            <w:tcBorders>
              <w:top w:val="nil"/>
              <w:left w:val="single" w:sz="4" w:space="0" w:color="auto"/>
              <w:bottom w:val="nil"/>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839</w:t>
            </w:r>
          </w:p>
        </w:tc>
        <w:tc>
          <w:tcPr>
            <w:tcW w:w="741"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880</w:t>
            </w:r>
          </w:p>
        </w:tc>
        <w:tc>
          <w:tcPr>
            <w:tcW w:w="836"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931</w:t>
            </w:r>
          </w:p>
        </w:tc>
        <w:tc>
          <w:tcPr>
            <w:tcW w:w="804"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992</w:t>
            </w:r>
          </w:p>
        </w:tc>
      </w:tr>
      <w:tr w:rsidR="00E9008A" w:rsidRPr="00316249" w:rsidTr="005B7D01">
        <w:trPr>
          <w:trHeight w:val="238"/>
        </w:trPr>
        <w:tc>
          <w:tcPr>
            <w:tcW w:w="19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do IGP</w:t>
            </w:r>
            <w:r>
              <w:rPr>
                <w:b/>
                <w:bCs/>
                <w:color w:val="000000"/>
                <w:sz w:val="18"/>
                <w:szCs w:val="18"/>
              </w:rPr>
              <w:t>-</w:t>
            </w:r>
            <w:r w:rsidRPr="00316249">
              <w:rPr>
                <w:b/>
                <w:bCs/>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w:t>
            </w:r>
          </w:p>
        </w:tc>
        <w:tc>
          <w:tcPr>
            <w:tcW w:w="741"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(41)</w:t>
            </w:r>
          </w:p>
        </w:tc>
        <w:tc>
          <w:tcPr>
            <w:tcW w:w="836"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(92)</w:t>
            </w:r>
          </w:p>
        </w:tc>
        <w:tc>
          <w:tcPr>
            <w:tcW w:w="804"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(153)</w:t>
            </w:r>
          </w:p>
        </w:tc>
      </w:tr>
      <w:tr w:rsidR="00E9008A" w:rsidRPr="00316249" w:rsidTr="005B7D01">
        <w:trPr>
          <w:trHeight w:val="238"/>
        </w:trPr>
        <w:tc>
          <w:tcPr>
            <w:tcW w:w="1981" w:type="pct"/>
            <w:vMerge w:val="restar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Alta do IGP</w:t>
            </w:r>
            <w:r>
              <w:rPr>
                <w:b/>
                <w:bCs/>
                <w:color w:val="000000"/>
                <w:sz w:val="18"/>
                <w:szCs w:val="18"/>
              </w:rPr>
              <w:t>-</w:t>
            </w:r>
            <w:r w:rsidRPr="00316249">
              <w:rPr>
                <w:b/>
                <w:bCs/>
                <w:color w:val="000000"/>
                <w:sz w:val="18"/>
                <w:szCs w:val="18"/>
              </w:rPr>
              <w:t>M</w:t>
            </w:r>
          </w:p>
        </w:tc>
        <w:tc>
          <w:tcPr>
            <w:tcW w:w="638"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Exposição </w:t>
            </w:r>
          </w:p>
          <w:p w:rsidR="00E9008A" w:rsidRPr="00316249" w:rsidRDefault="00E9008A" w:rsidP="005B7D01">
            <w:pPr>
              <w:jc w:val="center"/>
              <w:rPr>
                <w:b/>
                <w:bCs/>
                <w:color w:val="000000"/>
                <w:sz w:val="18"/>
                <w:szCs w:val="18"/>
              </w:rPr>
            </w:pPr>
            <w:r w:rsidRPr="00316249">
              <w:rPr>
                <w:b/>
                <w:bCs/>
                <w:color w:val="000000"/>
                <w:sz w:val="18"/>
                <w:szCs w:val="18"/>
              </w:rPr>
              <w:t>(R$ mil)</w:t>
            </w:r>
          </w:p>
        </w:tc>
        <w:tc>
          <w:tcPr>
            <w:tcW w:w="2381" w:type="pct"/>
            <w:gridSpan w:val="3"/>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31/12/2015</w:t>
            </w:r>
          </w:p>
        </w:tc>
      </w:tr>
      <w:tr w:rsidR="00E9008A" w:rsidRPr="00316249" w:rsidTr="005B7D01">
        <w:trPr>
          <w:trHeight w:val="238"/>
        </w:trPr>
        <w:tc>
          <w:tcPr>
            <w:tcW w:w="1981"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981"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6,63%</w:t>
            </w:r>
          </w:p>
        </w:tc>
        <w:tc>
          <w:tcPr>
            <w:tcW w:w="8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8,29%</w:t>
            </w:r>
          </w:p>
        </w:tc>
        <w:tc>
          <w:tcPr>
            <w:tcW w:w="8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9,95%</w:t>
            </w:r>
          </w:p>
        </w:tc>
      </w:tr>
      <w:tr w:rsidR="00E9008A" w:rsidRPr="00316249" w:rsidTr="005B7D01">
        <w:trPr>
          <w:trHeight w:val="238"/>
        </w:trPr>
        <w:tc>
          <w:tcPr>
            <w:tcW w:w="1981" w:type="pct"/>
            <w:tcBorders>
              <w:top w:val="nil"/>
              <w:left w:val="single" w:sz="4" w:space="0" w:color="auto"/>
              <w:bottom w:val="nil"/>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9.325</w:t>
            </w:r>
          </w:p>
        </w:tc>
        <w:tc>
          <w:tcPr>
            <w:tcW w:w="74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9.943 </w:t>
            </w:r>
          </w:p>
        </w:tc>
        <w:tc>
          <w:tcPr>
            <w:tcW w:w="836"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10.098 </w:t>
            </w:r>
          </w:p>
        </w:tc>
        <w:tc>
          <w:tcPr>
            <w:tcW w:w="804"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10.252 </w:t>
            </w:r>
          </w:p>
        </w:tc>
      </w:tr>
      <w:tr w:rsidR="00E9008A" w:rsidRPr="00316249" w:rsidTr="005B7D01">
        <w:trPr>
          <w:trHeight w:val="238"/>
        </w:trPr>
        <w:tc>
          <w:tcPr>
            <w:tcW w:w="19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do IGP</w:t>
            </w:r>
            <w:r>
              <w:rPr>
                <w:b/>
                <w:bCs/>
                <w:color w:val="000000"/>
                <w:sz w:val="18"/>
                <w:szCs w:val="18"/>
              </w:rPr>
              <w:t>-</w:t>
            </w:r>
            <w:r w:rsidRPr="00316249">
              <w:rPr>
                <w:b/>
                <w:bCs/>
                <w:color w:val="000000"/>
                <w:sz w:val="18"/>
                <w:szCs w:val="18"/>
              </w:rPr>
              <w:t>M</w:t>
            </w:r>
          </w:p>
        </w:tc>
        <w:tc>
          <w:tcPr>
            <w:tcW w:w="63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w:t>
            </w:r>
          </w:p>
        </w:tc>
        <w:tc>
          <w:tcPr>
            <w:tcW w:w="74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(618)</w:t>
            </w:r>
          </w:p>
        </w:tc>
        <w:tc>
          <w:tcPr>
            <w:tcW w:w="836"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(773)</w:t>
            </w:r>
          </w:p>
        </w:tc>
        <w:tc>
          <w:tcPr>
            <w:tcW w:w="804"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(927)</w:t>
            </w:r>
          </w:p>
        </w:tc>
      </w:tr>
    </w:tbl>
    <w:p w:rsidR="007F7D85" w:rsidRDefault="007F7D85" w:rsidP="00E9008A">
      <w:pPr>
        <w:widowControl w:val="0"/>
        <w:tabs>
          <w:tab w:val="left" w:pos="1134"/>
        </w:tabs>
        <w:spacing w:line="245" w:lineRule="auto"/>
        <w:jc w:val="both"/>
        <w:rPr>
          <w:sz w:val="22"/>
          <w:szCs w:val="22"/>
        </w:rPr>
      </w:pPr>
    </w:p>
    <w:p w:rsidR="007F7D85" w:rsidRDefault="007F7D85">
      <w:pPr>
        <w:rPr>
          <w:sz w:val="22"/>
          <w:szCs w:val="22"/>
        </w:rPr>
      </w:pPr>
      <w:r>
        <w:rPr>
          <w:sz w:val="22"/>
          <w:szCs w:val="22"/>
        </w:rPr>
        <w:br w:type="page"/>
      </w:r>
    </w:p>
    <w:p w:rsidR="00E9008A" w:rsidRPr="00316249" w:rsidRDefault="00E9008A" w:rsidP="00E9008A">
      <w:pPr>
        <w:widowControl w:val="0"/>
        <w:tabs>
          <w:tab w:val="left" w:pos="1134"/>
        </w:tabs>
        <w:spacing w:line="245" w:lineRule="auto"/>
        <w:jc w:val="both"/>
        <w:rPr>
          <w:sz w:val="22"/>
          <w:szCs w:val="22"/>
        </w:rPr>
      </w:pPr>
    </w:p>
    <w:tbl>
      <w:tblPr>
        <w:tblW w:w="5000" w:type="pct"/>
        <w:tblCellMar>
          <w:left w:w="70" w:type="dxa"/>
          <w:right w:w="70" w:type="dxa"/>
        </w:tblCellMar>
        <w:tblLook w:val="04A0" w:firstRow="1" w:lastRow="0" w:firstColumn="1" w:lastColumn="0" w:noHBand="0" w:noVBand="1"/>
      </w:tblPr>
      <w:tblGrid>
        <w:gridCol w:w="3626"/>
        <w:gridCol w:w="1265"/>
        <w:gridCol w:w="1343"/>
        <w:gridCol w:w="1518"/>
        <w:gridCol w:w="1459"/>
      </w:tblGrid>
      <w:tr w:rsidR="00E9008A" w:rsidRPr="00316249" w:rsidTr="005B7D01">
        <w:trPr>
          <w:trHeight w:val="238"/>
        </w:trPr>
        <w:tc>
          <w:tcPr>
            <w:tcW w:w="198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Alta do UMBNDES</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Exposição </w:t>
            </w:r>
          </w:p>
          <w:p w:rsidR="00E9008A" w:rsidRPr="00316249" w:rsidRDefault="00E9008A" w:rsidP="005B7D01">
            <w:pPr>
              <w:jc w:val="center"/>
              <w:rPr>
                <w:b/>
                <w:bCs/>
                <w:color w:val="000000"/>
                <w:sz w:val="18"/>
                <w:szCs w:val="18"/>
              </w:rPr>
            </w:pPr>
            <w:r w:rsidRPr="00316249">
              <w:rPr>
                <w:b/>
                <w:bCs/>
                <w:color w:val="000000"/>
                <w:sz w:val="18"/>
                <w:szCs w:val="18"/>
              </w:rPr>
              <w:t>(R$ mil)</w:t>
            </w:r>
          </w:p>
        </w:tc>
        <w:tc>
          <w:tcPr>
            <w:tcW w:w="2381" w:type="pct"/>
            <w:gridSpan w:val="3"/>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31/12/2016</w:t>
            </w:r>
          </w:p>
        </w:tc>
      </w:tr>
      <w:tr w:rsidR="00E9008A" w:rsidRPr="00316249" w:rsidTr="005B7D01">
        <w:trPr>
          <w:trHeight w:val="238"/>
        </w:trPr>
        <w:tc>
          <w:tcPr>
            <w:tcW w:w="198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98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4,32%</w:t>
            </w:r>
          </w:p>
        </w:tc>
        <w:tc>
          <w:tcPr>
            <w:tcW w:w="83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5,40%</w:t>
            </w:r>
          </w:p>
        </w:tc>
        <w:tc>
          <w:tcPr>
            <w:tcW w:w="80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6,48%</w:t>
            </w:r>
          </w:p>
        </w:tc>
      </w:tr>
      <w:tr w:rsidR="00E9008A" w:rsidRPr="00316249" w:rsidTr="005B7D01">
        <w:trPr>
          <w:trHeight w:val="238"/>
        </w:trPr>
        <w:tc>
          <w:tcPr>
            <w:tcW w:w="1981" w:type="pct"/>
            <w:tcBorders>
              <w:top w:val="nil"/>
              <w:left w:val="single" w:sz="4" w:space="0" w:color="auto"/>
              <w:bottom w:val="nil"/>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13.204</w:t>
            </w:r>
          </w:p>
        </w:tc>
        <w:tc>
          <w:tcPr>
            <w:tcW w:w="741"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13.774</w:t>
            </w:r>
          </w:p>
        </w:tc>
        <w:tc>
          <w:tcPr>
            <w:tcW w:w="836"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14.487</w:t>
            </w:r>
          </w:p>
        </w:tc>
        <w:tc>
          <w:tcPr>
            <w:tcW w:w="804"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15.343</w:t>
            </w:r>
          </w:p>
        </w:tc>
      </w:tr>
      <w:tr w:rsidR="00E9008A" w:rsidRPr="00316249" w:rsidTr="005B7D01">
        <w:trPr>
          <w:trHeight w:val="238"/>
        </w:trPr>
        <w:tc>
          <w:tcPr>
            <w:tcW w:w="19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do UMBNDES</w:t>
            </w:r>
          </w:p>
        </w:tc>
        <w:tc>
          <w:tcPr>
            <w:tcW w:w="63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w:t>
            </w:r>
          </w:p>
        </w:tc>
        <w:tc>
          <w:tcPr>
            <w:tcW w:w="741"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(570)</w:t>
            </w:r>
          </w:p>
        </w:tc>
        <w:tc>
          <w:tcPr>
            <w:tcW w:w="836"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(1.283)</w:t>
            </w:r>
          </w:p>
        </w:tc>
        <w:tc>
          <w:tcPr>
            <w:tcW w:w="804"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(2.139)</w:t>
            </w:r>
          </w:p>
        </w:tc>
      </w:tr>
      <w:tr w:rsidR="00E9008A" w:rsidRPr="00316249" w:rsidTr="005B7D01">
        <w:trPr>
          <w:trHeight w:val="238"/>
        </w:trPr>
        <w:tc>
          <w:tcPr>
            <w:tcW w:w="1981" w:type="pct"/>
            <w:vMerge w:val="restar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Alta do UMBNDES</w:t>
            </w:r>
          </w:p>
        </w:tc>
        <w:tc>
          <w:tcPr>
            <w:tcW w:w="638"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Exposição</w:t>
            </w:r>
          </w:p>
          <w:p w:rsidR="00E9008A" w:rsidRPr="00316249" w:rsidRDefault="00E9008A" w:rsidP="005B7D01">
            <w:pPr>
              <w:jc w:val="center"/>
              <w:rPr>
                <w:b/>
                <w:bCs/>
                <w:color w:val="000000"/>
                <w:sz w:val="18"/>
                <w:szCs w:val="18"/>
              </w:rPr>
            </w:pPr>
            <w:r w:rsidRPr="00316249">
              <w:rPr>
                <w:b/>
                <w:bCs/>
                <w:color w:val="000000"/>
                <w:sz w:val="18"/>
                <w:szCs w:val="18"/>
              </w:rPr>
              <w:t xml:space="preserve"> (R$ mil)</w:t>
            </w:r>
          </w:p>
        </w:tc>
        <w:tc>
          <w:tcPr>
            <w:tcW w:w="2381" w:type="pct"/>
            <w:gridSpan w:val="3"/>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31/12/2015</w:t>
            </w:r>
          </w:p>
        </w:tc>
      </w:tr>
      <w:tr w:rsidR="00E9008A" w:rsidRPr="00316249" w:rsidTr="005B7D01">
        <w:trPr>
          <w:trHeight w:val="238"/>
        </w:trPr>
        <w:tc>
          <w:tcPr>
            <w:tcW w:w="1981"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8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 – 25%</w:t>
            </w:r>
          </w:p>
        </w:tc>
        <w:tc>
          <w:tcPr>
            <w:tcW w:w="8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 – 50%</w:t>
            </w:r>
          </w:p>
        </w:tc>
      </w:tr>
      <w:tr w:rsidR="00E9008A" w:rsidRPr="00316249" w:rsidTr="005B7D01">
        <w:trPr>
          <w:trHeight w:val="238"/>
        </w:trPr>
        <w:tc>
          <w:tcPr>
            <w:tcW w:w="1981"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4,10%</w:t>
            </w:r>
          </w:p>
        </w:tc>
        <w:tc>
          <w:tcPr>
            <w:tcW w:w="8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5,12%</w:t>
            </w:r>
          </w:p>
        </w:tc>
        <w:tc>
          <w:tcPr>
            <w:tcW w:w="8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6,15%</w:t>
            </w:r>
          </w:p>
        </w:tc>
      </w:tr>
      <w:tr w:rsidR="00E9008A" w:rsidRPr="00316249" w:rsidTr="005B7D01">
        <w:trPr>
          <w:trHeight w:val="238"/>
        </w:trPr>
        <w:tc>
          <w:tcPr>
            <w:tcW w:w="1981" w:type="pct"/>
            <w:tcBorders>
              <w:top w:val="nil"/>
              <w:left w:val="single" w:sz="4" w:space="0" w:color="auto"/>
              <w:bottom w:val="nil"/>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19.092</w:t>
            </w:r>
          </w:p>
        </w:tc>
        <w:tc>
          <w:tcPr>
            <w:tcW w:w="74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19.875</w:t>
            </w:r>
          </w:p>
        </w:tc>
        <w:tc>
          <w:tcPr>
            <w:tcW w:w="836"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20.069 </w:t>
            </w:r>
          </w:p>
        </w:tc>
        <w:tc>
          <w:tcPr>
            <w:tcW w:w="804"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20.266</w:t>
            </w:r>
          </w:p>
        </w:tc>
      </w:tr>
      <w:tr w:rsidR="00E9008A" w:rsidRPr="00316249" w:rsidTr="005B7D01">
        <w:trPr>
          <w:trHeight w:val="238"/>
        </w:trPr>
        <w:tc>
          <w:tcPr>
            <w:tcW w:w="19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do UMBNDES</w:t>
            </w:r>
          </w:p>
        </w:tc>
        <w:tc>
          <w:tcPr>
            <w:tcW w:w="638"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w:t>
            </w:r>
          </w:p>
        </w:tc>
        <w:tc>
          <w:tcPr>
            <w:tcW w:w="74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(783)</w:t>
            </w:r>
          </w:p>
        </w:tc>
        <w:tc>
          <w:tcPr>
            <w:tcW w:w="836"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(978)</w:t>
            </w:r>
          </w:p>
        </w:tc>
        <w:tc>
          <w:tcPr>
            <w:tcW w:w="804"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(1.174)</w:t>
            </w:r>
          </w:p>
        </w:tc>
      </w:tr>
    </w:tbl>
    <w:p w:rsidR="00E9008A" w:rsidRPr="009752FC" w:rsidRDefault="00E9008A" w:rsidP="009752FC">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t>Risco cambial</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Relativamente à aquisição de energia para revenda, a CEB D está exposta à oscilação cambial em cerca de 20% do custo total das aquisições, em função da energia oriunda de Itaipu Binacional ter cotação em dólares. </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A exposição é minimizada pela Compensação Financeira de Variação dos Itens da Parcela A, mecanismo setorial que compensa variações financeiras ocorridas durante o exercício tarifário que, no caso da CEB D, situa-se entre os meses de outubro e setembro. Nesse sentido, com a garantia de reposição de eventuais perdas financeiras relacionadas ao evento citado, por força das normas do Órgão Regulador, a concessionária não contrata mecanismos de proteção (</w:t>
      </w:r>
      <w:r w:rsidRPr="00316249">
        <w:rPr>
          <w:i/>
          <w:sz w:val="22"/>
          <w:szCs w:val="22"/>
        </w:rPr>
        <w:t>hedge</w:t>
      </w:r>
      <w:r w:rsidRPr="00316249">
        <w:rPr>
          <w:sz w:val="22"/>
          <w:szCs w:val="22"/>
        </w:rPr>
        <w:t>) para as variações cambiais. Observa-se que não há identificação de outros itens sujeitos à proteção cambial nas demonstrações financeiras da Companhia.</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A Companhia e sua controlada CEB D desenvolveram análise de sensibilidade, conforme determinado pela Comissão de Valores Mobiliários – CVM, por meio da Instrução n° 475, de 17 de dezembro de 2008, que requer que sejam apresentados mais dois cenários com deterioração de 25% e 50% da variável de risco considerada, de forma a clarear o cenário cambial. </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Em 31 de dezembro de 2016, a Administração estimou em um cenário provável que o valor de um dólar americano em 31 de dezembro de </w:t>
      </w:r>
      <w:r w:rsidRPr="00747E73">
        <w:rPr>
          <w:sz w:val="22"/>
          <w:szCs w:val="22"/>
        </w:rPr>
        <w:t>2017 será de R$ 3,59 (cenário</w:t>
      </w:r>
      <w:r w:rsidRPr="00316249">
        <w:rPr>
          <w:sz w:val="22"/>
          <w:szCs w:val="22"/>
        </w:rPr>
        <w:t xml:space="preserve"> de um ano). A metodologia utilizada para o cenário provável foi considerar a melhor estimativa para as taxas de câmbio em 31 de dezembro de 2016, com base em fontes externas de taxa de câmbio futuro (Relatório Focus, de 31 de dezembro de 2016 (m</w:t>
      </w:r>
      <w:r>
        <w:rPr>
          <w:sz w:val="22"/>
          <w:szCs w:val="22"/>
        </w:rPr>
        <w:t xml:space="preserve">édia </w:t>
      </w:r>
      <w:r w:rsidRPr="00316249">
        <w:rPr>
          <w:sz w:val="22"/>
          <w:szCs w:val="22"/>
        </w:rPr>
        <w:t xml:space="preserve">curto prazo – Top 5)). Por se tratar de uma análise de sensibilidade, no impacto no resultado para os próximos 12 meses foi considerado o saldo da dívida em 31 de dezembro de 2016. Ressalta-se que o comportamento do saldo da dívida respeitará seus respectivos contratos. Assim, foi confeccionada a análise dos efeitos na compra de energia de Itaipu, advindos de eventual elevação no câmbio em relação a 31 de dezembro de 2016. </w:t>
      </w:r>
    </w:p>
    <w:tbl>
      <w:tblPr>
        <w:tblW w:w="5000" w:type="pct"/>
        <w:tblCellMar>
          <w:left w:w="70" w:type="dxa"/>
          <w:right w:w="70" w:type="dxa"/>
        </w:tblCellMar>
        <w:tblLook w:val="04A0" w:firstRow="1" w:lastRow="0" w:firstColumn="1" w:lastColumn="0" w:noHBand="0" w:noVBand="1"/>
      </w:tblPr>
      <w:tblGrid>
        <w:gridCol w:w="3043"/>
        <w:gridCol w:w="1271"/>
        <w:gridCol w:w="1627"/>
        <w:gridCol w:w="1665"/>
        <w:gridCol w:w="1605"/>
      </w:tblGrid>
      <w:tr w:rsidR="00E9008A" w:rsidRPr="00316249" w:rsidTr="005B7D01">
        <w:trPr>
          <w:trHeight w:val="238"/>
        </w:trPr>
        <w:tc>
          <w:tcPr>
            <w:tcW w:w="165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xml:space="preserve">Alta do </w:t>
            </w:r>
            <w:r>
              <w:rPr>
                <w:b/>
                <w:bCs/>
                <w:color w:val="000000"/>
                <w:sz w:val="18"/>
                <w:szCs w:val="18"/>
              </w:rPr>
              <w:t>D</w:t>
            </w:r>
            <w:r w:rsidRPr="00316249">
              <w:rPr>
                <w:b/>
                <w:bCs/>
                <w:color w:val="000000"/>
                <w:sz w:val="18"/>
                <w:szCs w:val="18"/>
              </w:rPr>
              <w:t>ólar</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Exposição</w:t>
            </w:r>
          </w:p>
          <w:p w:rsidR="00E9008A" w:rsidRPr="00316249" w:rsidRDefault="00E9008A" w:rsidP="005B7D01">
            <w:pPr>
              <w:jc w:val="center"/>
              <w:rPr>
                <w:b/>
                <w:bCs/>
                <w:color w:val="000000"/>
                <w:sz w:val="18"/>
                <w:szCs w:val="18"/>
              </w:rPr>
            </w:pPr>
            <w:r w:rsidRPr="00316249">
              <w:rPr>
                <w:b/>
                <w:bCs/>
                <w:color w:val="000000"/>
                <w:sz w:val="18"/>
                <w:szCs w:val="18"/>
              </w:rPr>
              <w:t xml:space="preserve"> (R$ mil)</w:t>
            </w:r>
          </w:p>
        </w:tc>
        <w:tc>
          <w:tcPr>
            <w:tcW w:w="2658" w:type="pct"/>
            <w:gridSpan w:val="3"/>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31/12/2016</w:t>
            </w:r>
          </w:p>
        </w:tc>
      </w:tr>
      <w:tr w:rsidR="00E9008A" w:rsidRPr="00316249" w:rsidTr="005B7D01">
        <w:trPr>
          <w:trHeight w:val="238"/>
        </w:trPr>
        <w:tc>
          <w:tcPr>
            <w:tcW w:w="165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9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7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65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3,27</w:t>
            </w:r>
          </w:p>
        </w:tc>
        <w:tc>
          <w:tcPr>
            <w:tcW w:w="88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3,59</w:t>
            </w:r>
          </w:p>
        </w:tc>
        <w:tc>
          <w:tcPr>
            <w:tcW w:w="90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4,49</w:t>
            </w:r>
          </w:p>
        </w:tc>
        <w:tc>
          <w:tcPr>
            <w:tcW w:w="8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5,39</w:t>
            </w:r>
          </w:p>
        </w:tc>
      </w:tr>
      <w:tr w:rsidR="00E9008A" w:rsidRPr="00316249" w:rsidTr="005B7D01">
        <w:trPr>
          <w:trHeight w:val="238"/>
        </w:trPr>
        <w:tc>
          <w:tcPr>
            <w:tcW w:w="1652" w:type="pct"/>
            <w:tcBorders>
              <w:top w:val="nil"/>
              <w:left w:val="single" w:sz="4" w:space="0" w:color="auto"/>
              <w:bottom w:val="nil"/>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8"/>
                <w:szCs w:val="18"/>
              </w:rPr>
            </w:pPr>
            <w:r w:rsidRPr="00316249">
              <w:rPr>
                <w:color w:val="000000"/>
                <w:sz w:val="18"/>
                <w:szCs w:val="18"/>
              </w:rPr>
              <w:t>72.942</w:t>
            </w:r>
          </w:p>
        </w:tc>
        <w:tc>
          <w:tcPr>
            <w:tcW w:w="883"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80.009</w:t>
            </w:r>
          </w:p>
        </w:tc>
        <w:tc>
          <w:tcPr>
            <w:tcW w:w="904"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100.011</w:t>
            </w:r>
          </w:p>
        </w:tc>
        <w:tc>
          <w:tcPr>
            <w:tcW w:w="871"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120.012</w:t>
            </w:r>
          </w:p>
        </w:tc>
      </w:tr>
      <w:tr w:rsidR="00E9008A" w:rsidRPr="00316249" w:rsidTr="005B7D01">
        <w:trPr>
          <w:trHeight w:val="238"/>
        </w:trPr>
        <w:tc>
          <w:tcPr>
            <w:tcW w:w="16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Efeito da Variação do Dólar</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88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(7.067)</w:t>
            </w:r>
          </w:p>
        </w:tc>
        <w:tc>
          <w:tcPr>
            <w:tcW w:w="90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(27.069)</w:t>
            </w:r>
          </w:p>
        </w:tc>
        <w:tc>
          <w:tcPr>
            <w:tcW w:w="8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(47.071)</w:t>
            </w:r>
          </w:p>
        </w:tc>
      </w:tr>
      <w:tr w:rsidR="00E9008A" w:rsidRPr="00316249" w:rsidTr="005B7D01">
        <w:trPr>
          <w:trHeight w:val="238"/>
        </w:trPr>
        <w:tc>
          <w:tcPr>
            <w:tcW w:w="1652" w:type="pct"/>
            <w:vMerge w:val="restar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Alta do </w:t>
            </w:r>
            <w:r>
              <w:rPr>
                <w:b/>
                <w:bCs/>
                <w:color w:val="000000"/>
                <w:sz w:val="18"/>
                <w:szCs w:val="18"/>
              </w:rPr>
              <w:t>D</w:t>
            </w:r>
            <w:r w:rsidRPr="00316249">
              <w:rPr>
                <w:b/>
                <w:bCs/>
                <w:color w:val="000000"/>
                <w:sz w:val="18"/>
                <w:szCs w:val="18"/>
              </w:rPr>
              <w:t>ólar</w:t>
            </w:r>
          </w:p>
        </w:tc>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Exposição</w:t>
            </w:r>
          </w:p>
          <w:p w:rsidR="00E9008A" w:rsidRPr="00316249" w:rsidRDefault="00E9008A" w:rsidP="005B7D01">
            <w:pPr>
              <w:jc w:val="center"/>
              <w:rPr>
                <w:b/>
                <w:bCs/>
                <w:color w:val="000000"/>
                <w:sz w:val="18"/>
                <w:szCs w:val="18"/>
              </w:rPr>
            </w:pPr>
            <w:r w:rsidRPr="00316249">
              <w:rPr>
                <w:b/>
                <w:bCs/>
                <w:color w:val="000000"/>
                <w:sz w:val="18"/>
                <w:szCs w:val="18"/>
              </w:rPr>
              <w:t xml:space="preserve"> (R$ mil)</w:t>
            </w:r>
          </w:p>
        </w:tc>
        <w:tc>
          <w:tcPr>
            <w:tcW w:w="2658" w:type="pct"/>
            <w:gridSpan w:val="3"/>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Cenários Projetados – Base 31/12/2015</w:t>
            </w:r>
          </w:p>
        </w:tc>
      </w:tr>
      <w:tr w:rsidR="00E9008A" w:rsidRPr="00316249" w:rsidTr="005B7D01">
        <w:trPr>
          <w:trHeight w:val="238"/>
        </w:trPr>
        <w:tc>
          <w:tcPr>
            <w:tcW w:w="1652"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90"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Provável</w:t>
            </w:r>
          </w:p>
        </w:tc>
        <w:tc>
          <w:tcPr>
            <w:tcW w:w="9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Possível – 25%</w:t>
            </w:r>
          </w:p>
        </w:tc>
        <w:tc>
          <w:tcPr>
            <w:tcW w:w="87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Remoto – 50%</w:t>
            </w:r>
          </w:p>
        </w:tc>
      </w:tr>
      <w:tr w:rsidR="00E9008A" w:rsidRPr="00316249" w:rsidTr="005B7D01">
        <w:trPr>
          <w:trHeight w:val="238"/>
        </w:trPr>
        <w:tc>
          <w:tcPr>
            <w:tcW w:w="1652"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3,8492</w:t>
            </w:r>
          </w:p>
        </w:tc>
        <w:tc>
          <w:tcPr>
            <w:tcW w:w="8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4,2600 </w:t>
            </w:r>
          </w:p>
        </w:tc>
        <w:tc>
          <w:tcPr>
            <w:tcW w:w="9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5,3250 </w:t>
            </w:r>
          </w:p>
        </w:tc>
        <w:tc>
          <w:tcPr>
            <w:tcW w:w="87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6,3900 </w:t>
            </w:r>
          </w:p>
        </w:tc>
      </w:tr>
      <w:tr w:rsidR="00E9008A" w:rsidRPr="00316249" w:rsidTr="005B7D01">
        <w:trPr>
          <w:trHeight w:val="238"/>
        </w:trPr>
        <w:tc>
          <w:tcPr>
            <w:tcW w:w="1652" w:type="pct"/>
            <w:tcBorders>
              <w:top w:val="nil"/>
              <w:left w:val="single" w:sz="4" w:space="0" w:color="auto"/>
              <w:bottom w:val="nil"/>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150.328</w:t>
            </w:r>
          </w:p>
        </w:tc>
        <w:tc>
          <w:tcPr>
            <w:tcW w:w="883"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166.372 </w:t>
            </w:r>
          </w:p>
        </w:tc>
        <w:tc>
          <w:tcPr>
            <w:tcW w:w="904"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207.964 </w:t>
            </w:r>
          </w:p>
        </w:tc>
        <w:tc>
          <w:tcPr>
            <w:tcW w:w="871"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249.557 </w:t>
            </w:r>
          </w:p>
        </w:tc>
      </w:tr>
      <w:tr w:rsidR="00E9008A" w:rsidRPr="00316249" w:rsidTr="005B7D01">
        <w:trPr>
          <w:trHeight w:val="238"/>
        </w:trPr>
        <w:tc>
          <w:tcPr>
            <w:tcW w:w="16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lastRenderedPageBreak/>
              <w:t>Efeito da Variação do Dólar</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8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(16.044)</w:t>
            </w:r>
          </w:p>
        </w:tc>
        <w:tc>
          <w:tcPr>
            <w:tcW w:w="90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(57.636)</w:t>
            </w:r>
          </w:p>
        </w:tc>
        <w:tc>
          <w:tcPr>
            <w:tcW w:w="87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(99.229)</w:t>
            </w:r>
          </w:p>
        </w:tc>
      </w:tr>
    </w:tbl>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É imprescindível salientar que a Companhia, suas controladas e coligadas, não apresentam riscos nas taxas de juros por contratações de empréstimos e/ou financiamentos em moedas estrangeiras.</w:t>
      </w:r>
    </w:p>
    <w:p w:rsidR="007F7D85" w:rsidRDefault="007F7D85">
      <w:pPr>
        <w:rPr>
          <w:b/>
          <w:sz w:val="22"/>
          <w:szCs w:val="22"/>
          <w:lang w:eastAsia="en-US"/>
        </w:rPr>
      </w:pPr>
      <w:r>
        <w:rPr>
          <w:b/>
        </w:rPr>
        <w:br w:type="page"/>
      </w:r>
    </w:p>
    <w:p w:rsidR="00E9008A" w:rsidRPr="009752FC" w:rsidRDefault="00E9008A" w:rsidP="009752FC">
      <w:pPr>
        <w:pStyle w:val="PargrafodaLista"/>
        <w:numPr>
          <w:ilvl w:val="2"/>
          <w:numId w:val="23"/>
        </w:numPr>
        <w:spacing w:before="240" w:after="240"/>
        <w:ind w:left="851" w:hanging="851"/>
        <w:jc w:val="both"/>
        <w:rPr>
          <w:rFonts w:ascii="Times New Roman" w:hAnsi="Times New Roman" w:cs="Times New Roman"/>
          <w:b/>
          <w:lang w:val="pt-BR"/>
        </w:rPr>
      </w:pPr>
      <w:r w:rsidRPr="009752FC">
        <w:rPr>
          <w:rFonts w:ascii="Times New Roman" w:hAnsi="Times New Roman" w:cs="Times New Roman"/>
          <w:b/>
          <w:lang w:val="pt-BR"/>
        </w:rPr>
        <w:lastRenderedPageBreak/>
        <w:t>Risco operacional</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Risco operacional é o risco de prejuízos diretos ou indiretos decorrentes de uma variedade de causas associadas a processos, pessoal, tecnologia e infraestrutura do Grupo e de fatores externos, exceto riscos de crédito, mercado e liquidez, como aqueles decorrentes de exigências regulatórias e de padrões geralmente aceitos de comportamento empresarial. Riscos operacionais surgem em todas as operações do Grupo.</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O objetivo da Administração da Companhia é administrar o risco operacional de todo o Grupo para: (i) evitar a ocorrência de prejuízos financeiros e danos à reputação da Organização e de suas controladas e coligadas; (</w:t>
      </w:r>
      <w:proofErr w:type="spellStart"/>
      <w:r w:rsidRPr="00316249">
        <w:rPr>
          <w:sz w:val="22"/>
          <w:szCs w:val="22"/>
        </w:rPr>
        <w:t>ii</w:t>
      </w:r>
      <w:proofErr w:type="spellEnd"/>
      <w:r w:rsidRPr="00316249">
        <w:rPr>
          <w:sz w:val="22"/>
          <w:szCs w:val="22"/>
        </w:rPr>
        <w:t>) buscar eficácia de custos.</w:t>
      </w:r>
    </w:p>
    <w:p w:rsidR="00E9008A" w:rsidRPr="007527F1" w:rsidRDefault="00E9008A" w:rsidP="009752FC">
      <w:pPr>
        <w:pStyle w:val="PargrafodaLista"/>
        <w:numPr>
          <w:ilvl w:val="1"/>
          <w:numId w:val="23"/>
        </w:numPr>
        <w:spacing w:before="240" w:after="240"/>
        <w:ind w:hanging="574"/>
        <w:jc w:val="both"/>
        <w:rPr>
          <w:rFonts w:ascii="Times New Roman" w:eastAsia="Arial Unicode MS" w:hAnsi="Times New Roman" w:cs="Times New Roman"/>
          <w:b/>
          <w:bCs/>
          <w:iCs/>
        </w:rPr>
      </w:pPr>
      <w:proofErr w:type="spellStart"/>
      <w:r w:rsidRPr="007527F1">
        <w:rPr>
          <w:rFonts w:ascii="Times New Roman" w:eastAsia="Arial Unicode MS" w:hAnsi="Times New Roman" w:cs="Times New Roman"/>
          <w:b/>
          <w:bCs/>
          <w:iCs/>
        </w:rPr>
        <w:t>Gestão</w:t>
      </w:r>
      <w:proofErr w:type="spellEnd"/>
      <w:r w:rsidRPr="007527F1">
        <w:rPr>
          <w:rFonts w:ascii="Times New Roman" w:eastAsia="Arial Unicode MS" w:hAnsi="Times New Roman" w:cs="Times New Roman"/>
          <w:b/>
          <w:bCs/>
          <w:iCs/>
        </w:rPr>
        <w:t xml:space="preserve"> de Capital</w:t>
      </w:r>
    </w:p>
    <w:p w:rsidR="00E9008A" w:rsidRPr="00316249" w:rsidRDefault="00E9008A" w:rsidP="00E9008A">
      <w:pPr>
        <w:widowControl w:val="0"/>
        <w:spacing w:before="240" w:after="240" w:line="245" w:lineRule="auto"/>
        <w:jc w:val="both"/>
        <w:rPr>
          <w:sz w:val="22"/>
          <w:szCs w:val="22"/>
        </w:rPr>
      </w:pPr>
      <w:r w:rsidRPr="00316249">
        <w:rPr>
          <w:sz w:val="22"/>
          <w:szCs w:val="22"/>
        </w:rPr>
        <w:t>Os objetivos do Grupo ao administrar seu capital são os de salvaguardar</w:t>
      </w:r>
      <w:r w:rsidRPr="00316249">
        <w:rPr>
          <w:color w:val="FF0000"/>
          <w:sz w:val="22"/>
          <w:szCs w:val="22"/>
        </w:rPr>
        <w:t xml:space="preserve"> </w:t>
      </w:r>
      <w:r w:rsidRPr="00316249">
        <w:rPr>
          <w:sz w:val="22"/>
          <w:szCs w:val="22"/>
        </w:rPr>
        <w:t>sua capacidade de continuidade para oferecer retorno aos acionistas e benefícios às outras partes interessadas, além de manter uma estrutura de capital ideal para reduzir esse custo.</w:t>
      </w:r>
    </w:p>
    <w:p w:rsidR="00E9008A" w:rsidRPr="00316249" w:rsidRDefault="00E9008A" w:rsidP="00E9008A">
      <w:pPr>
        <w:widowControl w:val="0"/>
        <w:spacing w:before="240" w:after="240" w:line="245" w:lineRule="auto"/>
        <w:jc w:val="both"/>
        <w:rPr>
          <w:sz w:val="22"/>
          <w:szCs w:val="22"/>
        </w:rPr>
      </w:pPr>
      <w:r w:rsidRPr="00316249">
        <w:rPr>
          <w:sz w:val="22"/>
          <w:szCs w:val="22"/>
        </w:rPr>
        <w:t xml:space="preserve">Para manter ou ajustar a estrutura de capital do Grupo, a Administração pode propor, nos casos em que precisar da aprovação dos acionistas, rever a política de pagamento de dividendos, devolver capital aos acionistas ou, ainda, emitir novas ações ou vender ativos para reduzir, por exemplo, o nível de endividamento. </w:t>
      </w:r>
    </w:p>
    <w:p w:rsidR="00E9008A" w:rsidRPr="00316249" w:rsidRDefault="00E9008A" w:rsidP="00E9008A">
      <w:pPr>
        <w:widowControl w:val="0"/>
        <w:spacing w:before="240" w:after="240" w:line="245" w:lineRule="auto"/>
        <w:jc w:val="both"/>
        <w:rPr>
          <w:sz w:val="22"/>
          <w:szCs w:val="22"/>
        </w:rPr>
      </w:pPr>
      <w:r w:rsidRPr="00316249">
        <w:rPr>
          <w:sz w:val="22"/>
          <w:szCs w:val="22"/>
        </w:rPr>
        <w:t>O Grupo monitora o capital com base no índice de alavancagem financeira. Esse índice corresponde à dívida líquida expressa como percentual do capital total. A dívida líquida, por sua vez, corresponde ao total de empréstimos (incluindo empréstimos de curtos e longos prazos, conforme demonstrado no balanço patrimonial consolidado), subtraído do montante de caixa e equivalentes de caixa. O capital total é apurado através da soma do patrimônio líquido, conforme demonstrado no balanço patrimonial consolidado, com a dívida líquida.</w:t>
      </w:r>
    </w:p>
    <w:p w:rsidR="00E9008A" w:rsidRPr="00316249" w:rsidRDefault="00E9008A" w:rsidP="00E9008A">
      <w:pPr>
        <w:widowControl w:val="0"/>
        <w:spacing w:before="240" w:after="240" w:line="245" w:lineRule="auto"/>
        <w:jc w:val="both"/>
        <w:rPr>
          <w:sz w:val="22"/>
          <w:szCs w:val="22"/>
        </w:rPr>
      </w:pPr>
      <w:r w:rsidRPr="00316249">
        <w:rPr>
          <w:sz w:val="22"/>
          <w:szCs w:val="22"/>
        </w:rPr>
        <w:t>Os índices de alavancagem financeira podem ser assim resumidos:</w:t>
      </w:r>
    </w:p>
    <w:tbl>
      <w:tblPr>
        <w:tblW w:w="5000" w:type="pct"/>
        <w:tblCellMar>
          <w:left w:w="70" w:type="dxa"/>
          <w:right w:w="70" w:type="dxa"/>
        </w:tblCellMar>
        <w:tblLook w:val="04A0" w:firstRow="1" w:lastRow="0" w:firstColumn="1" w:lastColumn="0" w:noHBand="0" w:noVBand="1"/>
      </w:tblPr>
      <w:tblGrid>
        <w:gridCol w:w="6083"/>
        <w:gridCol w:w="1564"/>
        <w:gridCol w:w="1564"/>
      </w:tblGrid>
      <w:tr w:rsidR="00E9008A" w:rsidRPr="00316249" w:rsidTr="005B7D01">
        <w:trPr>
          <w:trHeight w:val="238"/>
          <w:tblHeader/>
        </w:trPr>
        <w:tc>
          <w:tcPr>
            <w:tcW w:w="330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color w:val="000000"/>
                <w:sz w:val="16"/>
                <w:szCs w:val="18"/>
              </w:rPr>
            </w:pPr>
            <w:r w:rsidRPr="00316249">
              <w:rPr>
                <w:color w:val="000000"/>
                <w:sz w:val="16"/>
                <w:szCs w:val="18"/>
              </w:rPr>
              <w:t> </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31/12/2016</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31/12/2015</w:t>
            </w:r>
          </w:p>
        </w:tc>
      </w:tr>
      <w:tr w:rsidR="00E9008A" w:rsidRPr="00316249" w:rsidTr="005B7D01">
        <w:trPr>
          <w:trHeight w:val="238"/>
        </w:trPr>
        <w:tc>
          <w:tcPr>
            <w:tcW w:w="330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6"/>
                <w:szCs w:val="18"/>
              </w:rPr>
            </w:pPr>
            <w:r w:rsidRPr="00316249">
              <w:rPr>
                <w:color w:val="000000"/>
                <w:sz w:val="16"/>
                <w:szCs w:val="18"/>
              </w:rPr>
              <w:t xml:space="preserve">Total dos Empréstimos e Financiamento/Debêntures (Notas Explicativas </w:t>
            </w:r>
            <w:proofErr w:type="spellStart"/>
            <w:proofErr w:type="gramStart"/>
            <w:r w:rsidRPr="00316249">
              <w:rPr>
                <w:color w:val="000000"/>
                <w:sz w:val="16"/>
                <w:szCs w:val="18"/>
              </w:rPr>
              <w:t>nº</w:t>
            </w:r>
            <w:r w:rsidRPr="00316249">
              <w:rPr>
                <w:color w:val="000000"/>
                <w:sz w:val="16"/>
                <w:szCs w:val="18"/>
                <w:vertAlign w:val="superscript"/>
              </w:rPr>
              <w:t>s</w:t>
            </w:r>
            <w:proofErr w:type="spellEnd"/>
            <w:r w:rsidRPr="00316249">
              <w:rPr>
                <w:color w:val="000000"/>
                <w:sz w:val="16"/>
                <w:szCs w:val="18"/>
              </w:rPr>
              <w:t xml:space="preserve">  21</w:t>
            </w:r>
            <w:proofErr w:type="gramEnd"/>
            <w:r w:rsidRPr="00316249">
              <w:rPr>
                <w:color w:val="000000"/>
                <w:sz w:val="16"/>
                <w:szCs w:val="18"/>
              </w:rPr>
              <w:t xml:space="preserve"> e 22)</w:t>
            </w:r>
          </w:p>
        </w:tc>
        <w:tc>
          <w:tcPr>
            <w:tcW w:w="84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400.894</w:t>
            </w:r>
          </w:p>
        </w:tc>
        <w:tc>
          <w:tcPr>
            <w:tcW w:w="8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408.083 </w:t>
            </w:r>
          </w:p>
        </w:tc>
      </w:tr>
      <w:tr w:rsidR="00E9008A" w:rsidRPr="00316249" w:rsidTr="005B7D01">
        <w:trPr>
          <w:trHeight w:val="238"/>
        </w:trPr>
        <w:tc>
          <w:tcPr>
            <w:tcW w:w="330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6"/>
                <w:szCs w:val="18"/>
              </w:rPr>
            </w:pPr>
            <w:r w:rsidRPr="00316249">
              <w:rPr>
                <w:color w:val="000000"/>
                <w:sz w:val="16"/>
                <w:szCs w:val="18"/>
              </w:rPr>
              <w:t>Menos: Caixa e Equivalentes de Caixa (Nota Explicativa nº 5)</w:t>
            </w:r>
          </w:p>
        </w:tc>
        <w:tc>
          <w:tcPr>
            <w:tcW w:w="84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(86.041)</w:t>
            </w:r>
          </w:p>
        </w:tc>
        <w:tc>
          <w:tcPr>
            <w:tcW w:w="8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(78.043)</w:t>
            </w:r>
          </w:p>
        </w:tc>
      </w:tr>
      <w:tr w:rsidR="00E9008A" w:rsidRPr="00316249" w:rsidTr="005B7D01">
        <w:trPr>
          <w:trHeight w:val="238"/>
        </w:trPr>
        <w:tc>
          <w:tcPr>
            <w:tcW w:w="330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Dívida líquida</w:t>
            </w:r>
          </w:p>
        </w:tc>
        <w:tc>
          <w:tcPr>
            <w:tcW w:w="84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314.853</w:t>
            </w:r>
          </w:p>
        </w:tc>
        <w:tc>
          <w:tcPr>
            <w:tcW w:w="8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330.040 </w:t>
            </w:r>
          </w:p>
        </w:tc>
      </w:tr>
      <w:tr w:rsidR="00E9008A" w:rsidRPr="00316249" w:rsidTr="005B7D01">
        <w:trPr>
          <w:trHeight w:val="238"/>
        </w:trPr>
        <w:tc>
          <w:tcPr>
            <w:tcW w:w="330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6"/>
                <w:szCs w:val="18"/>
              </w:rPr>
            </w:pPr>
            <w:r w:rsidRPr="00316249">
              <w:rPr>
                <w:color w:val="000000"/>
                <w:sz w:val="16"/>
                <w:szCs w:val="18"/>
              </w:rPr>
              <w:t>Total do Patrimônio Líquido (Nota Explicativa nº 29)</w:t>
            </w:r>
          </w:p>
        </w:tc>
        <w:tc>
          <w:tcPr>
            <w:tcW w:w="84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620.362</w:t>
            </w:r>
          </w:p>
        </w:tc>
        <w:tc>
          <w:tcPr>
            <w:tcW w:w="8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586.635 </w:t>
            </w:r>
          </w:p>
        </w:tc>
      </w:tr>
      <w:tr w:rsidR="00E9008A" w:rsidRPr="00316249" w:rsidTr="005B7D01">
        <w:trPr>
          <w:trHeight w:val="238"/>
        </w:trPr>
        <w:tc>
          <w:tcPr>
            <w:tcW w:w="330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Total do Capital</w:t>
            </w:r>
          </w:p>
        </w:tc>
        <w:tc>
          <w:tcPr>
            <w:tcW w:w="84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935.215</w:t>
            </w:r>
          </w:p>
        </w:tc>
        <w:tc>
          <w:tcPr>
            <w:tcW w:w="8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916.675 </w:t>
            </w:r>
          </w:p>
        </w:tc>
      </w:tr>
      <w:tr w:rsidR="00E9008A" w:rsidRPr="00316249" w:rsidTr="005B7D01">
        <w:trPr>
          <w:trHeight w:val="238"/>
        </w:trPr>
        <w:tc>
          <w:tcPr>
            <w:tcW w:w="330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 xml:space="preserve">Índice de Alavancagem Financeira </w:t>
            </w:r>
            <w:r w:rsidRPr="00316249">
              <w:rPr>
                <w:sz w:val="16"/>
                <w:szCs w:val="22"/>
              </w:rPr>
              <w:t>–</w:t>
            </w:r>
            <w:r w:rsidRPr="00316249">
              <w:rPr>
                <w:b/>
                <w:bCs/>
                <w:color w:val="000000"/>
                <w:sz w:val="16"/>
                <w:szCs w:val="18"/>
              </w:rPr>
              <w:t xml:space="preserve"> %</w:t>
            </w:r>
          </w:p>
        </w:tc>
        <w:tc>
          <w:tcPr>
            <w:tcW w:w="84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33,66</w:t>
            </w:r>
          </w:p>
        </w:tc>
        <w:tc>
          <w:tcPr>
            <w:tcW w:w="8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36,00 </w:t>
            </w:r>
          </w:p>
        </w:tc>
      </w:tr>
    </w:tbl>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rPr>
      </w:pPr>
      <w:proofErr w:type="spellStart"/>
      <w:r w:rsidRPr="007527F1">
        <w:rPr>
          <w:rFonts w:ascii="Times New Roman" w:eastAsia="Arial Unicode MS" w:hAnsi="Times New Roman" w:cs="Times New Roman"/>
          <w:b/>
          <w:bCs/>
          <w:iCs/>
        </w:rPr>
        <w:t>Estimativa</w:t>
      </w:r>
      <w:proofErr w:type="spellEnd"/>
      <w:r w:rsidRPr="007527F1">
        <w:rPr>
          <w:rFonts w:ascii="Times New Roman" w:eastAsia="Arial Unicode MS" w:hAnsi="Times New Roman" w:cs="Times New Roman"/>
          <w:b/>
          <w:bCs/>
          <w:iCs/>
        </w:rPr>
        <w:t xml:space="preserve"> do Valor Justo</w:t>
      </w:r>
    </w:p>
    <w:p w:rsidR="00E9008A" w:rsidRDefault="00E9008A" w:rsidP="00E9008A">
      <w:pPr>
        <w:widowControl w:val="0"/>
        <w:tabs>
          <w:tab w:val="left" w:pos="1134"/>
        </w:tabs>
        <w:spacing w:before="240" w:after="240" w:line="245" w:lineRule="auto"/>
        <w:jc w:val="both"/>
        <w:rPr>
          <w:sz w:val="22"/>
          <w:szCs w:val="22"/>
        </w:rPr>
      </w:pPr>
      <w:r w:rsidRPr="00316249">
        <w:rPr>
          <w:sz w:val="22"/>
          <w:szCs w:val="22"/>
        </w:rPr>
        <w:t>Os instrumentos financeiros ativos e passivos são registrados, inicialmente, pelo valor justo das transações que lhes deram origem e são atualizados, quando aplicável, com base nos encargos contratuais e ajustados pelas estimativas de perda. A Administração avalia que os valores apurados com base nesses critérios podem ser considerados a melhor estimativa para apuração do valor justo dos instrumentos financeiros detidos pelo Grupo.</w:t>
      </w:r>
    </w:p>
    <w:p w:rsidR="00E9008A" w:rsidRPr="007527F1" w:rsidRDefault="00E9008A" w:rsidP="007527F1">
      <w:pPr>
        <w:pStyle w:val="PargrafodaLista"/>
        <w:numPr>
          <w:ilvl w:val="2"/>
          <w:numId w:val="23"/>
        </w:numPr>
        <w:spacing w:before="240" w:after="240"/>
        <w:ind w:left="851" w:hanging="851"/>
        <w:jc w:val="both"/>
        <w:rPr>
          <w:rFonts w:ascii="Times New Roman" w:hAnsi="Times New Roman" w:cs="Times New Roman"/>
          <w:b/>
          <w:lang w:val="pt-BR"/>
        </w:rPr>
      </w:pPr>
      <w:r w:rsidRPr="007527F1">
        <w:rPr>
          <w:rFonts w:ascii="Times New Roman" w:hAnsi="Times New Roman" w:cs="Times New Roman"/>
          <w:b/>
          <w:lang w:val="pt-BR"/>
        </w:rPr>
        <w:lastRenderedPageBreak/>
        <w:t xml:space="preserve">Hierarquia do valor justo </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O CPC 40 (R</w:t>
      </w:r>
      <w:proofErr w:type="gramStart"/>
      <w:r w:rsidRPr="00316249">
        <w:rPr>
          <w:sz w:val="22"/>
          <w:szCs w:val="22"/>
        </w:rPr>
        <w:t>1)/</w:t>
      </w:r>
      <w:proofErr w:type="gramEnd"/>
      <w:r w:rsidRPr="00316249">
        <w:rPr>
          <w:sz w:val="22"/>
          <w:szCs w:val="22"/>
        </w:rPr>
        <w:t>IFRS 7 define valor justo como o valor/preço que seria recebido na venda de um ativo ou pago na transferência de um passivo em uma transação ordinária entre participantes de um mercado na data de sua mensuração. A norma esclarece que o valor justo deve ser fundamentado nas premissas que os participantes de um mercado utilizam quando atribuem um valor/preço a um ativo ou passivo e estabelece uma hierarquia que prioriza a informação utilizada para desenvolver essas premissas. A hierarquia do valor justo atribui maior peso às informações de mercado disponíveis (ou seja, dados observáveis) e menor peso às informações relacionadas a dados sem transparência (ou seja, dados inobserváveis). Adicionalmente, a norma requer que a empresa considere todos os aspectos de riscos de não desempenho (</w:t>
      </w:r>
      <w:r w:rsidRPr="00316249">
        <w:rPr>
          <w:i/>
          <w:sz w:val="22"/>
          <w:szCs w:val="22"/>
        </w:rPr>
        <w:t xml:space="preserve">non-performance </w:t>
      </w:r>
      <w:proofErr w:type="spellStart"/>
      <w:r w:rsidRPr="00316249">
        <w:rPr>
          <w:i/>
          <w:sz w:val="22"/>
          <w:szCs w:val="22"/>
        </w:rPr>
        <w:t>risk</w:t>
      </w:r>
      <w:proofErr w:type="spellEnd"/>
      <w:r w:rsidRPr="00316249">
        <w:rPr>
          <w:sz w:val="22"/>
          <w:szCs w:val="22"/>
        </w:rPr>
        <w:t>), incluindo o próprio crédito da Companhia e de suas controladas e coligadas ao mensurar o valor justo de um passivo.</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O CPC 40 (R</w:t>
      </w:r>
      <w:proofErr w:type="gramStart"/>
      <w:r w:rsidRPr="00316249">
        <w:rPr>
          <w:sz w:val="22"/>
          <w:szCs w:val="22"/>
        </w:rPr>
        <w:t>1)/</w:t>
      </w:r>
      <w:proofErr w:type="gramEnd"/>
      <w:r w:rsidRPr="00316249">
        <w:rPr>
          <w:sz w:val="22"/>
          <w:szCs w:val="22"/>
        </w:rPr>
        <w:t xml:space="preserve">IFRS 7 estabelece uma hierarquia de três níveis a ser utilizada ao mensurar e divulgar o valor justo. Um instrumento de categorização na hierarquia do valor justo baseia-se no menor nível de </w:t>
      </w:r>
      <w:r w:rsidRPr="00316249">
        <w:rPr>
          <w:i/>
          <w:sz w:val="22"/>
          <w:szCs w:val="22"/>
        </w:rPr>
        <w:t>input</w:t>
      </w:r>
      <w:r w:rsidRPr="00316249">
        <w:rPr>
          <w:sz w:val="22"/>
          <w:szCs w:val="22"/>
        </w:rPr>
        <w:t xml:space="preserve"> significativo para sua mensuração. A seguir, mostra-se uma descrição dos três níveis de hierarquia:</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Nível 1 – Os </w:t>
      </w:r>
      <w:r w:rsidRPr="00316249">
        <w:rPr>
          <w:i/>
          <w:sz w:val="22"/>
          <w:szCs w:val="22"/>
        </w:rPr>
        <w:t>inputs</w:t>
      </w:r>
      <w:r w:rsidRPr="00316249">
        <w:rPr>
          <w:sz w:val="22"/>
          <w:szCs w:val="22"/>
        </w:rPr>
        <w:t xml:space="preserve"> são determinados com base nos preços praticados em um mercado ativo para ativos ou passivos idênticos na data da mensuração. Adicionalmente, a Companhia e suas controladas e coligadas devem ter possibilidade de negociar nesse mercado ativo e o preço praticado não pode ser ajustado pelas empresas;</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Nível 2 – Os </w:t>
      </w:r>
      <w:r w:rsidRPr="00316249">
        <w:rPr>
          <w:i/>
          <w:sz w:val="22"/>
          <w:szCs w:val="22"/>
        </w:rPr>
        <w:t>inputs</w:t>
      </w:r>
      <w:r w:rsidRPr="00316249">
        <w:rPr>
          <w:sz w:val="22"/>
          <w:szCs w:val="22"/>
        </w:rPr>
        <w:t xml:space="preserve"> são outros que não sejam preços praticados conforme determinado pelo Nível 1 que são observáveis para o ativo ou passivo, direta ou indiretamente. Os </w:t>
      </w:r>
      <w:r w:rsidRPr="00316249">
        <w:rPr>
          <w:i/>
          <w:sz w:val="22"/>
          <w:szCs w:val="22"/>
        </w:rPr>
        <w:t>inputs</w:t>
      </w:r>
      <w:r w:rsidRPr="00316249">
        <w:rPr>
          <w:sz w:val="22"/>
          <w:szCs w:val="22"/>
        </w:rPr>
        <w:t xml:space="preserve"> do Nível 2 incluem preços praticados em um mercado ativo para ativos ou passivos similares, preços praticados em um mercado inativo para ativos ou passivos idênticos; ou </w:t>
      </w:r>
      <w:r w:rsidRPr="00316249">
        <w:rPr>
          <w:i/>
          <w:sz w:val="22"/>
          <w:szCs w:val="22"/>
        </w:rPr>
        <w:t>inputs</w:t>
      </w:r>
      <w:r w:rsidRPr="00316249">
        <w:rPr>
          <w:sz w:val="22"/>
          <w:szCs w:val="22"/>
        </w:rPr>
        <w:t xml:space="preserve"> que são observáveis ou que possam corroborar na observação de dados de um mercado por correlação ou de outras formas para substancialmente toda parte do ativo ou passivo; e</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 xml:space="preserve">Nível 3 – Os </w:t>
      </w:r>
      <w:r w:rsidRPr="00316249">
        <w:rPr>
          <w:i/>
          <w:sz w:val="22"/>
          <w:szCs w:val="22"/>
        </w:rPr>
        <w:t>inputs</w:t>
      </w:r>
      <w:r w:rsidRPr="00316249">
        <w:rPr>
          <w:sz w:val="22"/>
          <w:szCs w:val="22"/>
        </w:rPr>
        <w:t xml:space="preserve"> inobserváveis são aqueles provenientes de pouca ou nenhuma atividade de mercado. Esses </w:t>
      </w:r>
      <w:r w:rsidRPr="00316249">
        <w:rPr>
          <w:i/>
          <w:sz w:val="22"/>
          <w:szCs w:val="22"/>
        </w:rPr>
        <w:t>inputs</w:t>
      </w:r>
      <w:r w:rsidRPr="00316249">
        <w:rPr>
          <w:sz w:val="22"/>
          <w:szCs w:val="22"/>
        </w:rPr>
        <w:t xml:space="preserve"> representam as melhores estimativas da Administração da Companhia de como os participantes de mercado poderiam atribuir valor/preço a esses ativos ou passivos. Geralmente, os ativos e passivos de Nível 3 são mensurados utilizando modelos de precificação, fluxo de caixa descontado, ou metodologias similares que demandam um significativo julgamento ou estimativa.</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O Grupo mensura, de acordo com o CPC 40 (R</w:t>
      </w:r>
      <w:proofErr w:type="gramStart"/>
      <w:r w:rsidRPr="00316249">
        <w:rPr>
          <w:sz w:val="22"/>
          <w:szCs w:val="22"/>
        </w:rPr>
        <w:t>1)/</w:t>
      </w:r>
      <w:proofErr w:type="gramEnd"/>
      <w:r w:rsidRPr="00316249">
        <w:rPr>
          <w:sz w:val="22"/>
          <w:szCs w:val="22"/>
        </w:rPr>
        <w:t>IFRS 7, seus equivalentes de caixa e aplicações financeiras pelo seu valor justo. Os equivalentes de caixa e aplicações financeiras são classificados como Nível 2, pois são mensurados utilizando preços de mercado para instrumentos similares.</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As tabelas seguintes demonstram, de forma resumida, os ativos financeiros registrados a valor justo em 31 de dezembro de 2016.</w:t>
      </w:r>
    </w:p>
    <w:p w:rsidR="00E9008A" w:rsidRPr="00316249" w:rsidRDefault="00E9008A" w:rsidP="00E9008A">
      <w:pPr>
        <w:spacing w:before="240" w:after="240"/>
        <w:rPr>
          <w:sz w:val="22"/>
          <w:szCs w:val="22"/>
        </w:rPr>
      </w:pPr>
      <w:r w:rsidRPr="00316249">
        <w:rPr>
          <w:sz w:val="22"/>
          <w:szCs w:val="22"/>
        </w:rPr>
        <w:t>O quadro seguinte resume os principais instrumentos financeiros ativos e passivos:</w:t>
      </w:r>
    </w:p>
    <w:tbl>
      <w:tblPr>
        <w:tblW w:w="5000" w:type="pct"/>
        <w:tblCellMar>
          <w:left w:w="70" w:type="dxa"/>
          <w:right w:w="70" w:type="dxa"/>
        </w:tblCellMar>
        <w:tblLook w:val="04A0" w:firstRow="1" w:lastRow="0" w:firstColumn="1" w:lastColumn="0" w:noHBand="0" w:noVBand="1"/>
      </w:tblPr>
      <w:tblGrid>
        <w:gridCol w:w="3855"/>
        <w:gridCol w:w="1365"/>
        <w:gridCol w:w="923"/>
        <w:gridCol w:w="731"/>
        <w:gridCol w:w="770"/>
        <w:gridCol w:w="788"/>
        <w:gridCol w:w="779"/>
      </w:tblGrid>
      <w:tr w:rsidR="00E9008A" w:rsidRPr="00316249" w:rsidTr="005B7D01">
        <w:trPr>
          <w:trHeight w:val="238"/>
          <w:tblHeader/>
        </w:trPr>
        <w:tc>
          <w:tcPr>
            <w:tcW w:w="20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color w:val="000000"/>
                <w:sz w:val="14"/>
                <w:szCs w:val="14"/>
              </w:rPr>
            </w:pPr>
            <w:r w:rsidRPr="00316249">
              <w:rPr>
                <w:color w:val="000000"/>
                <w:sz w:val="14"/>
                <w:szCs w:val="14"/>
              </w:rPr>
              <w:t> </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Avaliação</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 xml:space="preserve">Hierarquia do Valor </w:t>
            </w:r>
            <w:r>
              <w:rPr>
                <w:b/>
                <w:bCs/>
                <w:color w:val="000000"/>
                <w:sz w:val="14"/>
                <w:szCs w:val="14"/>
              </w:rPr>
              <w:t>J</w:t>
            </w:r>
            <w:r w:rsidRPr="00316249">
              <w:rPr>
                <w:b/>
                <w:bCs/>
                <w:color w:val="000000"/>
                <w:sz w:val="14"/>
                <w:szCs w:val="14"/>
              </w:rPr>
              <w:t>usto</w:t>
            </w:r>
          </w:p>
        </w:tc>
        <w:tc>
          <w:tcPr>
            <w:tcW w:w="1666" w:type="pct"/>
            <w:gridSpan w:val="4"/>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 xml:space="preserve">31/12/2016 </w:t>
            </w:r>
          </w:p>
        </w:tc>
      </w:tr>
      <w:tr w:rsidR="00E9008A" w:rsidRPr="00316249" w:rsidTr="005B7D01">
        <w:trPr>
          <w:trHeight w:val="238"/>
          <w:tblHeader/>
        </w:trPr>
        <w:tc>
          <w:tcPr>
            <w:tcW w:w="209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4"/>
                <w:szCs w:val="14"/>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4"/>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4"/>
              </w:rPr>
            </w:pP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Controladora</w:t>
            </w:r>
          </w:p>
        </w:tc>
        <w:tc>
          <w:tcPr>
            <w:tcW w:w="851"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Consolidado</w:t>
            </w:r>
          </w:p>
        </w:tc>
      </w:tr>
      <w:tr w:rsidR="00E9008A" w:rsidRPr="00316249" w:rsidTr="005B7D01">
        <w:trPr>
          <w:trHeight w:val="238"/>
          <w:tblHeader/>
        </w:trPr>
        <w:tc>
          <w:tcPr>
            <w:tcW w:w="209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4"/>
                <w:szCs w:val="14"/>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4"/>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4"/>
              </w:rPr>
            </w:pPr>
          </w:p>
        </w:tc>
        <w:tc>
          <w:tcPr>
            <w:tcW w:w="397"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 xml:space="preserve"> Valor Justo </w:t>
            </w:r>
          </w:p>
        </w:tc>
        <w:tc>
          <w:tcPr>
            <w:tcW w:w="418"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 xml:space="preserve"> Valor Contábil </w:t>
            </w:r>
          </w:p>
        </w:tc>
        <w:tc>
          <w:tcPr>
            <w:tcW w:w="428"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 xml:space="preserve"> Valor Justo </w:t>
            </w:r>
          </w:p>
        </w:tc>
        <w:tc>
          <w:tcPr>
            <w:tcW w:w="423"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 xml:space="preserve"> Valor Contábil </w:t>
            </w:r>
          </w:p>
        </w:tc>
      </w:tr>
      <w:tr w:rsidR="00E9008A" w:rsidRPr="00316249" w:rsidTr="005B7D01">
        <w:trPr>
          <w:trHeight w:val="191"/>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Ativos Financeiros</w:t>
            </w: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4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42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r>
      <w:tr w:rsidR="00E9008A" w:rsidRPr="00316249" w:rsidTr="005B7D01">
        <w:trPr>
          <w:trHeight w:val="138"/>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xml:space="preserve">Valor Justo </w:t>
            </w:r>
            <w:r>
              <w:rPr>
                <w:b/>
                <w:bCs/>
                <w:color w:val="000000"/>
                <w:sz w:val="14"/>
                <w:szCs w:val="14"/>
              </w:rPr>
              <w:t>P</w:t>
            </w:r>
            <w:r w:rsidRPr="00316249">
              <w:rPr>
                <w:b/>
                <w:bCs/>
                <w:color w:val="000000"/>
                <w:sz w:val="14"/>
                <w:szCs w:val="14"/>
              </w:rPr>
              <w:t xml:space="preserve">or </w:t>
            </w:r>
            <w:r>
              <w:rPr>
                <w:b/>
                <w:bCs/>
                <w:color w:val="000000"/>
                <w:sz w:val="14"/>
                <w:szCs w:val="14"/>
              </w:rPr>
              <w:t>M</w:t>
            </w:r>
            <w:r w:rsidRPr="00316249">
              <w:rPr>
                <w:b/>
                <w:bCs/>
                <w:color w:val="000000"/>
                <w:sz w:val="14"/>
                <w:szCs w:val="14"/>
              </w:rPr>
              <w:t>eio do Resultado</w:t>
            </w: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4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42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Aplicações Financeiras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Valor Justo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Nível 2</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4.245</w:t>
            </w: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4.245</w:t>
            </w: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55.025</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55.025</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lastRenderedPageBreak/>
              <w:t>Empréstimos e Recebíveis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r>
      <w:tr w:rsidR="00E9008A" w:rsidRPr="00316249" w:rsidTr="005B7D01">
        <w:trPr>
          <w:trHeight w:val="116"/>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Caixa e Bancos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Valor Justo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Nível 1</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w:t>
            </w: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w:t>
            </w: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31.016</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31.016</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Contas a Receber</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7.232</w:t>
            </w: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7.232</w:t>
            </w: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520.706</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520.706</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Valores a Receber Parcela A e Outros Itens Financeiros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392.443</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392.443</w:t>
            </w:r>
          </w:p>
        </w:tc>
      </w:tr>
      <w:tr w:rsidR="00E9008A" w:rsidRPr="00316249" w:rsidTr="005B7D01">
        <w:trPr>
          <w:trHeight w:val="94"/>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Mantidos até o Vencimento</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r>
      <w:tr w:rsidR="00E9008A" w:rsidRPr="00316249" w:rsidTr="005B7D01">
        <w:trPr>
          <w:trHeight w:val="82"/>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Aplicações Financeiras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7.767</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7.767</w:t>
            </w:r>
          </w:p>
        </w:tc>
      </w:tr>
      <w:tr w:rsidR="00E9008A" w:rsidRPr="00316249" w:rsidTr="005B7D01">
        <w:trPr>
          <w:trHeight w:val="56"/>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Disponível para Venda</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r>
      <w:tr w:rsidR="00E9008A" w:rsidRPr="00316249" w:rsidTr="005B7D01">
        <w:trPr>
          <w:trHeight w:val="58"/>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Ativo Financeiro Indenizável</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Valor Justo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Nível 3</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129.189</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129.189</w:t>
            </w:r>
          </w:p>
        </w:tc>
      </w:tr>
      <w:tr w:rsidR="00E9008A" w:rsidRPr="00316249" w:rsidTr="005B7D01">
        <w:trPr>
          <w:trHeight w:val="187"/>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Passivos Financeiros</w:t>
            </w: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r>
      <w:tr w:rsidR="00E9008A" w:rsidRPr="00316249" w:rsidTr="005B7D01">
        <w:trPr>
          <w:trHeight w:val="134"/>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Outros Passivos Financeiros</w:t>
            </w:r>
          </w:p>
        </w:tc>
        <w:tc>
          <w:tcPr>
            <w:tcW w:w="7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Fornecedores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3.251</w:t>
            </w: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3.251</w:t>
            </w: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219.195</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219.195</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r w:rsidRPr="00316249">
              <w:rPr>
                <w:color w:val="000000"/>
                <w:sz w:val="14"/>
                <w:szCs w:val="14"/>
              </w:rPr>
              <w:t>Debêntures</w:t>
            </w:r>
          </w:p>
        </w:tc>
        <w:tc>
          <w:tcPr>
            <w:tcW w:w="741"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rPr>
                <w:color w:val="000000"/>
                <w:sz w:val="14"/>
                <w:szCs w:val="14"/>
              </w:rPr>
            </w:pP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181.908</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181.908</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Empréstimos e Financiamentos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218.986</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218.986</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Obrigações Societárias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10.691</w:t>
            </w: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10.691</w:t>
            </w: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20.231</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20.231</w:t>
            </w:r>
          </w:p>
        </w:tc>
      </w:tr>
      <w:tr w:rsidR="00E9008A" w:rsidRPr="00316249" w:rsidTr="005B7D01">
        <w:trPr>
          <w:trHeight w:val="50"/>
        </w:trPr>
        <w:tc>
          <w:tcPr>
            <w:tcW w:w="209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Valores a Pagar Parcela A e Outros Itens Financeiros</w:t>
            </w:r>
          </w:p>
        </w:tc>
        <w:tc>
          <w:tcPr>
            <w:tcW w:w="74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297.091</w:t>
            </w:r>
          </w:p>
        </w:tc>
        <w:tc>
          <w:tcPr>
            <w:tcW w:w="42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297.091</w:t>
            </w:r>
          </w:p>
        </w:tc>
      </w:tr>
      <w:tr w:rsidR="00E9008A" w:rsidRPr="00316249" w:rsidTr="005B7D01">
        <w:trPr>
          <w:trHeight w:val="88"/>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Encargos Regulatórios</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4"/>
                <w:szCs w:val="14"/>
              </w:rPr>
            </w:pPr>
            <w:r w:rsidRPr="00316249">
              <w:rPr>
                <w:color w:val="000000"/>
                <w:sz w:val="14"/>
                <w:szCs w:val="14"/>
              </w:rPr>
              <w:t> </w:t>
            </w:r>
          </w:p>
        </w:tc>
        <w:tc>
          <w:tcPr>
            <w:tcW w:w="39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424.311</w:t>
            </w: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424.311</w:t>
            </w:r>
          </w:p>
        </w:tc>
      </w:tr>
      <w:tr w:rsidR="00E9008A" w:rsidRPr="00316249" w:rsidTr="005B7D01">
        <w:trPr>
          <w:trHeight w:val="88"/>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r w:rsidRPr="00316249">
              <w:rPr>
                <w:color w:val="000000"/>
                <w:sz w:val="14"/>
                <w:szCs w:val="14"/>
              </w:rPr>
              <w:t>Obrigações Vinculadas a Concessão</w:t>
            </w:r>
          </w:p>
        </w:tc>
        <w:tc>
          <w:tcPr>
            <w:tcW w:w="741" w:type="pct"/>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center"/>
              <w:rPr>
                <w:color w:val="000000"/>
                <w:sz w:val="14"/>
                <w:szCs w:val="14"/>
              </w:rPr>
            </w:pPr>
            <w:r w:rsidRPr="00316249">
              <w:rPr>
                <w:color w:val="000000"/>
                <w:sz w:val="14"/>
                <w:szCs w:val="14"/>
              </w:rPr>
              <w:t>Custo Amortizado</w:t>
            </w:r>
          </w:p>
        </w:tc>
        <w:tc>
          <w:tcPr>
            <w:tcW w:w="501" w:type="pct"/>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rPr>
                <w:color w:val="000000"/>
                <w:sz w:val="14"/>
                <w:szCs w:val="14"/>
              </w:rPr>
            </w:pPr>
          </w:p>
        </w:tc>
        <w:tc>
          <w:tcPr>
            <w:tcW w:w="39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18"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428"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76.863</w:t>
            </w: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76.863</w:t>
            </w:r>
          </w:p>
        </w:tc>
      </w:tr>
    </w:tbl>
    <w:p w:rsidR="007F7D85" w:rsidRDefault="007F7D85" w:rsidP="00E9008A">
      <w:pPr>
        <w:rPr>
          <w:sz w:val="22"/>
          <w:szCs w:val="22"/>
        </w:rPr>
      </w:pPr>
    </w:p>
    <w:p w:rsidR="007F7D85" w:rsidRDefault="007F7D85">
      <w:pPr>
        <w:rPr>
          <w:sz w:val="22"/>
          <w:szCs w:val="22"/>
        </w:rPr>
      </w:pPr>
      <w:r>
        <w:rPr>
          <w:sz w:val="22"/>
          <w:szCs w:val="22"/>
        </w:rPr>
        <w:br w:type="page"/>
      </w:r>
    </w:p>
    <w:p w:rsidR="00E9008A" w:rsidRPr="00316249" w:rsidRDefault="00E9008A" w:rsidP="00E9008A">
      <w:pPr>
        <w:rPr>
          <w:sz w:val="22"/>
          <w:szCs w:val="22"/>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769"/>
        <w:gridCol w:w="1280"/>
        <w:gridCol w:w="831"/>
        <w:gridCol w:w="831"/>
        <w:gridCol w:w="831"/>
        <w:gridCol w:w="831"/>
        <w:gridCol w:w="838"/>
      </w:tblGrid>
      <w:tr w:rsidR="00E9008A" w:rsidRPr="00316249" w:rsidTr="005B7D01">
        <w:trPr>
          <w:trHeight w:val="238"/>
          <w:tblHeader/>
        </w:trPr>
        <w:tc>
          <w:tcPr>
            <w:tcW w:w="2046" w:type="pct"/>
            <w:vMerge w:val="restart"/>
            <w:shd w:val="clear" w:color="000000" w:fill="D9D9D9"/>
            <w:vAlign w:val="center"/>
            <w:hideMark/>
          </w:tcPr>
          <w:p w:rsidR="00E9008A" w:rsidRPr="00316249" w:rsidRDefault="00E9008A" w:rsidP="005B7D01">
            <w:pPr>
              <w:spacing w:before="240" w:after="240"/>
              <w:rPr>
                <w:sz w:val="14"/>
                <w:szCs w:val="14"/>
              </w:rPr>
            </w:pPr>
            <w:r w:rsidRPr="00316249">
              <w:rPr>
                <w:sz w:val="14"/>
                <w:szCs w:val="14"/>
              </w:rPr>
              <w:t> </w:t>
            </w:r>
          </w:p>
        </w:tc>
        <w:tc>
          <w:tcPr>
            <w:tcW w:w="695" w:type="pct"/>
            <w:vMerge w:val="restart"/>
            <w:shd w:val="clear" w:color="auto" w:fill="auto"/>
            <w:vAlign w:val="center"/>
            <w:hideMark/>
          </w:tcPr>
          <w:p w:rsidR="00E9008A" w:rsidRPr="00316249" w:rsidRDefault="00E9008A" w:rsidP="005B7D01">
            <w:pPr>
              <w:jc w:val="center"/>
              <w:rPr>
                <w:b/>
                <w:bCs/>
                <w:sz w:val="14"/>
                <w:szCs w:val="14"/>
              </w:rPr>
            </w:pPr>
            <w:r w:rsidRPr="00316249">
              <w:rPr>
                <w:b/>
                <w:bCs/>
                <w:sz w:val="14"/>
                <w:szCs w:val="14"/>
              </w:rPr>
              <w:t>Avaliação</w:t>
            </w:r>
          </w:p>
        </w:tc>
        <w:tc>
          <w:tcPr>
            <w:tcW w:w="451" w:type="pct"/>
            <w:vMerge w:val="restart"/>
            <w:shd w:val="clear" w:color="auto" w:fill="auto"/>
            <w:vAlign w:val="center"/>
            <w:hideMark/>
          </w:tcPr>
          <w:p w:rsidR="00E9008A" w:rsidRPr="00316249" w:rsidRDefault="00E9008A" w:rsidP="005B7D01">
            <w:pPr>
              <w:jc w:val="center"/>
              <w:rPr>
                <w:b/>
                <w:bCs/>
                <w:sz w:val="14"/>
                <w:szCs w:val="14"/>
              </w:rPr>
            </w:pPr>
            <w:r w:rsidRPr="00316249">
              <w:rPr>
                <w:b/>
                <w:bCs/>
                <w:sz w:val="14"/>
                <w:szCs w:val="14"/>
              </w:rPr>
              <w:t xml:space="preserve">Hierarquia do Valor </w:t>
            </w:r>
            <w:r>
              <w:rPr>
                <w:b/>
                <w:bCs/>
                <w:sz w:val="14"/>
                <w:szCs w:val="14"/>
              </w:rPr>
              <w:t>J</w:t>
            </w:r>
            <w:r w:rsidRPr="00316249">
              <w:rPr>
                <w:b/>
                <w:bCs/>
                <w:sz w:val="14"/>
                <w:szCs w:val="14"/>
              </w:rPr>
              <w:t>usto</w:t>
            </w:r>
          </w:p>
        </w:tc>
        <w:tc>
          <w:tcPr>
            <w:tcW w:w="1808" w:type="pct"/>
            <w:gridSpan w:val="4"/>
            <w:shd w:val="clear" w:color="auto" w:fill="auto"/>
            <w:noWrap/>
            <w:vAlign w:val="center"/>
            <w:hideMark/>
          </w:tcPr>
          <w:p w:rsidR="00E9008A" w:rsidRPr="00316249" w:rsidRDefault="00E9008A" w:rsidP="005B7D01">
            <w:pPr>
              <w:jc w:val="center"/>
              <w:rPr>
                <w:b/>
                <w:bCs/>
                <w:sz w:val="14"/>
                <w:szCs w:val="14"/>
              </w:rPr>
            </w:pPr>
            <w:r w:rsidRPr="00316249">
              <w:rPr>
                <w:b/>
                <w:bCs/>
                <w:sz w:val="14"/>
                <w:szCs w:val="14"/>
              </w:rPr>
              <w:t>31/12/2015</w:t>
            </w:r>
          </w:p>
        </w:tc>
      </w:tr>
      <w:tr w:rsidR="00E9008A" w:rsidRPr="00316249" w:rsidTr="005B7D01">
        <w:trPr>
          <w:trHeight w:val="238"/>
          <w:tblHeader/>
        </w:trPr>
        <w:tc>
          <w:tcPr>
            <w:tcW w:w="2046" w:type="pct"/>
            <w:vMerge/>
            <w:vAlign w:val="center"/>
            <w:hideMark/>
          </w:tcPr>
          <w:p w:rsidR="00E9008A" w:rsidRPr="00316249" w:rsidRDefault="00E9008A" w:rsidP="005B7D01">
            <w:pPr>
              <w:rPr>
                <w:sz w:val="14"/>
                <w:szCs w:val="14"/>
              </w:rPr>
            </w:pPr>
          </w:p>
        </w:tc>
        <w:tc>
          <w:tcPr>
            <w:tcW w:w="695" w:type="pct"/>
            <w:vMerge/>
            <w:vAlign w:val="center"/>
            <w:hideMark/>
          </w:tcPr>
          <w:p w:rsidR="00E9008A" w:rsidRPr="00316249" w:rsidRDefault="00E9008A" w:rsidP="005B7D01">
            <w:pPr>
              <w:rPr>
                <w:b/>
                <w:bCs/>
                <w:sz w:val="14"/>
                <w:szCs w:val="14"/>
              </w:rPr>
            </w:pPr>
          </w:p>
        </w:tc>
        <w:tc>
          <w:tcPr>
            <w:tcW w:w="451" w:type="pct"/>
            <w:vMerge/>
            <w:vAlign w:val="center"/>
            <w:hideMark/>
          </w:tcPr>
          <w:p w:rsidR="00E9008A" w:rsidRPr="00316249" w:rsidRDefault="00E9008A" w:rsidP="005B7D01">
            <w:pPr>
              <w:rPr>
                <w:b/>
                <w:bCs/>
                <w:sz w:val="14"/>
                <w:szCs w:val="14"/>
              </w:rPr>
            </w:pPr>
          </w:p>
        </w:tc>
        <w:tc>
          <w:tcPr>
            <w:tcW w:w="902" w:type="pct"/>
            <w:gridSpan w:val="2"/>
            <w:shd w:val="clear" w:color="auto" w:fill="auto"/>
            <w:noWrap/>
            <w:vAlign w:val="center"/>
            <w:hideMark/>
          </w:tcPr>
          <w:p w:rsidR="00E9008A" w:rsidRPr="00316249" w:rsidRDefault="00E9008A" w:rsidP="005B7D01">
            <w:pPr>
              <w:jc w:val="center"/>
              <w:rPr>
                <w:b/>
                <w:bCs/>
                <w:sz w:val="14"/>
                <w:szCs w:val="14"/>
              </w:rPr>
            </w:pPr>
            <w:r w:rsidRPr="00316249">
              <w:rPr>
                <w:b/>
                <w:bCs/>
                <w:sz w:val="14"/>
                <w:szCs w:val="14"/>
              </w:rPr>
              <w:t>Controladora</w:t>
            </w:r>
          </w:p>
        </w:tc>
        <w:tc>
          <w:tcPr>
            <w:tcW w:w="905" w:type="pct"/>
            <w:gridSpan w:val="2"/>
            <w:shd w:val="clear" w:color="auto" w:fill="auto"/>
            <w:noWrap/>
            <w:vAlign w:val="center"/>
            <w:hideMark/>
          </w:tcPr>
          <w:p w:rsidR="00E9008A" w:rsidRPr="00316249" w:rsidRDefault="00E9008A" w:rsidP="005B7D01">
            <w:pPr>
              <w:jc w:val="center"/>
              <w:rPr>
                <w:b/>
                <w:bCs/>
                <w:sz w:val="14"/>
                <w:szCs w:val="14"/>
              </w:rPr>
            </w:pPr>
            <w:r w:rsidRPr="00316249">
              <w:rPr>
                <w:b/>
                <w:bCs/>
                <w:sz w:val="14"/>
                <w:szCs w:val="14"/>
              </w:rPr>
              <w:t>Consolidado</w:t>
            </w:r>
          </w:p>
        </w:tc>
      </w:tr>
      <w:tr w:rsidR="00E9008A" w:rsidRPr="00316249" w:rsidTr="005B7D01">
        <w:trPr>
          <w:trHeight w:val="238"/>
          <w:tblHeader/>
        </w:trPr>
        <w:tc>
          <w:tcPr>
            <w:tcW w:w="2046" w:type="pct"/>
            <w:vMerge/>
            <w:vAlign w:val="center"/>
            <w:hideMark/>
          </w:tcPr>
          <w:p w:rsidR="00E9008A" w:rsidRPr="00316249" w:rsidRDefault="00E9008A" w:rsidP="005B7D01">
            <w:pPr>
              <w:rPr>
                <w:sz w:val="14"/>
                <w:szCs w:val="14"/>
              </w:rPr>
            </w:pPr>
          </w:p>
        </w:tc>
        <w:tc>
          <w:tcPr>
            <w:tcW w:w="695" w:type="pct"/>
            <w:vMerge/>
            <w:vAlign w:val="center"/>
            <w:hideMark/>
          </w:tcPr>
          <w:p w:rsidR="00E9008A" w:rsidRPr="00316249" w:rsidRDefault="00E9008A" w:rsidP="005B7D01">
            <w:pPr>
              <w:rPr>
                <w:b/>
                <w:bCs/>
                <w:sz w:val="14"/>
                <w:szCs w:val="14"/>
              </w:rPr>
            </w:pPr>
          </w:p>
        </w:tc>
        <w:tc>
          <w:tcPr>
            <w:tcW w:w="451" w:type="pct"/>
            <w:vMerge/>
            <w:vAlign w:val="center"/>
            <w:hideMark/>
          </w:tcPr>
          <w:p w:rsidR="00E9008A" w:rsidRPr="00316249" w:rsidRDefault="00E9008A" w:rsidP="005B7D01">
            <w:pPr>
              <w:rPr>
                <w:b/>
                <w:bCs/>
                <w:sz w:val="14"/>
                <w:szCs w:val="14"/>
              </w:rPr>
            </w:pPr>
          </w:p>
        </w:tc>
        <w:tc>
          <w:tcPr>
            <w:tcW w:w="451" w:type="pct"/>
            <w:shd w:val="clear" w:color="auto" w:fill="auto"/>
            <w:vAlign w:val="center"/>
            <w:hideMark/>
          </w:tcPr>
          <w:p w:rsidR="00E9008A" w:rsidRPr="00316249" w:rsidRDefault="00E9008A" w:rsidP="005B7D01">
            <w:pPr>
              <w:jc w:val="center"/>
              <w:rPr>
                <w:b/>
                <w:bCs/>
                <w:sz w:val="14"/>
                <w:szCs w:val="14"/>
              </w:rPr>
            </w:pPr>
            <w:r w:rsidRPr="00316249">
              <w:rPr>
                <w:b/>
                <w:bCs/>
                <w:sz w:val="14"/>
                <w:szCs w:val="14"/>
              </w:rPr>
              <w:t xml:space="preserve"> Valor Justo </w:t>
            </w:r>
          </w:p>
        </w:tc>
        <w:tc>
          <w:tcPr>
            <w:tcW w:w="451" w:type="pct"/>
            <w:shd w:val="clear" w:color="auto" w:fill="auto"/>
            <w:vAlign w:val="center"/>
            <w:hideMark/>
          </w:tcPr>
          <w:p w:rsidR="00E9008A" w:rsidRPr="00316249" w:rsidRDefault="00E9008A" w:rsidP="005B7D01">
            <w:pPr>
              <w:jc w:val="center"/>
              <w:rPr>
                <w:b/>
                <w:bCs/>
                <w:sz w:val="14"/>
                <w:szCs w:val="14"/>
              </w:rPr>
            </w:pPr>
            <w:r w:rsidRPr="00316249">
              <w:rPr>
                <w:b/>
                <w:bCs/>
                <w:sz w:val="14"/>
                <w:szCs w:val="14"/>
              </w:rPr>
              <w:t xml:space="preserve"> Valor Contábil </w:t>
            </w:r>
          </w:p>
        </w:tc>
        <w:tc>
          <w:tcPr>
            <w:tcW w:w="451" w:type="pct"/>
            <w:shd w:val="clear" w:color="auto" w:fill="auto"/>
            <w:vAlign w:val="center"/>
            <w:hideMark/>
          </w:tcPr>
          <w:p w:rsidR="00E9008A" w:rsidRPr="00316249" w:rsidRDefault="00E9008A" w:rsidP="005B7D01">
            <w:pPr>
              <w:jc w:val="center"/>
              <w:rPr>
                <w:b/>
                <w:bCs/>
                <w:sz w:val="14"/>
                <w:szCs w:val="14"/>
              </w:rPr>
            </w:pPr>
            <w:r w:rsidRPr="00316249">
              <w:rPr>
                <w:b/>
                <w:bCs/>
                <w:sz w:val="14"/>
                <w:szCs w:val="14"/>
              </w:rPr>
              <w:t xml:space="preserve"> Valor Justo </w:t>
            </w:r>
          </w:p>
        </w:tc>
        <w:tc>
          <w:tcPr>
            <w:tcW w:w="454" w:type="pct"/>
            <w:shd w:val="clear" w:color="auto" w:fill="auto"/>
            <w:vAlign w:val="center"/>
            <w:hideMark/>
          </w:tcPr>
          <w:p w:rsidR="00E9008A" w:rsidRPr="00316249" w:rsidRDefault="00E9008A" w:rsidP="005B7D01">
            <w:pPr>
              <w:jc w:val="center"/>
              <w:rPr>
                <w:b/>
                <w:bCs/>
                <w:sz w:val="14"/>
                <w:szCs w:val="14"/>
              </w:rPr>
            </w:pPr>
            <w:r w:rsidRPr="00316249">
              <w:rPr>
                <w:b/>
                <w:bCs/>
                <w:sz w:val="14"/>
                <w:szCs w:val="14"/>
              </w:rPr>
              <w:t xml:space="preserve"> Valor Contábil </w:t>
            </w:r>
          </w:p>
        </w:tc>
      </w:tr>
      <w:tr w:rsidR="00E9008A" w:rsidRPr="00316249" w:rsidTr="005B7D01">
        <w:trPr>
          <w:trHeight w:val="55"/>
        </w:trPr>
        <w:tc>
          <w:tcPr>
            <w:tcW w:w="2046" w:type="pct"/>
            <w:shd w:val="clear" w:color="auto" w:fill="auto"/>
            <w:noWrap/>
            <w:vAlign w:val="center"/>
            <w:hideMark/>
          </w:tcPr>
          <w:p w:rsidR="00E9008A" w:rsidRPr="00316249" w:rsidRDefault="00E9008A" w:rsidP="005B7D01">
            <w:pPr>
              <w:rPr>
                <w:b/>
                <w:bCs/>
                <w:sz w:val="14"/>
                <w:szCs w:val="14"/>
              </w:rPr>
            </w:pPr>
            <w:r w:rsidRPr="00316249">
              <w:rPr>
                <w:b/>
                <w:bCs/>
                <w:sz w:val="14"/>
                <w:szCs w:val="14"/>
              </w:rPr>
              <w:t>Ativos Financeiros</w:t>
            </w:r>
          </w:p>
        </w:tc>
        <w:tc>
          <w:tcPr>
            <w:tcW w:w="695"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r>
      <w:tr w:rsidR="00E9008A" w:rsidRPr="00316249" w:rsidTr="005B7D01">
        <w:trPr>
          <w:trHeight w:val="55"/>
        </w:trPr>
        <w:tc>
          <w:tcPr>
            <w:tcW w:w="2046" w:type="pct"/>
            <w:shd w:val="clear" w:color="auto" w:fill="auto"/>
            <w:noWrap/>
            <w:vAlign w:val="center"/>
            <w:hideMark/>
          </w:tcPr>
          <w:p w:rsidR="00E9008A" w:rsidRPr="00316249" w:rsidRDefault="00E9008A" w:rsidP="005B7D01">
            <w:pPr>
              <w:rPr>
                <w:b/>
                <w:bCs/>
                <w:sz w:val="14"/>
                <w:szCs w:val="14"/>
              </w:rPr>
            </w:pPr>
            <w:r w:rsidRPr="00316249">
              <w:rPr>
                <w:b/>
                <w:bCs/>
                <w:sz w:val="14"/>
                <w:szCs w:val="14"/>
              </w:rPr>
              <w:t xml:space="preserve">Valor Justo </w:t>
            </w:r>
            <w:r>
              <w:rPr>
                <w:b/>
                <w:bCs/>
                <w:sz w:val="14"/>
                <w:szCs w:val="14"/>
              </w:rPr>
              <w:t>P</w:t>
            </w:r>
            <w:r w:rsidRPr="00316249">
              <w:rPr>
                <w:b/>
                <w:bCs/>
                <w:sz w:val="14"/>
                <w:szCs w:val="14"/>
              </w:rPr>
              <w:t xml:space="preserve">or </w:t>
            </w:r>
            <w:r>
              <w:rPr>
                <w:b/>
                <w:bCs/>
                <w:sz w:val="14"/>
                <w:szCs w:val="14"/>
              </w:rPr>
              <w:t>M</w:t>
            </w:r>
            <w:r w:rsidRPr="00316249">
              <w:rPr>
                <w:b/>
                <w:bCs/>
                <w:sz w:val="14"/>
                <w:szCs w:val="14"/>
              </w:rPr>
              <w:t>eio do Resultado</w:t>
            </w:r>
          </w:p>
        </w:tc>
        <w:tc>
          <w:tcPr>
            <w:tcW w:w="695"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r>
      <w:tr w:rsidR="00E9008A" w:rsidRPr="00316249" w:rsidTr="005B7D01">
        <w:trPr>
          <w:trHeight w:val="103"/>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Aplicações Financeiras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Valor Justo</w:t>
            </w:r>
          </w:p>
        </w:tc>
        <w:tc>
          <w:tcPr>
            <w:tcW w:w="451" w:type="pct"/>
            <w:shd w:val="clear" w:color="auto" w:fill="auto"/>
            <w:vAlign w:val="center"/>
            <w:hideMark/>
          </w:tcPr>
          <w:p w:rsidR="00E9008A" w:rsidRPr="00316249" w:rsidRDefault="00E9008A" w:rsidP="005B7D01">
            <w:pPr>
              <w:jc w:val="center"/>
              <w:rPr>
                <w:sz w:val="14"/>
                <w:szCs w:val="14"/>
              </w:rPr>
            </w:pPr>
            <w:r w:rsidRPr="00316249">
              <w:rPr>
                <w:sz w:val="14"/>
                <w:szCs w:val="14"/>
              </w:rPr>
              <w:t>Nível 2</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10.080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10.080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43.606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43.606 </w:t>
            </w:r>
          </w:p>
        </w:tc>
      </w:tr>
      <w:tr w:rsidR="00E9008A" w:rsidRPr="00316249" w:rsidTr="005B7D01">
        <w:trPr>
          <w:trHeight w:val="91"/>
        </w:trPr>
        <w:tc>
          <w:tcPr>
            <w:tcW w:w="2046" w:type="pct"/>
            <w:shd w:val="clear" w:color="auto" w:fill="auto"/>
            <w:noWrap/>
            <w:vAlign w:val="center"/>
            <w:hideMark/>
          </w:tcPr>
          <w:p w:rsidR="00E9008A" w:rsidRPr="00316249" w:rsidRDefault="00E9008A" w:rsidP="005B7D01">
            <w:pPr>
              <w:rPr>
                <w:b/>
                <w:bCs/>
                <w:sz w:val="14"/>
                <w:szCs w:val="14"/>
              </w:rPr>
            </w:pPr>
            <w:r w:rsidRPr="00316249">
              <w:rPr>
                <w:b/>
                <w:bCs/>
                <w:sz w:val="14"/>
                <w:szCs w:val="14"/>
              </w:rPr>
              <w:t>Empréstimos e Recebíveis</w:t>
            </w:r>
          </w:p>
        </w:tc>
        <w:tc>
          <w:tcPr>
            <w:tcW w:w="695"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b/>
                <w:bCs/>
                <w:sz w:val="14"/>
                <w:szCs w:val="14"/>
              </w:rPr>
            </w:pPr>
            <w:r w:rsidRPr="00316249">
              <w:rPr>
                <w:b/>
                <w:bCs/>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Caixa e Bancos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Valor Justo</w:t>
            </w:r>
          </w:p>
        </w:tc>
        <w:tc>
          <w:tcPr>
            <w:tcW w:w="451" w:type="pct"/>
            <w:shd w:val="clear" w:color="auto" w:fill="auto"/>
            <w:vAlign w:val="center"/>
            <w:hideMark/>
          </w:tcPr>
          <w:p w:rsidR="00E9008A" w:rsidRPr="00316249" w:rsidRDefault="00E9008A" w:rsidP="005B7D01">
            <w:pPr>
              <w:jc w:val="center"/>
              <w:rPr>
                <w:sz w:val="14"/>
                <w:szCs w:val="14"/>
              </w:rPr>
            </w:pPr>
            <w:r w:rsidRPr="00316249">
              <w:rPr>
                <w:sz w:val="14"/>
                <w:szCs w:val="14"/>
              </w:rPr>
              <w:t>Nível 1</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34.437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34.437 </w:t>
            </w:r>
          </w:p>
        </w:tc>
      </w:tr>
      <w:tr w:rsidR="00E9008A" w:rsidRPr="00316249" w:rsidTr="005B7D01">
        <w:trPr>
          <w:trHeight w:val="95"/>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Contas a Receber</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10.008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10.008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568.478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568.478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Valores a Receber Parcela A e Outros Itens Financeiros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713.871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713.871</w:t>
            </w:r>
          </w:p>
        </w:tc>
      </w:tr>
      <w:tr w:rsidR="00E9008A" w:rsidRPr="00316249" w:rsidTr="005B7D01">
        <w:trPr>
          <w:trHeight w:val="71"/>
        </w:trPr>
        <w:tc>
          <w:tcPr>
            <w:tcW w:w="2046" w:type="pct"/>
            <w:shd w:val="clear" w:color="auto" w:fill="auto"/>
            <w:noWrap/>
            <w:vAlign w:val="center"/>
            <w:hideMark/>
          </w:tcPr>
          <w:p w:rsidR="00E9008A" w:rsidRPr="00316249" w:rsidRDefault="00E9008A" w:rsidP="005B7D01">
            <w:pPr>
              <w:rPr>
                <w:b/>
                <w:bCs/>
                <w:sz w:val="14"/>
                <w:szCs w:val="14"/>
              </w:rPr>
            </w:pPr>
            <w:r w:rsidRPr="00316249">
              <w:rPr>
                <w:b/>
                <w:bCs/>
                <w:sz w:val="14"/>
                <w:szCs w:val="14"/>
              </w:rPr>
              <w:t>Mantidos até o Vencimento</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 </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Aplicações Financeiras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6.434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6.434 </w:t>
            </w:r>
          </w:p>
        </w:tc>
      </w:tr>
      <w:tr w:rsidR="00E9008A" w:rsidRPr="00316249" w:rsidTr="005B7D01">
        <w:trPr>
          <w:trHeight w:val="75"/>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Títulos de Crédito a Receber</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1.137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1.137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b/>
                <w:bCs/>
                <w:sz w:val="14"/>
                <w:szCs w:val="14"/>
              </w:rPr>
            </w:pPr>
            <w:r w:rsidRPr="00316249">
              <w:rPr>
                <w:b/>
                <w:bCs/>
                <w:sz w:val="14"/>
                <w:szCs w:val="14"/>
              </w:rPr>
              <w:t>Disponível para Venda</w:t>
            </w:r>
          </w:p>
        </w:tc>
        <w:tc>
          <w:tcPr>
            <w:tcW w:w="695"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Ativo Financeiro Indenizável</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Valor Justo</w:t>
            </w:r>
          </w:p>
        </w:tc>
        <w:tc>
          <w:tcPr>
            <w:tcW w:w="451" w:type="pct"/>
            <w:shd w:val="clear" w:color="auto" w:fill="auto"/>
            <w:vAlign w:val="center"/>
            <w:hideMark/>
          </w:tcPr>
          <w:p w:rsidR="00E9008A" w:rsidRPr="00316249" w:rsidRDefault="00E9008A" w:rsidP="005B7D01">
            <w:pPr>
              <w:jc w:val="center"/>
              <w:rPr>
                <w:sz w:val="14"/>
                <w:szCs w:val="14"/>
              </w:rPr>
            </w:pPr>
            <w:r w:rsidRPr="00316249">
              <w:rPr>
                <w:sz w:val="14"/>
                <w:szCs w:val="14"/>
              </w:rPr>
              <w:t>Nível 3</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95.372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95.372</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b/>
                <w:bCs/>
                <w:sz w:val="14"/>
                <w:szCs w:val="14"/>
              </w:rPr>
            </w:pPr>
            <w:r w:rsidRPr="00316249">
              <w:rPr>
                <w:b/>
                <w:bCs/>
                <w:sz w:val="14"/>
                <w:szCs w:val="14"/>
              </w:rPr>
              <w:t>Passivos Financeiros</w:t>
            </w:r>
          </w:p>
        </w:tc>
        <w:tc>
          <w:tcPr>
            <w:tcW w:w="695"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b/>
                <w:bCs/>
                <w:sz w:val="14"/>
                <w:szCs w:val="14"/>
              </w:rPr>
            </w:pPr>
            <w:r w:rsidRPr="00316249">
              <w:rPr>
                <w:b/>
                <w:bCs/>
                <w:sz w:val="14"/>
                <w:szCs w:val="14"/>
              </w:rPr>
              <w:t>Outros Passivos Financeiros</w:t>
            </w:r>
          </w:p>
        </w:tc>
        <w:tc>
          <w:tcPr>
            <w:tcW w:w="695"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b/>
                <w:bCs/>
                <w:sz w:val="14"/>
                <w:szCs w:val="14"/>
              </w:rPr>
            </w:pPr>
            <w:r w:rsidRPr="00316249">
              <w:rPr>
                <w:b/>
                <w:bCs/>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Fornecedores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2.213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2.213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347.995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347.995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Debêntures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129.139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129.139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Empréstimos e Financiamentos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278.944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278.944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Obrigações Societárias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18.692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18.692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30.871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30.871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Valores a Pagar Parcela A e Outros Itens Financeiros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 </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342.530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342.530</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Encargos Regulatórios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300.874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300.874 </w:t>
            </w:r>
          </w:p>
        </w:tc>
      </w:tr>
      <w:tr w:rsidR="00E9008A" w:rsidRPr="00316249" w:rsidTr="005B7D01">
        <w:trPr>
          <w:trHeight w:val="61"/>
        </w:trPr>
        <w:tc>
          <w:tcPr>
            <w:tcW w:w="2046" w:type="pct"/>
            <w:shd w:val="clear" w:color="auto" w:fill="auto"/>
            <w:noWrap/>
            <w:vAlign w:val="center"/>
            <w:hideMark/>
          </w:tcPr>
          <w:p w:rsidR="00E9008A" w:rsidRPr="00316249" w:rsidRDefault="00E9008A" w:rsidP="005B7D01">
            <w:pPr>
              <w:rPr>
                <w:sz w:val="14"/>
                <w:szCs w:val="14"/>
              </w:rPr>
            </w:pPr>
            <w:r w:rsidRPr="00316249">
              <w:rPr>
                <w:sz w:val="14"/>
                <w:szCs w:val="14"/>
              </w:rPr>
              <w:t>Obrigações Especiais</w:t>
            </w:r>
          </w:p>
        </w:tc>
        <w:tc>
          <w:tcPr>
            <w:tcW w:w="695" w:type="pct"/>
            <w:shd w:val="clear" w:color="auto" w:fill="auto"/>
            <w:vAlign w:val="center"/>
            <w:hideMark/>
          </w:tcPr>
          <w:p w:rsidR="00E9008A" w:rsidRPr="00316249" w:rsidRDefault="00E9008A" w:rsidP="005B7D01">
            <w:pPr>
              <w:jc w:val="center"/>
              <w:rPr>
                <w:sz w:val="14"/>
                <w:szCs w:val="14"/>
              </w:rPr>
            </w:pPr>
            <w:r w:rsidRPr="00316249">
              <w:rPr>
                <w:sz w:val="14"/>
                <w:szCs w:val="14"/>
              </w:rPr>
              <w:t>Custo Amortizado</w:t>
            </w:r>
          </w:p>
        </w:tc>
        <w:tc>
          <w:tcPr>
            <w:tcW w:w="451"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rPr>
                <w:sz w:val="14"/>
                <w:szCs w:val="14"/>
              </w:rPr>
            </w:pPr>
            <w:r w:rsidRPr="00316249">
              <w:rPr>
                <w:sz w:val="14"/>
                <w:szCs w:val="14"/>
              </w:rPr>
              <w:t> </w:t>
            </w:r>
          </w:p>
        </w:tc>
        <w:tc>
          <w:tcPr>
            <w:tcW w:w="451"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117.546 </w:t>
            </w:r>
          </w:p>
        </w:tc>
        <w:tc>
          <w:tcPr>
            <w:tcW w:w="454" w:type="pct"/>
            <w:shd w:val="clear" w:color="auto" w:fill="auto"/>
            <w:noWrap/>
            <w:vAlign w:val="center"/>
            <w:hideMark/>
          </w:tcPr>
          <w:p w:rsidR="00E9008A" w:rsidRPr="00316249" w:rsidRDefault="00E9008A" w:rsidP="005B7D01">
            <w:pPr>
              <w:jc w:val="right"/>
              <w:rPr>
                <w:sz w:val="14"/>
                <w:szCs w:val="14"/>
              </w:rPr>
            </w:pPr>
            <w:r w:rsidRPr="00316249">
              <w:rPr>
                <w:sz w:val="14"/>
                <w:szCs w:val="14"/>
              </w:rPr>
              <w:t xml:space="preserve">     117.546 </w:t>
            </w:r>
          </w:p>
        </w:tc>
      </w:tr>
    </w:tbl>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CAIXA E EQUIVALENTES DE CAIXA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6"/>
        <w:gridCol w:w="1363"/>
        <w:gridCol w:w="1192"/>
        <w:gridCol w:w="1190"/>
        <w:gridCol w:w="1190"/>
      </w:tblGrid>
      <w:tr w:rsidR="00E9008A" w:rsidRPr="00316249" w:rsidTr="005B7D01">
        <w:trPr>
          <w:trHeight w:val="238"/>
        </w:trPr>
        <w:tc>
          <w:tcPr>
            <w:tcW w:w="2321" w:type="pct"/>
            <w:vMerge w:val="restart"/>
            <w:shd w:val="clear" w:color="000000" w:fill="D9D9D9"/>
            <w:vAlign w:val="center"/>
            <w:hideMark/>
          </w:tcPr>
          <w:p w:rsidR="00E9008A" w:rsidRPr="00316249" w:rsidRDefault="00E9008A" w:rsidP="005B7D01">
            <w:pPr>
              <w:rPr>
                <w:color w:val="000000"/>
                <w:sz w:val="18"/>
                <w:szCs w:val="18"/>
              </w:rPr>
            </w:pPr>
            <w:r w:rsidRPr="00316249">
              <w:rPr>
                <w:color w:val="000000"/>
                <w:sz w:val="18"/>
                <w:szCs w:val="18"/>
              </w:rPr>
              <w:t> </w:t>
            </w:r>
          </w:p>
        </w:tc>
        <w:tc>
          <w:tcPr>
            <w:tcW w:w="1387"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292"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rPr>
        <w:tc>
          <w:tcPr>
            <w:tcW w:w="2321" w:type="pct"/>
            <w:vMerge/>
            <w:vAlign w:val="center"/>
            <w:hideMark/>
          </w:tcPr>
          <w:p w:rsidR="00E9008A" w:rsidRPr="00316249" w:rsidRDefault="00E9008A" w:rsidP="005B7D01">
            <w:pPr>
              <w:rPr>
                <w:color w:val="000000"/>
                <w:sz w:val="18"/>
                <w:szCs w:val="18"/>
              </w:rPr>
            </w:pPr>
          </w:p>
        </w:tc>
        <w:tc>
          <w:tcPr>
            <w:tcW w:w="740" w:type="pct"/>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4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46" w:type="pct"/>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4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321"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Caixa e Bancos Conta Movimento</w:t>
            </w:r>
          </w:p>
        </w:tc>
        <w:tc>
          <w:tcPr>
            <w:tcW w:w="74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w:t>
            </w:r>
          </w:p>
        </w:tc>
        <w:tc>
          <w:tcPr>
            <w:tcW w:w="64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3 </w:t>
            </w:r>
          </w:p>
        </w:tc>
        <w:tc>
          <w:tcPr>
            <w:tcW w:w="64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31.016</w:t>
            </w:r>
          </w:p>
        </w:tc>
        <w:tc>
          <w:tcPr>
            <w:tcW w:w="64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34.437 </w:t>
            </w:r>
          </w:p>
        </w:tc>
      </w:tr>
      <w:tr w:rsidR="00E9008A" w:rsidRPr="00316249" w:rsidTr="005B7D01">
        <w:trPr>
          <w:trHeight w:val="238"/>
        </w:trPr>
        <w:tc>
          <w:tcPr>
            <w:tcW w:w="2321"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Aplicações Financeiras de Liquidez Imediata</w:t>
            </w:r>
          </w:p>
        </w:tc>
        <w:tc>
          <w:tcPr>
            <w:tcW w:w="74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4.245</w:t>
            </w:r>
          </w:p>
        </w:tc>
        <w:tc>
          <w:tcPr>
            <w:tcW w:w="64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10.080 </w:t>
            </w:r>
          </w:p>
        </w:tc>
        <w:tc>
          <w:tcPr>
            <w:tcW w:w="64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55.025</w:t>
            </w:r>
          </w:p>
        </w:tc>
        <w:tc>
          <w:tcPr>
            <w:tcW w:w="64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43.606 </w:t>
            </w:r>
          </w:p>
        </w:tc>
      </w:tr>
      <w:tr w:rsidR="00E9008A" w:rsidRPr="00316249" w:rsidTr="005B7D01">
        <w:trPr>
          <w:trHeight w:val="238"/>
        </w:trPr>
        <w:tc>
          <w:tcPr>
            <w:tcW w:w="2321"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40"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4.248</w:t>
            </w:r>
          </w:p>
        </w:tc>
        <w:tc>
          <w:tcPr>
            <w:tcW w:w="647"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10.083 </w:t>
            </w:r>
          </w:p>
        </w:tc>
        <w:tc>
          <w:tcPr>
            <w:tcW w:w="64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86.041</w:t>
            </w:r>
          </w:p>
        </w:tc>
        <w:tc>
          <w:tcPr>
            <w:tcW w:w="64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78.043 </w:t>
            </w:r>
          </w:p>
        </w:tc>
      </w:tr>
    </w:tbl>
    <w:p w:rsidR="00E9008A" w:rsidRPr="00316249" w:rsidRDefault="00E9008A" w:rsidP="00E9008A">
      <w:pPr>
        <w:spacing w:before="240" w:after="240"/>
        <w:jc w:val="both"/>
        <w:rPr>
          <w:color w:val="000000"/>
          <w:sz w:val="22"/>
          <w:szCs w:val="22"/>
        </w:rPr>
      </w:pPr>
      <w:r w:rsidRPr="00316249">
        <w:rPr>
          <w:color w:val="000000"/>
          <w:sz w:val="22"/>
          <w:szCs w:val="22"/>
        </w:rPr>
        <w:t>As aplicações financeiras classificadas no ativo circulante correspondem às operações contratadas em instituições financeiras nacionais. Todas as operações são de alta liquidez, com recompra diária garantida pela instituição financeira, a uma taxa previamente estabelecida pelas partes (remuneração de 95% a 100% do Certificado de Depósito Bancário – CDI).</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CONTAS A RECEBER</w:t>
      </w:r>
      <w:r w:rsidRPr="005B7D01">
        <w:rPr>
          <w:sz w:val="22"/>
          <w:szCs w:val="22"/>
        </w:rPr>
        <w:tab/>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Composição do Contas a Receber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1"/>
        <w:gridCol w:w="1137"/>
        <w:gridCol w:w="1138"/>
        <w:gridCol w:w="1137"/>
        <w:gridCol w:w="1138"/>
      </w:tblGrid>
      <w:tr w:rsidR="00E9008A" w:rsidRPr="00316249" w:rsidTr="005B7D01">
        <w:trPr>
          <w:trHeight w:val="238"/>
          <w:tblHeader/>
        </w:trPr>
        <w:tc>
          <w:tcPr>
            <w:tcW w:w="2530" w:type="pct"/>
            <w:vMerge w:val="restart"/>
            <w:shd w:val="clear" w:color="000000" w:fill="D9D9D9"/>
            <w:vAlign w:val="center"/>
            <w:hideMark/>
          </w:tcPr>
          <w:p w:rsidR="00E9008A" w:rsidRPr="00316249" w:rsidRDefault="00E9008A" w:rsidP="005B7D01">
            <w:pPr>
              <w:spacing w:after="240"/>
              <w:rPr>
                <w:color w:val="000000"/>
                <w:sz w:val="18"/>
                <w:szCs w:val="18"/>
              </w:rPr>
            </w:pPr>
            <w:r w:rsidRPr="00316249">
              <w:rPr>
                <w:color w:val="000000"/>
                <w:sz w:val="18"/>
                <w:szCs w:val="18"/>
              </w:rPr>
              <w:t> </w:t>
            </w:r>
          </w:p>
        </w:tc>
        <w:tc>
          <w:tcPr>
            <w:tcW w:w="1235"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235"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530" w:type="pct"/>
            <w:vMerge/>
            <w:vAlign w:val="center"/>
            <w:hideMark/>
          </w:tcPr>
          <w:p w:rsidR="00E9008A" w:rsidRPr="00316249" w:rsidRDefault="00E9008A" w:rsidP="005B7D01">
            <w:pPr>
              <w:rPr>
                <w:color w:val="000000"/>
                <w:sz w:val="18"/>
                <w:szCs w:val="18"/>
              </w:rPr>
            </w:pPr>
          </w:p>
        </w:tc>
        <w:tc>
          <w:tcPr>
            <w:tcW w:w="61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18"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1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18"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530"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Consumidores, Concessionárias e Permissionárias</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584.602 </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639.994 </w:t>
            </w:r>
          </w:p>
        </w:tc>
      </w:tr>
      <w:tr w:rsidR="00E9008A" w:rsidRPr="00316249" w:rsidTr="005B7D01">
        <w:trPr>
          <w:trHeight w:val="238"/>
        </w:trPr>
        <w:tc>
          <w:tcPr>
            <w:tcW w:w="2530"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Títulos de Créditos a Receber</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45.523 </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29.727 </w:t>
            </w:r>
          </w:p>
        </w:tc>
      </w:tr>
      <w:tr w:rsidR="00E9008A" w:rsidRPr="00316249" w:rsidTr="005B7D01">
        <w:trPr>
          <w:trHeight w:val="238"/>
        </w:trPr>
        <w:tc>
          <w:tcPr>
            <w:tcW w:w="2530"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Serviços Prestados a Terceiros</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56.975</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52.469 </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66.608 </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58.379 </w:t>
            </w:r>
          </w:p>
        </w:tc>
      </w:tr>
      <w:tr w:rsidR="00E9008A" w:rsidRPr="00316249" w:rsidTr="005B7D01">
        <w:trPr>
          <w:trHeight w:val="238"/>
        </w:trPr>
        <w:tc>
          <w:tcPr>
            <w:tcW w:w="2530"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 a Receber Bruto</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56.975</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52.469 </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696.733 </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728.100 </w:t>
            </w:r>
          </w:p>
        </w:tc>
      </w:tr>
      <w:tr w:rsidR="00E9008A" w:rsidRPr="00316249" w:rsidTr="005B7D01">
        <w:trPr>
          <w:trHeight w:val="238"/>
        </w:trPr>
        <w:tc>
          <w:tcPr>
            <w:tcW w:w="2530"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Estimativa de Perdas Com Créditos de Liquidação Duvidosa</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(49.743)</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(42.461)</w:t>
            </w:r>
          </w:p>
        </w:tc>
        <w:tc>
          <w:tcPr>
            <w:tcW w:w="61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(154.153)</w:t>
            </w:r>
          </w:p>
        </w:tc>
        <w:tc>
          <w:tcPr>
            <w:tcW w:w="61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(159.622)</w:t>
            </w:r>
          </w:p>
        </w:tc>
      </w:tr>
      <w:tr w:rsidR="00E9008A" w:rsidRPr="00316249" w:rsidTr="005B7D01">
        <w:trPr>
          <w:trHeight w:val="238"/>
        </w:trPr>
        <w:tc>
          <w:tcPr>
            <w:tcW w:w="2530"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 a Receber Líquido</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7.232</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10.008 </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542.580 </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568.478 </w:t>
            </w:r>
          </w:p>
        </w:tc>
      </w:tr>
      <w:tr w:rsidR="00E9008A" w:rsidRPr="00316249" w:rsidTr="005B7D01">
        <w:trPr>
          <w:trHeight w:val="238"/>
        </w:trPr>
        <w:tc>
          <w:tcPr>
            <w:tcW w:w="2530"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7.232</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10.008 </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520.706 </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548.842 </w:t>
            </w:r>
          </w:p>
        </w:tc>
      </w:tr>
      <w:tr w:rsidR="00E9008A" w:rsidRPr="00316249" w:rsidTr="005B7D01">
        <w:trPr>
          <w:trHeight w:val="238"/>
        </w:trPr>
        <w:tc>
          <w:tcPr>
            <w:tcW w:w="2530"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61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21.874 </w:t>
            </w:r>
          </w:p>
        </w:tc>
        <w:tc>
          <w:tcPr>
            <w:tcW w:w="61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19.636 </w:t>
            </w:r>
          </w:p>
        </w:tc>
      </w:tr>
    </w:tbl>
    <w:p w:rsidR="007F7D85" w:rsidRPr="007F7D85" w:rsidRDefault="007F7D85" w:rsidP="007F7D85">
      <w:pPr>
        <w:spacing w:before="240" w:after="240"/>
        <w:jc w:val="both"/>
        <w:rPr>
          <w:rFonts w:eastAsia="Arial Unicode MS"/>
          <w:b/>
          <w:bCs/>
          <w:iCs/>
        </w:rPr>
      </w:pPr>
    </w:p>
    <w:p w:rsidR="007F7D85" w:rsidRDefault="007F7D85">
      <w:pPr>
        <w:rPr>
          <w:rFonts w:eastAsia="Arial Unicode MS"/>
          <w:b/>
          <w:bCs/>
          <w:iCs/>
          <w:sz w:val="22"/>
          <w:szCs w:val="22"/>
          <w:lang w:eastAsia="en-US"/>
        </w:rPr>
      </w:pPr>
      <w:r>
        <w:rPr>
          <w:rFonts w:eastAsia="Arial Unicode MS"/>
          <w:b/>
          <w:bCs/>
          <w:iCs/>
        </w:rPr>
        <w:br w:type="page"/>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lastRenderedPageBreak/>
        <w:t>Valores a Receber por Idade de Vencimento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6"/>
        <w:gridCol w:w="941"/>
        <w:gridCol w:w="895"/>
        <w:gridCol w:w="895"/>
        <w:gridCol w:w="967"/>
        <w:gridCol w:w="967"/>
      </w:tblGrid>
      <w:tr w:rsidR="00E9008A" w:rsidRPr="00316249" w:rsidTr="007527F1">
        <w:trPr>
          <w:trHeight w:val="258"/>
          <w:tblHeader/>
        </w:trPr>
        <w:tc>
          <w:tcPr>
            <w:tcW w:w="2470" w:type="pct"/>
            <w:vMerge w:val="restart"/>
            <w:shd w:val="clear" w:color="000000" w:fill="D9D9D9"/>
            <w:vAlign w:val="center"/>
            <w:hideMark/>
          </w:tcPr>
          <w:p w:rsidR="00E9008A" w:rsidRPr="00316249" w:rsidRDefault="00E9008A" w:rsidP="005B7D01">
            <w:pPr>
              <w:spacing w:before="240"/>
              <w:jc w:val="center"/>
              <w:rPr>
                <w:b/>
                <w:bCs/>
                <w:color w:val="000000"/>
                <w:sz w:val="18"/>
                <w:szCs w:val="22"/>
              </w:rPr>
            </w:pPr>
            <w:r w:rsidRPr="00316249">
              <w:rPr>
                <w:b/>
                <w:bCs/>
                <w:color w:val="000000"/>
                <w:sz w:val="18"/>
                <w:szCs w:val="22"/>
              </w:rPr>
              <w:t> </w:t>
            </w:r>
          </w:p>
        </w:tc>
        <w:tc>
          <w:tcPr>
            <w:tcW w:w="500" w:type="pct"/>
            <w:vMerge w:val="restart"/>
            <w:shd w:val="clear" w:color="auto" w:fill="auto"/>
            <w:vAlign w:val="center"/>
            <w:hideMark/>
          </w:tcPr>
          <w:p w:rsidR="00E9008A" w:rsidRPr="00316249" w:rsidRDefault="00E9008A" w:rsidP="005B7D01">
            <w:pPr>
              <w:jc w:val="center"/>
              <w:rPr>
                <w:b/>
                <w:bCs/>
                <w:color w:val="000000"/>
                <w:sz w:val="18"/>
                <w:szCs w:val="22"/>
              </w:rPr>
            </w:pPr>
            <w:r w:rsidRPr="00316249">
              <w:rPr>
                <w:b/>
                <w:bCs/>
                <w:color w:val="000000"/>
                <w:sz w:val="18"/>
                <w:szCs w:val="22"/>
              </w:rPr>
              <w:t>Saldos Vincendos</w:t>
            </w:r>
          </w:p>
        </w:tc>
        <w:tc>
          <w:tcPr>
            <w:tcW w:w="488" w:type="pct"/>
            <w:vMerge w:val="restart"/>
            <w:shd w:val="clear" w:color="auto" w:fill="auto"/>
            <w:vAlign w:val="center"/>
            <w:hideMark/>
          </w:tcPr>
          <w:p w:rsidR="00E9008A" w:rsidRPr="00316249" w:rsidRDefault="00E9008A" w:rsidP="005B7D01">
            <w:pPr>
              <w:jc w:val="center"/>
              <w:rPr>
                <w:b/>
                <w:bCs/>
                <w:color w:val="000000"/>
                <w:sz w:val="18"/>
                <w:szCs w:val="22"/>
              </w:rPr>
            </w:pPr>
            <w:r w:rsidRPr="00316249">
              <w:rPr>
                <w:b/>
                <w:bCs/>
                <w:color w:val="000000"/>
                <w:sz w:val="18"/>
                <w:szCs w:val="22"/>
              </w:rPr>
              <w:t>Vencidos até 90 dias</w:t>
            </w:r>
          </w:p>
        </w:tc>
        <w:tc>
          <w:tcPr>
            <w:tcW w:w="488" w:type="pct"/>
            <w:vMerge w:val="restart"/>
            <w:shd w:val="clear" w:color="auto" w:fill="auto"/>
            <w:vAlign w:val="center"/>
            <w:hideMark/>
          </w:tcPr>
          <w:p w:rsidR="00E9008A" w:rsidRPr="00316249" w:rsidRDefault="00E9008A" w:rsidP="005B7D01">
            <w:pPr>
              <w:jc w:val="center"/>
              <w:rPr>
                <w:b/>
                <w:bCs/>
                <w:color w:val="000000"/>
                <w:sz w:val="18"/>
                <w:szCs w:val="22"/>
              </w:rPr>
            </w:pPr>
            <w:r w:rsidRPr="00316249">
              <w:rPr>
                <w:b/>
                <w:bCs/>
                <w:color w:val="000000"/>
                <w:sz w:val="18"/>
                <w:szCs w:val="22"/>
              </w:rPr>
              <w:t xml:space="preserve">Vencidos há </w:t>
            </w:r>
            <w:r>
              <w:rPr>
                <w:b/>
                <w:bCs/>
                <w:color w:val="000000"/>
                <w:sz w:val="18"/>
                <w:szCs w:val="22"/>
              </w:rPr>
              <w:t>M</w:t>
            </w:r>
            <w:r w:rsidRPr="00316249">
              <w:rPr>
                <w:b/>
                <w:bCs/>
                <w:color w:val="000000"/>
                <w:sz w:val="18"/>
                <w:szCs w:val="22"/>
              </w:rPr>
              <w:t>ais de 90 dias</w:t>
            </w:r>
          </w:p>
        </w:tc>
        <w:tc>
          <w:tcPr>
            <w:tcW w:w="527" w:type="pct"/>
            <w:vMerge w:val="restart"/>
            <w:shd w:val="clear" w:color="auto" w:fill="auto"/>
            <w:vAlign w:val="center"/>
            <w:hideMark/>
          </w:tcPr>
          <w:p w:rsidR="00E9008A" w:rsidRPr="00316249" w:rsidRDefault="00E9008A" w:rsidP="005B7D01">
            <w:pPr>
              <w:jc w:val="center"/>
              <w:rPr>
                <w:b/>
                <w:bCs/>
                <w:color w:val="000000"/>
                <w:sz w:val="18"/>
                <w:szCs w:val="22"/>
              </w:rPr>
            </w:pPr>
            <w:r w:rsidRPr="00316249">
              <w:rPr>
                <w:b/>
                <w:bCs/>
                <w:color w:val="000000"/>
                <w:sz w:val="18"/>
                <w:szCs w:val="22"/>
              </w:rPr>
              <w:t>Total           31/12/2016</w:t>
            </w:r>
          </w:p>
        </w:tc>
        <w:tc>
          <w:tcPr>
            <w:tcW w:w="527" w:type="pct"/>
            <w:vMerge w:val="restart"/>
            <w:shd w:val="clear" w:color="auto" w:fill="auto"/>
            <w:vAlign w:val="center"/>
            <w:hideMark/>
          </w:tcPr>
          <w:p w:rsidR="00E9008A" w:rsidRPr="00316249" w:rsidRDefault="00E9008A" w:rsidP="005B7D01">
            <w:pPr>
              <w:jc w:val="center"/>
              <w:rPr>
                <w:b/>
                <w:bCs/>
                <w:color w:val="000000"/>
                <w:sz w:val="18"/>
                <w:szCs w:val="22"/>
              </w:rPr>
            </w:pPr>
            <w:r w:rsidRPr="00316249">
              <w:rPr>
                <w:b/>
                <w:bCs/>
                <w:color w:val="000000"/>
                <w:sz w:val="18"/>
                <w:szCs w:val="22"/>
              </w:rPr>
              <w:t>Total           31/12/2015</w:t>
            </w:r>
          </w:p>
        </w:tc>
      </w:tr>
      <w:tr w:rsidR="00E9008A" w:rsidRPr="00316249" w:rsidTr="007527F1">
        <w:trPr>
          <w:trHeight w:val="258"/>
          <w:tblHeader/>
        </w:trPr>
        <w:tc>
          <w:tcPr>
            <w:tcW w:w="2470" w:type="pct"/>
            <w:vMerge/>
            <w:vAlign w:val="center"/>
            <w:hideMark/>
          </w:tcPr>
          <w:p w:rsidR="00E9008A" w:rsidRPr="00316249" w:rsidRDefault="00E9008A" w:rsidP="005B7D01">
            <w:pPr>
              <w:rPr>
                <w:b/>
                <w:bCs/>
                <w:color w:val="000000"/>
                <w:sz w:val="18"/>
                <w:szCs w:val="22"/>
              </w:rPr>
            </w:pPr>
          </w:p>
        </w:tc>
        <w:tc>
          <w:tcPr>
            <w:tcW w:w="500" w:type="pct"/>
            <w:vMerge/>
            <w:vAlign w:val="center"/>
            <w:hideMark/>
          </w:tcPr>
          <w:p w:rsidR="00E9008A" w:rsidRPr="00316249" w:rsidRDefault="00E9008A" w:rsidP="005B7D01">
            <w:pPr>
              <w:rPr>
                <w:b/>
                <w:bCs/>
                <w:color w:val="000000"/>
                <w:sz w:val="18"/>
                <w:szCs w:val="22"/>
              </w:rPr>
            </w:pPr>
          </w:p>
        </w:tc>
        <w:tc>
          <w:tcPr>
            <w:tcW w:w="488" w:type="pct"/>
            <w:vMerge/>
            <w:vAlign w:val="center"/>
            <w:hideMark/>
          </w:tcPr>
          <w:p w:rsidR="00E9008A" w:rsidRPr="00316249" w:rsidRDefault="00E9008A" w:rsidP="005B7D01">
            <w:pPr>
              <w:rPr>
                <w:b/>
                <w:bCs/>
                <w:color w:val="000000"/>
                <w:sz w:val="18"/>
                <w:szCs w:val="22"/>
              </w:rPr>
            </w:pPr>
          </w:p>
        </w:tc>
        <w:tc>
          <w:tcPr>
            <w:tcW w:w="488" w:type="pct"/>
            <w:vMerge/>
            <w:vAlign w:val="center"/>
            <w:hideMark/>
          </w:tcPr>
          <w:p w:rsidR="00E9008A" w:rsidRPr="00316249" w:rsidRDefault="00E9008A" w:rsidP="005B7D01">
            <w:pPr>
              <w:rPr>
                <w:b/>
                <w:bCs/>
                <w:color w:val="000000"/>
                <w:sz w:val="18"/>
                <w:szCs w:val="22"/>
              </w:rPr>
            </w:pPr>
          </w:p>
        </w:tc>
        <w:tc>
          <w:tcPr>
            <w:tcW w:w="527" w:type="pct"/>
            <w:vMerge/>
            <w:vAlign w:val="center"/>
            <w:hideMark/>
          </w:tcPr>
          <w:p w:rsidR="00E9008A" w:rsidRPr="00316249" w:rsidRDefault="00E9008A" w:rsidP="005B7D01">
            <w:pPr>
              <w:rPr>
                <w:b/>
                <w:bCs/>
                <w:color w:val="000000"/>
                <w:sz w:val="18"/>
                <w:szCs w:val="22"/>
              </w:rPr>
            </w:pPr>
          </w:p>
        </w:tc>
        <w:tc>
          <w:tcPr>
            <w:tcW w:w="527" w:type="pct"/>
            <w:vMerge/>
            <w:vAlign w:val="center"/>
            <w:hideMark/>
          </w:tcPr>
          <w:p w:rsidR="00E9008A" w:rsidRPr="00316249" w:rsidRDefault="00E9008A" w:rsidP="005B7D01">
            <w:pPr>
              <w:rPr>
                <w:b/>
                <w:bCs/>
                <w:color w:val="000000"/>
                <w:sz w:val="18"/>
                <w:szCs w:val="22"/>
              </w:rPr>
            </w:pP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b/>
                <w:bCs/>
                <w:color w:val="000000"/>
                <w:sz w:val="18"/>
                <w:szCs w:val="22"/>
              </w:rPr>
            </w:pPr>
            <w:r w:rsidRPr="00316249">
              <w:rPr>
                <w:b/>
                <w:bCs/>
                <w:color w:val="000000"/>
                <w:sz w:val="18"/>
                <w:szCs w:val="22"/>
              </w:rPr>
              <w:t>Classes de Consumidor</w:t>
            </w:r>
          </w:p>
        </w:tc>
        <w:tc>
          <w:tcPr>
            <w:tcW w:w="50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 </w:t>
            </w:r>
          </w:p>
        </w:tc>
        <w:tc>
          <w:tcPr>
            <w:tcW w:w="488"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 </w:t>
            </w:r>
          </w:p>
        </w:tc>
        <w:tc>
          <w:tcPr>
            <w:tcW w:w="488"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 </w:t>
            </w:r>
          </w:p>
        </w:tc>
        <w:tc>
          <w:tcPr>
            <w:tcW w:w="527"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 </w:t>
            </w:r>
          </w:p>
        </w:tc>
        <w:tc>
          <w:tcPr>
            <w:tcW w:w="527"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 </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Residencial</w:t>
            </w:r>
          </w:p>
        </w:tc>
        <w:tc>
          <w:tcPr>
            <w:tcW w:w="500"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73.855</w:t>
            </w:r>
          </w:p>
        </w:tc>
        <w:tc>
          <w:tcPr>
            <w:tcW w:w="488"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77.609</w:t>
            </w:r>
          </w:p>
        </w:tc>
        <w:tc>
          <w:tcPr>
            <w:tcW w:w="488"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24.503</w:t>
            </w:r>
          </w:p>
        </w:tc>
        <w:tc>
          <w:tcPr>
            <w:tcW w:w="527"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175.967</w:t>
            </w:r>
          </w:p>
        </w:tc>
        <w:tc>
          <w:tcPr>
            <w:tcW w:w="527"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168.768</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Poder Público</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13.732</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15.564</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45.432</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74.728</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88.884</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Comércio, Serviços e Outros</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62.396</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31.325</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19.082</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112.803</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116.168</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Iluminação Pública</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13.309</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12.040</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24.483</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49.832</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51.382</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Serviço Público</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12.502</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30</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12.532</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22.553</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Industrial</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4.875</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2.611</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3.321</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10.807</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9.168</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Rural</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3.073</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3.639</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1.383</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8.095</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8.294</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b/>
                <w:bCs/>
                <w:color w:val="000000"/>
                <w:sz w:val="18"/>
                <w:szCs w:val="22"/>
              </w:rPr>
            </w:pPr>
            <w:r w:rsidRPr="00316249">
              <w:rPr>
                <w:b/>
                <w:bCs/>
                <w:color w:val="000000"/>
                <w:sz w:val="18"/>
                <w:szCs w:val="22"/>
              </w:rPr>
              <w:t>Subtotal Consumidores</w:t>
            </w:r>
          </w:p>
        </w:tc>
        <w:tc>
          <w:tcPr>
            <w:tcW w:w="500" w:type="pct"/>
            <w:shd w:val="clear" w:color="auto" w:fill="auto"/>
            <w:noWrap/>
            <w:vAlign w:val="center"/>
          </w:tcPr>
          <w:p w:rsidR="00E9008A" w:rsidRPr="00747E73" w:rsidRDefault="00E9008A" w:rsidP="005B7D01">
            <w:pPr>
              <w:jc w:val="right"/>
              <w:rPr>
                <w:b/>
                <w:bCs/>
                <w:color w:val="000000"/>
                <w:sz w:val="18"/>
                <w:szCs w:val="22"/>
              </w:rPr>
            </w:pPr>
            <w:r w:rsidRPr="00747E73">
              <w:rPr>
                <w:b/>
                <w:bCs/>
                <w:color w:val="000000"/>
                <w:sz w:val="18"/>
                <w:szCs w:val="22"/>
              </w:rPr>
              <w:t>183.742</w:t>
            </w:r>
          </w:p>
        </w:tc>
        <w:tc>
          <w:tcPr>
            <w:tcW w:w="488" w:type="pct"/>
            <w:shd w:val="clear" w:color="auto" w:fill="auto"/>
            <w:noWrap/>
            <w:vAlign w:val="center"/>
          </w:tcPr>
          <w:p w:rsidR="00E9008A" w:rsidRPr="00747E73" w:rsidRDefault="00E9008A" w:rsidP="005B7D01">
            <w:pPr>
              <w:jc w:val="right"/>
              <w:rPr>
                <w:b/>
                <w:bCs/>
                <w:color w:val="000000"/>
                <w:sz w:val="18"/>
                <w:szCs w:val="22"/>
              </w:rPr>
            </w:pPr>
            <w:r w:rsidRPr="00747E73">
              <w:rPr>
                <w:b/>
                <w:bCs/>
                <w:color w:val="000000"/>
                <w:sz w:val="18"/>
                <w:szCs w:val="22"/>
              </w:rPr>
              <w:t>142.788</w:t>
            </w:r>
          </w:p>
        </w:tc>
        <w:tc>
          <w:tcPr>
            <w:tcW w:w="488" w:type="pct"/>
            <w:shd w:val="clear" w:color="auto" w:fill="auto"/>
            <w:noWrap/>
            <w:vAlign w:val="center"/>
          </w:tcPr>
          <w:p w:rsidR="00E9008A" w:rsidRPr="00747E73" w:rsidRDefault="00E9008A" w:rsidP="005B7D01">
            <w:pPr>
              <w:jc w:val="right"/>
              <w:rPr>
                <w:b/>
                <w:bCs/>
                <w:color w:val="000000"/>
                <w:sz w:val="18"/>
                <w:szCs w:val="22"/>
              </w:rPr>
            </w:pPr>
            <w:r w:rsidRPr="00747E73">
              <w:rPr>
                <w:b/>
                <w:bCs/>
                <w:color w:val="000000"/>
                <w:sz w:val="18"/>
                <w:szCs w:val="22"/>
              </w:rPr>
              <w:t>118.234</w:t>
            </w:r>
          </w:p>
        </w:tc>
        <w:tc>
          <w:tcPr>
            <w:tcW w:w="527" w:type="pct"/>
            <w:shd w:val="clear" w:color="auto" w:fill="auto"/>
            <w:noWrap/>
            <w:vAlign w:val="center"/>
          </w:tcPr>
          <w:p w:rsidR="00E9008A" w:rsidRPr="00747E73" w:rsidRDefault="00E9008A" w:rsidP="005B7D01">
            <w:pPr>
              <w:jc w:val="right"/>
              <w:rPr>
                <w:b/>
                <w:color w:val="000000"/>
                <w:sz w:val="18"/>
                <w:szCs w:val="22"/>
              </w:rPr>
            </w:pPr>
            <w:r w:rsidRPr="00747E73">
              <w:rPr>
                <w:b/>
                <w:color w:val="000000"/>
                <w:sz w:val="18"/>
                <w:szCs w:val="22"/>
              </w:rPr>
              <w:t>444.764</w:t>
            </w:r>
          </w:p>
        </w:tc>
        <w:tc>
          <w:tcPr>
            <w:tcW w:w="527" w:type="pct"/>
            <w:shd w:val="clear" w:color="auto" w:fill="auto"/>
            <w:noWrap/>
            <w:vAlign w:val="center"/>
          </w:tcPr>
          <w:p w:rsidR="00E9008A" w:rsidRPr="00747E73" w:rsidRDefault="00E9008A" w:rsidP="005B7D01">
            <w:pPr>
              <w:jc w:val="right"/>
              <w:rPr>
                <w:b/>
                <w:bCs/>
                <w:color w:val="000000"/>
                <w:sz w:val="18"/>
                <w:szCs w:val="22"/>
              </w:rPr>
            </w:pPr>
            <w:r w:rsidRPr="00747E73">
              <w:rPr>
                <w:b/>
                <w:bCs/>
                <w:color w:val="000000"/>
                <w:sz w:val="18"/>
                <w:szCs w:val="22"/>
              </w:rPr>
              <w:t>465.217</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Fornecimento Não Faturado</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128.760</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128.760</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159.511</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Energia Elétrica Curto Prazo – CCEE</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19.242</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19.242</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13.255</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Serviços Prestado</w:t>
            </w:r>
            <w:r>
              <w:rPr>
                <w:color w:val="000000"/>
                <w:sz w:val="18"/>
                <w:szCs w:val="22"/>
              </w:rPr>
              <w:t>s a Terceiros (I</w:t>
            </w:r>
            <w:r w:rsidRPr="00316249">
              <w:rPr>
                <w:color w:val="000000"/>
                <w:sz w:val="18"/>
                <w:szCs w:val="22"/>
              </w:rPr>
              <w:t>ncluso Serviços de IP)</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268</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2.857</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60.390</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63.515</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52.254</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Concessionárias e Permissionárias</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11.380</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33</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11.413</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14.011</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Parcelamentos a Faturar CP e LP</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27.667</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488" w:type="pct"/>
            <w:shd w:val="clear" w:color="auto" w:fill="auto"/>
            <w:noWrap/>
            <w:vAlign w:val="center"/>
          </w:tcPr>
          <w:p w:rsidR="00E9008A" w:rsidRPr="00747E73" w:rsidRDefault="00E9008A" w:rsidP="005B7D01">
            <w:pPr>
              <w:rPr>
                <w:color w:val="000000"/>
                <w:sz w:val="18"/>
                <w:szCs w:val="22"/>
              </w:rPr>
            </w:pPr>
            <w:r w:rsidRPr="00747E73">
              <w:rPr>
                <w:color w:val="000000"/>
                <w:sz w:val="18"/>
                <w:szCs w:val="22"/>
              </w:rPr>
              <w:t> </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27.667</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11.588</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Serviço Taxado</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151</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583</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710</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1.444</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1.114</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Outros</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3.733</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2.239</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4.372</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10.344</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16.734</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Arrecadação a Classificar</w:t>
            </w:r>
          </w:p>
        </w:tc>
        <w:tc>
          <w:tcPr>
            <w:tcW w:w="500"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(10.416)</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488"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 </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(10.416)</w:t>
            </w:r>
          </w:p>
        </w:tc>
        <w:tc>
          <w:tcPr>
            <w:tcW w:w="527" w:type="pct"/>
            <w:shd w:val="clear" w:color="auto" w:fill="auto"/>
            <w:noWrap/>
            <w:vAlign w:val="center"/>
          </w:tcPr>
          <w:p w:rsidR="00E9008A" w:rsidRPr="00747E73" w:rsidRDefault="00E9008A" w:rsidP="005B7D01">
            <w:pPr>
              <w:jc w:val="right"/>
              <w:rPr>
                <w:color w:val="000000"/>
                <w:sz w:val="18"/>
                <w:szCs w:val="22"/>
              </w:rPr>
            </w:pPr>
            <w:r w:rsidRPr="00747E73">
              <w:rPr>
                <w:color w:val="000000"/>
                <w:sz w:val="18"/>
                <w:szCs w:val="22"/>
              </w:rPr>
              <w:t>(5.584)</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b/>
                <w:bCs/>
                <w:color w:val="000000"/>
                <w:sz w:val="18"/>
                <w:szCs w:val="22"/>
              </w:rPr>
            </w:pPr>
            <w:r w:rsidRPr="00316249">
              <w:rPr>
                <w:b/>
                <w:bCs/>
                <w:color w:val="000000"/>
                <w:sz w:val="18"/>
                <w:szCs w:val="22"/>
              </w:rPr>
              <w:t xml:space="preserve">TOTAL </w:t>
            </w:r>
          </w:p>
        </w:tc>
        <w:tc>
          <w:tcPr>
            <w:tcW w:w="500" w:type="pct"/>
            <w:shd w:val="clear" w:color="auto" w:fill="auto"/>
            <w:noWrap/>
            <w:vAlign w:val="center"/>
          </w:tcPr>
          <w:p w:rsidR="00E9008A" w:rsidRPr="00316249" w:rsidRDefault="00E9008A" w:rsidP="005B7D01">
            <w:pPr>
              <w:jc w:val="right"/>
              <w:rPr>
                <w:b/>
                <w:bCs/>
                <w:color w:val="000000"/>
                <w:sz w:val="18"/>
                <w:szCs w:val="22"/>
              </w:rPr>
            </w:pPr>
            <w:r w:rsidRPr="00316249">
              <w:rPr>
                <w:b/>
                <w:bCs/>
                <w:color w:val="000000"/>
                <w:sz w:val="18"/>
                <w:szCs w:val="22"/>
              </w:rPr>
              <w:t>364.527</w:t>
            </w:r>
          </w:p>
        </w:tc>
        <w:tc>
          <w:tcPr>
            <w:tcW w:w="488" w:type="pct"/>
            <w:shd w:val="clear" w:color="auto" w:fill="auto"/>
            <w:noWrap/>
            <w:vAlign w:val="center"/>
          </w:tcPr>
          <w:p w:rsidR="00E9008A" w:rsidRPr="00316249" w:rsidRDefault="00E9008A" w:rsidP="005B7D01">
            <w:pPr>
              <w:jc w:val="right"/>
              <w:rPr>
                <w:b/>
                <w:bCs/>
                <w:color w:val="000000"/>
                <w:sz w:val="18"/>
                <w:szCs w:val="22"/>
              </w:rPr>
            </w:pPr>
            <w:r w:rsidRPr="00316249">
              <w:rPr>
                <w:b/>
                <w:bCs/>
                <w:color w:val="000000"/>
                <w:sz w:val="18"/>
                <w:szCs w:val="22"/>
              </w:rPr>
              <w:t>148.467</w:t>
            </w:r>
          </w:p>
        </w:tc>
        <w:tc>
          <w:tcPr>
            <w:tcW w:w="488" w:type="pct"/>
            <w:shd w:val="clear" w:color="auto" w:fill="auto"/>
            <w:noWrap/>
            <w:vAlign w:val="center"/>
          </w:tcPr>
          <w:p w:rsidR="00E9008A" w:rsidRPr="00316249" w:rsidRDefault="00E9008A" w:rsidP="005B7D01">
            <w:pPr>
              <w:jc w:val="right"/>
              <w:rPr>
                <w:b/>
                <w:bCs/>
                <w:color w:val="000000"/>
                <w:sz w:val="18"/>
                <w:szCs w:val="22"/>
              </w:rPr>
            </w:pPr>
            <w:r w:rsidRPr="00316249">
              <w:rPr>
                <w:b/>
                <w:bCs/>
                <w:color w:val="000000"/>
                <w:sz w:val="18"/>
                <w:szCs w:val="22"/>
              </w:rPr>
              <w:t>183.739</w:t>
            </w:r>
          </w:p>
        </w:tc>
        <w:tc>
          <w:tcPr>
            <w:tcW w:w="527" w:type="pct"/>
            <w:shd w:val="clear" w:color="auto" w:fill="auto"/>
            <w:noWrap/>
            <w:vAlign w:val="center"/>
          </w:tcPr>
          <w:p w:rsidR="00E9008A" w:rsidRPr="007A758E" w:rsidRDefault="00E9008A" w:rsidP="005B7D01">
            <w:pPr>
              <w:jc w:val="right"/>
              <w:rPr>
                <w:b/>
                <w:color w:val="000000"/>
                <w:sz w:val="18"/>
                <w:szCs w:val="22"/>
              </w:rPr>
            </w:pPr>
            <w:r w:rsidRPr="007A758E">
              <w:rPr>
                <w:b/>
                <w:color w:val="000000"/>
                <w:sz w:val="18"/>
                <w:szCs w:val="22"/>
              </w:rPr>
              <w:t>696.733</w:t>
            </w:r>
          </w:p>
        </w:tc>
        <w:tc>
          <w:tcPr>
            <w:tcW w:w="527" w:type="pct"/>
            <w:shd w:val="clear" w:color="auto" w:fill="auto"/>
            <w:noWrap/>
            <w:vAlign w:val="center"/>
          </w:tcPr>
          <w:p w:rsidR="00E9008A" w:rsidRPr="00316249" w:rsidRDefault="00E9008A" w:rsidP="005B7D01">
            <w:pPr>
              <w:jc w:val="right"/>
              <w:rPr>
                <w:b/>
                <w:bCs/>
                <w:color w:val="000000"/>
                <w:sz w:val="18"/>
                <w:szCs w:val="22"/>
              </w:rPr>
            </w:pPr>
            <w:r w:rsidRPr="00316249">
              <w:rPr>
                <w:b/>
                <w:bCs/>
                <w:color w:val="000000"/>
                <w:sz w:val="18"/>
                <w:szCs w:val="22"/>
              </w:rPr>
              <w:t>728.100</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color w:val="000000"/>
                <w:sz w:val="18"/>
                <w:szCs w:val="22"/>
              </w:rPr>
            </w:pPr>
            <w:r w:rsidRPr="00316249">
              <w:rPr>
                <w:color w:val="000000"/>
                <w:sz w:val="18"/>
                <w:szCs w:val="22"/>
              </w:rPr>
              <w:t>Estimativa de Perdas com Créditos Liquidação Duvidosa</w:t>
            </w:r>
          </w:p>
        </w:tc>
        <w:tc>
          <w:tcPr>
            <w:tcW w:w="500" w:type="pct"/>
            <w:shd w:val="clear" w:color="auto" w:fill="auto"/>
            <w:noWrap/>
            <w:vAlign w:val="center"/>
          </w:tcPr>
          <w:p w:rsidR="00E9008A" w:rsidRPr="00316249" w:rsidRDefault="00E9008A" w:rsidP="005B7D01">
            <w:pPr>
              <w:rPr>
                <w:color w:val="000000"/>
                <w:sz w:val="18"/>
                <w:szCs w:val="22"/>
              </w:rPr>
            </w:pPr>
            <w:r w:rsidRPr="00316249">
              <w:rPr>
                <w:color w:val="000000"/>
                <w:sz w:val="18"/>
                <w:szCs w:val="22"/>
              </w:rPr>
              <w:t> </w:t>
            </w:r>
          </w:p>
        </w:tc>
        <w:tc>
          <w:tcPr>
            <w:tcW w:w="488"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 </w:t>
            </w:r>
          </w:p>
        </w:tc>
        <w:tc>
          <w:tcPr>
            <w:tcW w:w="488"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(154.153)</w:t>
            </w:r>
          </w:p>
        </w:tc>
        <w:tc>
          <w:tcPr>
            <w:tcW w:w="527"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(154.153)</w:t>
            </w:r>
          </w:p>
        </w:tc>
        <w:tc>
          <w:tcPr>
            <w:tcW w:w="527" w:type="pct"/>
            <w:shd w:val="clear" w:color="auto" w:fill="auto"/>
            <w:noWrap/>
            <w:vAlign w:val="center"/>
          </w:tcPr>
          <w:p w:rsidR="00E9008A" w:rsidRPr="00316249" w:rsidRDefault="00E9008A" w:rsidP="005B7D01">
            <w:pPr>
              <w:jc w:val="right"/>
              <w:rPr>
                <w:color w:val="000000"/>
                <w:sz w:val="18"/>
                <w:szCs w:val="22"/>
              </w:rPr>
            </w:pPr>
            <w:r w:rsidRPr="00316249">
              <w:rPr>
                <w:color w:val="000000"/>
                <w:sz w:val="18"/>
                <w:szCs w:val="22"/>
              </w:rPr>
              <w:t>(159.622)</w:t>
            </w:r>
          </w:p>
        </w:tc>
      </w:tr>
      <w:tr w:rsidR="00E9008A" w:rsidRPr="00316249" w:rsidTr="007527F1">
        <w:trPr>
          <w:trHeight w:val="238"/>
        </w:trPr>
        <w:tc>
          <w:tcPr>
            <w:tcW w:w="2470" w:type="pct"/>
            <w:shd w:val="clear" w:color="auto" w:fill="auto"/>
            <w:noWrap/>
            <w:vAlign w:val="center"/>
            <w:hideMark/>
          </w:tcPr>
          <w:p w:rsidR="00E9008A" w:rsidRPr="00316249" w:rsidRDefault="00E9008A" w:rsidP="005B7D01">
            <w:pPr>
              <w:rPr>
                <w:b/>
                <w:bCs/>
                <w:color w:val="000000"/>
                <w:sz w:val="18"/>
                <w:szCs w:val="22"/>
              </w:rPr>
            </w:pPr>
            <w:r w:rsidRPr="00316249">
              <w:rPr>
                <w:b/>
                <w:bCs/>
                <w:color w:val="000000"/>
                <w:sz w:val="18"/>
                <w:szCs w:val="22"/>
              </w:rPr>
              <w:t xml:space="preserve">Contas a </w:t>
            </w:r>
            <w:r>
              <w:rPr>
                <w:b/>
                <w:bCs/>
                <w:color w:val="000000"/>
                <w:sz w:val="18"/>
                <w:szCs w:val="22"/>
              </w:rPr>
              <w:t>R</w:t>
            </w:r>
            <w:r w:rsidRPr="00316249">
              <w:rPr>
                <w:b/>
                <w:bCs/>
                <w:color w:val="000000"/>
                <w:sz w:val="18"/>
                <w:szCs w:val="22"/>
              </w:rPr>
              <w:t xml:space="preserve">eceber </w:t>
            </w:r>
            <w:r>
              <w:rPr>
                <w:b/>
                <w:bCs/>
                <w:color w:val="000000"/>
                <w:sz w:val="18"/>
                <w:szCs w:val="22"/>
              </w:rPr>
              <w:t>L</w:t>
            </w:r>
            <w:r w:rsidRPr="00316249">
              <w:rPr>
                <w:b/>
                <w:bCs/>
                <w:color w:val="000000"/>
                <w:sz w:val="18"/>
                <w:szCs w:val="22"/>
              </w:rPr>
              <w:t>íquido</w:t>
            </w:r>
          </w:p>
        </w:tc>
        <w:tc>
          <w:tcPr>
            <w:tcW w:w="500" w:type="pct"/>
            <w:shd w:val="clear" w:color="auto" w:fill="auto"/>
            <w:noWrap/>
            <w:vAlign w:val="bottom"/>
          </w:tcPr>
          <w:p w:rsidR="00E9008A" w:rsidRPr="00316249" w:rsidRDefault="00E9008A" w:rsidP="005B7D01">
            <w:pPr>
              <w:jc w:val="right"/>
              <w:rPr>
                <w:color w:val="000000"/>
                <w:sz w:val="18"/>
                <w:szCs w:val="22"/>
              </w:rPr>
            </w:pPr>
            <w:r w:rsidRPr="00316249">
              <w:rPr>
                <w:color w:val="000000"/>
                <w:sz w:val="18"/>
                <w:szCs w:val="22"/>
              </w:rPr>
              <w:t>364.527</w:t>
            </w:r>
          </w:p>
        </w:tc>
        <w:tc>
          <w:tcPr>
            <w:tcW w:w="488" w:type="pct"/>
            <w:shd w:val="clear" w:color="auto" w:fill="auto"/>
            <w:noWrap/>
            <w:vAlign w:val="bottom"/>
          </w:tcPr>
          <w:p w:rsidR="00E9008A" w:rsidRPr="00316249" w:rsidRDefault="00E9008A" w:rsidP="005B7D01">
            <w:pPr>
              <w:jc w:val="right"/>
              <w:rPr>
                <w:color w:val="000000"/>
                <w:sz w:val="18"/>
                <w:szCs w:val="22"/>
              </w:rPr>
            </w:pPr>
            <w:r w:rsidRPr="00316249">
              <w:rPr>
                <w:color w:val="000000"/>
                <w:sz w:val="18"/>
                <w:szCs w:val="22"/>
              </w:rPr>
              <w:t>148.467</w:t>
            </w:r>
          </w:p>
        </w:tc>
        <w:tc>
          <w:tcPr>
            <w:tcW w:w="488" w:type="pct"/>
            <w:shd w:val="clear" w:color="auto" w:fill="auto"/>
            <w:noWrap/>
            <w:vAlign w:val="bottom"/>
          </w:tcPr>
          <w:p w:rsidR="00E9008A" w:rsidRPr="00316249" w:rsidRDefault="00E9008A" w:rsidP="005B7D01">
            <w:pPr>
              <w:jc w:val="right"/>
              <w:rPr>
                <w:color w:val="000000"/>
                <w:sz w:val="18"/>
                <w:szCs w:val="22"/>
              </w:rPr>
            </w:pPr>
            <w:r w:rsidRPr="00316249">
              <w:rPr>
                <w:color w:val="000000"/>
                <w:sz w:val="18"/>
                <w:szCs w:val="22"/>
              </w:rPr>
              <w:t>29.586</w:t>
            </w:r>
          </w:p>
        </w:tc>
        <w:tc>
          <w:tcPr>
            <w:tcW w:w="527" w:type="pct"/>
            <w:shd w:val="clear" w:color="auto" w:fill="auto"/>
            <w:noWrap/>
            <w:vAlign w:val="bottom"/>
          </w:tcPr>
          <w:p w:rsidR="00E9008A" w:rsidRPr="00316249" w:rsidRDefault="00E9008A" w:rsidP="005B7D01">
            <w:pPr>
              <w:jc w:val="right"/>
              <w:rPr>
                <w:color w:val="000000"/>
                <w:sz w:val="18"/>
                <w:szCs w:val="22"/>
              </w:rPr>
            </w:pPr>
            <w:r w:rsidRPr="00316249">
              <w:rPr>
                <w:color w:val="000000"/>
                <w:sz w:val="18"/>
                <w:szCs w:val="22"/>
              </w:rPr>
              <w:t>542.580</w:t>
            </w:r>
          </w:p>
        </w:tc>
        <w:tc>
          <w:tcPr>
            <w:tcW w:w="527" w:type="pct"/>
            <w:shd w:val="clear" w:color="auto" w:fill="auto"/>
            <w:noWrap/>
            <w:vAlign w:val="bottom"/>
          </w:tcPr>
          <w:p w:rsidR="00E9008A" w:rsidRPr="00316249" w:rsidRDefault="00E9008A" w:rsidP="005B7D01">
            <w:pPr>
              <w:jc w:val="right"/>
              <w:rPr>
                <w:color w:val="000000"/>
                <w:sz w:val="18"/>
                <w:szCs w:val="22"/>
              </w:rPr>
            </w:pPr>
            <w:r w:rsidRPr="00316249">
              <w:rPr>
                <w:color w:val="000000"/>
                <w:sz w:val="18"/>
                <w:szCs w:val="22"/>
              </w:rPr>
              <w:t>568.478</w:t>
            </w:r>
          </w:p>
        </w:tc>
      </w:tr>
    </w:tbl>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 xml:space="preserve">Estimativa de Perdas Com Créditos de Liquidação Duvidosa </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A estimativa de perdas com créditos de liquidação duvidosa foi constituída com premissas consideradas suficientes para cobrir eventuais perdas na realização dos créditos e está constituída de acordo com os valores a receber dos consumidores da classe residencial vencidos há mais de 90 dias; da classe comercial, vencidos há mais de 180 dias; e das classes industrial, rural, poderes públicos, iluminação pública e serviços públicos, vencidos há mais de 360 dias, incluindo parcelamento de débitos. A base de constituição da estimativa engloba os recebíveis faturados até o encerramento do balanço, contabilizados pelo regime de competência.</w:t>
      </w:r>
    </w:p>
    <w:p w:rsidR="00E9008A" w:rsidRPr="00316249" w:rsidRDefault="00E9008A" w:rsidP="00E9008A">
      <w:pPr>
        <w:widowControl w:val="0"/>
        <w:tabs>
          <w:tab w:val="left" w:pos="1134"/>
        </w:tabs>
        <w:spacing w:before="240" w:after="240" w:line="245" w:lineRule="auto"/>
        <w:jc w:val="both"/>
        <w:rPr>
          <w:sz w:val="22"/>
          <w:szCs w:val="22"/>
        </w:rPr>
      </w:pPr>
      <w:r w:rsidRPr="00316249">
        <w:rPr>
          <w:sz w:val="22"/>
          <w:szCs w:val="22"/>
        </w:rPr>
        <w:t>Segue um resumo das faixas de atrasos sujeitas às provisões: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1135"/>
        <w:gridCol w:w="1135"/>
        <w:gridCol w:w="1135"/>
        <w:gridCol w:w="1133"/>
      </w:tblGrid>
      <w:tr w:rsidR="00E9008A" w:rsidRPr="00316249" w:rsidTr="005B7D01">
        <w:trPr>
          <w:trHeight w:val="238"/>
          <w:tblHeader/>
        </w:trPr>
        <w:tc>
          <w:tcPr>
            <w:tcW w:w="2537" w:type="pct"/>
            <w:vMerge w:val="restart"/>
            <w:shd w:val="clear" w:color="000000" w:fill="D9D9D9"/>
            <w:noWrap/>
            <w:vAlign w:val="center"/>
            <w:hideMark/>
          </w:tcPr>
          <w:p w:rsidR="00E9008A" w:rsidRPr="00316249" w:rsidRDefault="00E9008A" w:rsidP="005B7D01">
            <w:pPr>
              <w:spacing w:before="240" w:after="240"/>
              <w:jc w:val="center"/>
              <w:rPr>
                <w:color w:val="000000"/>
                <w:sz w:val="18"/>
                <w:szCs w:val="18"/>
              </w:rPr>
            </w:pPr>
            <w:r w:rsidRPr="00316249">
              <w:rPr>
                <w:color w:val="000000"/>
                <w:sz w:val="18"/>
                <w:szCs w:val="18"/>
              </w:rPr>
              <w:t> </w:t>
            </w:r>
          </w:p>
        </w:tc>
        <w:tc>
          <w:tcPr>
            <w:tcW w:w="1232"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231"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537" w:type="pct"/>
            <w:vMerge/>
            <w:vAlign w:val="center"/>
            <w:hideMark/>
          </w:tcPr>
          <w:p w:rsidR="00E9008A" w:rsidRPr="00316249" w:rsidRDefault="00E9008A" w:rsidP="005B7D01">
            <w:pPr>
              <w:rPr>
                <w:color w:val="000000"/>
                <w:sz w:val="18"/>
                <w:szCs w:val="18"/>
              </w:rPr>
            </w:pPr>
          </w:p>
        </w:tc>
        <w:tc>
          <w:tcPr>
            <w:tcW w:w="61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1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1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15"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Poder Público</w:t>
            </w:r>
            <w:r w:rsidRPr="00316249">
              <w:rPr>
                <w:color w:val="000000"/>
                <w:sz w:val="18"/>
                <w:szCs w:val="18"/>
              </w:rPr>
              <w:t xml:space="preserve"> – Vencidos há mais de 360 dias</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49.743</w:t>
            </w:r>
          </w:p>
        </w:tc>
        <w:tc>
          <w:tcPr>
            <w:tcW w:w="6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42.461 </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78.764</w:t>
            </w:r>
          </w:p>
        </w:tc>
        <w:tc>
          <w:tcPr>
            <w:tcW w:w="61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99.949 </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Iluminação Pública</w:t>
            </w:r>
            <w:r w:rsidRPr="00316249">
              <w:rPr>
                <w:color w:val="000000"/>
                <w:sz w:val="18"/>
                <w:szCs w:val="18"/>
              </w:rPr>
              <w:t xml:space="preserve"> – Vencidos há mais de 360 dias</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24.640</w:t>
            </w:r>
          </w:p>
        </w:tc>
        <w:tc>
          <w:tcPr>
            <w:tcW w:w="61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24.259 </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Residencial – </w:t>
            </w:r>
            <w:r w:rsidRPr="00316249">
              <w:rPr>
                <w:color w:val="000000"/>
                <w:sz w:val="18"/>
                <w:szCs w:val="18"/>
              </w:rPr>
              <w:t>Vencidos há mais de 90 dias</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26.420</w:t>
            </w:r>
          </w:p>
        </w:tc>
        <w:tc>
          <w:tcPr>
            <w:tcW w:w="61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16.653 </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Comercial</w:t>
            </w:r>
            <w:r w:rsidRPr="00316249">
              <w:rPr>
                <w:color w:val="000000"/>
                <w:sz w:val="18"/>
                <w:szCs w:val="18"/>
              </w:rPr>
              <w:t xml:space="preserve"> – Vencidos há mais de 180 dias</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22.900</w:t>
            </w:r>
          </w:p>
        </w:tc>
        <w:tc>
          <w:tcPr>
            <w:tcW w:w="61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14.281 </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Serviço Público</w:t>
            </w:r>
            <w:r w:rsidRPr="00316249">
              <w:rPr>
                <w:color w:val="000000"/>
                <w:sz w:val="18"/>
                <w:szCs w:val="18"/>
              </w:rPr>
              <w:t xml:space="preserve"> – Vencidos há mais de 360 dias</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w:t>
            </w:r>
          </w:p>
        </w:tc>
        <w:tc>
          <w:tcPr>
            <w:tcW w:w="61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3.311 </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Industrial </w:t>
            </w:r>
            <w:r w:rsidRPr="00316249">
              <w:rPr>
                <w:color w:val="000000"/>
                <w:sz w:val="18"/>
                <w:szCs w:val="18"/>
              </w:rPr>
              <w:t>– Vencidos há mais de 360 dias</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1.133</w:t>
            </w:r>
          </w:p>
        </w:tc>
        <w:tc>
          <w:tcPr>
            <w:tcW w:w="61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904 </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Rural</w:t>
            </w:r>
            <w:r w:rsidRPr="00316249">
              <w:rPr>
                <w:color w:val="000000"/>
                <w:sz w:val="18"/>
                <w:szCs w:val="18"/>
              </w:rPr>
              <w:t xml:space="preserve"> – Vencidos há mais de 360 dias</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1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288</w:t>
            </w:r>
          </w:p>
        </w:tc>
        <w:tc>
          <w:tcPr>
            <w:tcW w:w="61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265 </w:t>
            </w:r>
          </w:p>
        </w:tc>
      </w:tr>
      <w:tr w:rsidR="00E9008A" w:rsidRPr="00316249" w:rsidTr="005B7D01">
        <w:trPr>
          <w:trHeight w:val="238"/>
        </w:trPr>
        <w:tc>
          <w:tcPr>
            <w:tcW w:w="2537"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61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49.743 </w:t>
            </w:r>
          </w:p>
        </w:tc>
        <w:tc>
          <w:tcPr>
            <w:tcW w:w="61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42.461 </w:t>
            </w:r>
          </w:p>
        </w:tc>
        <w:tc>
          <w:tcPr>
            <w:tcW w:w="61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154.153</w:t>
            </w:r>
          </w:p>
        </w:tc>
        <w:tc>
          <w:tcPr>
            <w:tcW w:w="61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159.622 </w:t>
            </w:r>
          </w:p>
        </w:tc>
      </w:tr>
    </w:tbl>
    <w:p w:rsidR="00E9008A" w:rsidRPr="00321CB9" w:rsidRDefault="00E9008A" w:rsidP="00E9008A">
      <w:pPr>
        <w:autoSpaceDE w:val="0"/>
        <w:autoSpaceDN w:val="0"/>
        <w:spacing w:before="240" w:after="240"/>
        <w:jc w:val="both"/>
        <w:rPr>
          <w:sz w:val="22"/>
          <w:szCs w:val="22"/>
        </w:rPr>
      </w:pPr>
      <w:r w:rsidRPr="00321CB9">
        <w:rPr>
          <w:sz w:val="22"/>
          <w:szCs w:val="22"/>
        </w:rPr>
        <w:lastRenderedPageBreak/>
        <w:t xml:space="preserve">A Lei nº 5.434/2014 autorizou o Poder Executivo a transferir à CEB, como dação em pagamento de dívidas da execução de obras de iluminação pública do Distrito Federal, os terrenos localizados na Quadra 1 do Setor de Indústria e Abastecimento de Brasília e na Quadra QI 16 do Setor de Indústria de Ceilândia. </w:t>
      </w:r>
    </w:p>
    <w:p w:rsidR="00E9008A" w:rsidRPr="00316249" w:rsidRDefault="00E9008A" w:rsidP="00E9008A">
      <w:pPr>
        <w:autoSpaceDE w:val="0"/>
        <w:autoSpaceDN w:val="0"/>
        <w:spacing w:before="240" w:after="240"/>
        <w:jc w:val="both"/>
        <w:rPr>
          <w:sz w:val="22"/>
          <w:szCs w:val="22"/>
        </w:rPr>
      </w:pPr>
      <w:r w:rsidRPr="00321CB9">
        <w:rPr>
          <w:sz w:val="22"/>
          <w:szCs w:val="22"/>
        </w:rPr>
        <w:t>O § 1º do art. 3º da referida Lei reserva os terrenos, exclusivamente, para essa finalidade. Esses terrenos serão objeto de avaliação para que a operação seja finalizada. A Secretaria de Estado de Planejamento e Orçamento adotará as medidas administrativas necessárias às transferências dos imóveis para a CEB de que trata aquele diploma legal. Até o encerramento do exercício em 31 de dezembro de 2016, não houve alteração da situação relatada.</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 movimentação da estimativa de perdas com créditos de liquidação duvidosa está assim apresentada:</w:t>
      </w:r>
    </w:p>
    <w:tbl>
      <w:tblPr>
        <w:tblW w:w="5000" w:type="pct"/>
        <w:tblCellMar>
          <w:left w:w="70" w:type="dxa"/>
          <w:right w:w="70" w:type="dxa"/>
        </w:tblCellMar>
        <w:tblLook w:val="04A0" w:firstRow="1" w:lastRow="0" w:firstColumn="1" w:lastColumn="0" w:noHBand="0" w:noVBand="1"/>
      </w:tblPr>
      <w:tblGrid>
        <w:gridCol w:w="6103"/>
        <w:gridCol w:w="1614"/>
        <w:gridCol w:w="1494"/>
      </w:tblGrid>
      <w:tr w:rsidR="00E9008A" w:rsidRPr="00316249" w:rsidTr="005B7D01">
        <w:trPr>
          <w:trHeight w:val="238"/>
          <w:tblHeader/>
        </w:trPr>
        <w:tc>
          <w:tcPr>
            <w:tcW w:w="331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2014</w:t>
            </w:r>
          </w:p>
        </w:tc>
        <w:tc>
          <w:tcPr>
            <w:tcW w:w="8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20.286 </w:t>
            </w:r>
          </w:p>
        </w:tc>
        <w:tc>
          <w:tcPr>
            <w:tcW w:w="81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96.232 </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Adições</w:t>
            </w:r>
          </w:p>
        </w:tc>
        <w:tc>
          <w:tcPr>
            <w:tcW w:w="8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25.397 </w:t>
            </w:r>
          </w:p>
        </w:tc>
        <w:tc>
          <w:tcPr>
            <w:tcW w:w="81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166.976 </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Baixa Para Perda </w:t>
            </w:r>
            <w:r w:rsidRPr="00316249">
              <w:rPr>
                <w:sz w:val="22"/>
                <w:szCs w:val="22"/>
              </w:rPr>
              <w:t>–</w:t>
            </w:r>
            <w:r w:rsidRPr="00316249">
              <w:rPr>
                <w:color w:val="000000"/>
                <w:sz w:val="18"/>
                <w:szCs w:val="18"/>
              </w:rPr>
              <w:t xml:space="preserve"> Lei 9.430/96</w:t>
            </w:r>
          </w:p>
        </w:tc>
        <w:tc>
          <w:tcPr>
            <w:tcW w:w="8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w:t>
            </w:r>
          </w:p>
        </w:tc>
        <w:tc>
          <w:tcPr>
            <w:tcW w:w="81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(16.023)</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Reversões</w:t>
            </w:r>
          </w:p>
        </w:tc>
        <w:tc>
          <w:tcPr>
            <w:tcW w:w="8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(3.222)</w:t>
            </w:r>
          </w:p>
        </w:tc>
        <w:tc>
          <w:tcPr>
            <w:tcW w:w="81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(87.563)</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2015</w:t>
            </w:r>
          </w:p>
        </w:tc>
        <w:tc>
          <w:tcPr>
            <w:tcW w:w="8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42.461 </w:t>
            </w:r>
          </w:p>
        </w:tc>
        <w:tc>
          <w:tcPr>
            <w:tcW w:w="81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159.622 </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Adições</w:t>
            </w:r>
          </w:p>
        </w:tc>
        <w:tc>
          <w:tcPr>
            <w:tcW w:w="87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7.282</w:t>
            </w:r>
          </w:p>
        </w:tc>
        <w:tc>
          <w:tcPr>
            <w:tcW w:w="81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110.590</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Baixa Para Perda </w:t>
            </w:r>
            <w:r w:rsidRPr="00316249">
              <w:rPr>
                <w:sz w:val="22"/>
                <w:szCs w:val="22"/>
              </w:rPr>
              <w:t>–</w:t>
            </w:r>
            <w:r w:rsidRPr="00316249">
              <w:rPr>
                <w:color w:val="000000"/>
                <w:sz w:val="18"/>
                <w:szCs w:val="18"/>
              </w:rPr>
              <w:t xml:space="preserve"> Lei 9.430/96</w:t>
            </w:r>
          </w:p>
        </w:tc>
        <w:tc>
          <w:tcPr>
            <w:tcW w:w="87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81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(52.649)</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Reversões</w:t>
            </w:r>
          </w:p>
        </w:tc>
        <w:tc>
          <w:tcPr>
            <w:tcW w:w="87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81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(63.410)</w:t>
            </w:r>
          </w:p>
        </w:tc>
      </w:tr>
      <w:tr w:rsidR="00E9008A" w:rsidRPr="00316249" w:rsidTr="005B7D01">
        <w:trPr>
          <w:trHeight w:val="238"/>
        </w:trPr>
        <w:tc>
          <w:tcPr>
            <w:tcW w:w="331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2016</w:t>
            </w:r>
          </w:p>
        </w:tc>
        <w:tc>
          <w:tcPr>
            <w:tcW w:w="87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49.743</w:t>
            </w:r>
          </w:p>
        </w:tc>
        <w:tc>
          <w:tcPr>
            <w:tcW w:w="81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154.153</w:t>
            </w:r>
          </w:p>
        </w:tc>
      </w:tr>
    </w:tbl>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Créditos Com o Governo do Distrito Federal (Consolidado)</w:t>
      </w:r>
    </w:p>
    <w:p w:rsidR="00E9008A" w:rsidRPr="00321CB9" w:rsidRDefault="00E9008A" w:rsidP="00E9008A">
      <w:pPr>
        <w:pStyle w:val="Corpodetexto"/>
        <w:spacing w:before="240" w:after="240"/>
        <w:rPr>
          <w:rFonts w:ascii="Times New Roman" w:eastAsia="Calibri" w:hAnsi="Times New Roman" w:cs="Times New Roman"/>
          <w:b w:val="0"/>
          <w:sz w:val="22"/>
          <w:szCs w:val="22"/>
          <w:lang w:eastAsia="en-US"/>
        </w:rPr>
      </w:pPr>
      <w:r w:rsidRPr="00321CB9">
        <w:rPr>
          <w:rFonts w:ascii="Times New Roman" w:eastAsia="Calibri" w:hAnsi="Times New Roman" w:cs="Times New Roman"/>
          <w:b w:val="0"/>
          <w:sz w:val="22"/>
          <w:szCs w:val="22"/>
          <w:lang w:eastAsia="en-US"/>
        </w:rPr>
        <w:t>Em 25 de setembro de 2014, foi instituído o Grupo de Trabalho – GT, pelo Decreto nº 35.848, que objetivou a proposição de medidas suplementares necessárias à operacionalização normal da CEB D, dentre elas a liquidação dos débitos do GDF relativos ao consumo de energia elétrica.</w:t>
      </w:r>
    </w:p>
    <w:p w:rsidR="00E9008A" w:rsidRPr="00321CB9" w:rsidRDefault="00E9008A" w:rsidP="00E9008A">
      <w:pPr>
        <w:pStyle w:val="Corpodetexto"/>
        <w:spacing w:before="240" w:after="240"/>
        <w:rPr>
          <w:rFonts w:ascii="Times New Roman" w:eastAsia="Calibri" w:hAnsi="Times New Roman" w:cs="Times New Roman"/>
          <w:b w:val="0"/>
          <w:sz w:val="22"/>
          <w:szCs w:val="22"/>
          <w:lang w:eastAsia="en-US"/>
        </w:rPr>
      </w:pPr>
      <w:r w:rsidRPr="00321CB9">
        <w:rPr>
          <w:rFonts w:ascii="Times New Roman" w:eastAsia="Calibri" w:hAnsi="Times New Roman" w:cs="Times New Roman"/>
          <w:b w:val="0"/>
          <w:sz w:val="22"/>
          <w:szCs w:val="22"/>
          <w:lang w:eastAsia="en-US"/>
        </w:rPr>
        <w:t>Em 2015</w:t>
      </w:r>
      <w:r>
        <w:rPr>
          <w:rFonts w:ascii="Times New Roman" w:eastAsia="Calibri" w:hAnsi="Times New Roman" w:cs="Times New Roman"/>
          <w:b w:val="0"/>
          <w:sz w:val="22"/>
          <w:szCs w:val="22"/>
          <w:lang w:eastAsia="en-US"/>
        </w:rPr>
        <w:t>,</w:t>
      </w:r>
      <w:r w:rsidRPr="00321CB9">
        <w:rPr>
          <w:rFonts w:ascii="Times New Roman" w:eastAsia="Calibri" w:hAnsi="Times New Roman" w:cs="Times New Roman"/>
          <w:b w:val="0"/>
          <w:sz w:val="22"/>
          <w:szCs w:val="22"/>
          <w:lang w:eastAsia="en-US"/>
        </w:rPr>
        <w:t xml:space="preserve"> a negociação da CEB com o GDF</w:t>
      </w:r>
      <w:r>
        <w:rPr>
          <w:rFonts w:ascii="Times New Roman" w:eastAsia="Calibri" w:hAnsi="Times New Roman" w:cs="Times New Roman"/>
          <w:b w:val="0"/>
          <w:sz w:val="22"/>
          <w:szCs w:val="22"/>
          <w:lang w:eastAsia="en-US"/>
        </w:rPr>
        <w:t>,</w:t>
      </w:r>
      <w:r w:rsidRPr="00321CB9">
        <w:rPr>
          <w:rFonts w:ascii="Times New Roman" w:eastAsia="Calibri" w:hAnsi="Times New Roman" w:cs="Times New Roman"/>
          <w:b w:val="0"/>
          <w:sz w:val="22"/>
          <w:szCs w:val="22"/>
          <w:lang w:eastAsia="en-US"/>
        </w:rPr>
        <w:t xml:space="preserve"> objetivando a liquidação dos débitos</w:t>
      </w:r>
      <w:r>
        <w:rPr>
          <w:rFonts w:ascii="Times New Roman" w:eastAsia="Calibri" w:hAnsi="Times New Roman" w:cs="Times New Roman"/>
          <w:b w:val="0"/>
          <w:sz w:val="22"/>
          <w:szCs w:val="22"/>
          <w:lang w:eastAsia="en-US"/>
        </w:rPr>
        <w:t>,</w:t>
      </w:r>
      <w:r w:rsidRPr="00321CB9">
        <w:rPr>
          <w:rFonts w:ascii="Times New Roman" w:eastAsia="Calibri" w:hAnsi="Times New Roman" w:cs="Times New Roman"/>
          <w:b w:val="0"/>
          <w:sz w:val="22"/>
          <w:szCs w:val="22"/>
          <w:lang w:eastAsia="en-US"/>
        </w:rPr>
        <w:t xml:space="preserve"> teve continuidade com a edição </w:t>
      </w:r>
      <w:r>
        <w:rPr>
          <w:rFonts w:ascii="Times New Roman" w:eastAsia="Calibri" w:hAnsi="Times New Roman" w:cs="Times New Roman"/>
          <w:b w:val="0"/>
          <w:sz w:val="22"/>
          <w:szCs w:val="22"/>
          <w:lang w:eastAsia="en-US"/>
        </w:rPr>
        <w:t>d</w:t>
      </w:r>
      <w:r w:rsidRPr="00321CB9">
        <w:rPr>
          <w:rFonts w:ascii="Times New Roman" w:eastAsia="Calibri" w:hAnsi="Times New Roman" w:cs="Times New Roman"/>
          <w:b w:val="0"/>
          <w:sz w:val="22"/>
          <w:szCs w:val="22"/>
          <w:lang w:eastAsia="en-US"/>
        </w:rPr>
        <w:t xml:space="preserve">o Ato Conjunto nº 01/2015, </w:t>
      </w:r>
      <w:r>
        <w:rPr>
          <w:rFonts w:ascii="Times New Roman" w:eastAsia="Calibri" w:hAnsi="Times New Roman" w:cs="Times New Roman"/>
          <w:b w:val="0"/>
          <w:sz w:val="22"/>
          <w:szCs w:val="22"/>
          <w:lang w:eastAsia="en-US"/>
        </w:rPr>
        <w:t>de</w:t>
      </w:r>
      <w:r w:rsidRPr="00321CB9">
        <w:rPr>
          <w:rFonts w:ascii="Times New Roman" w:eastAsia="Calibri" w:hAnsi="Times New Roman" w:cs="Times New Roman"/>
          <w:b w:val="0"/>
          <w:sz w:val="22"/>
          <w:szCs w:val="22"/>
          <w:lang w:eastAsia="en-US"/>
        </w:rPr>
        <w:t xml:space="preserve"> 6</w:t>
      </w:r>
      <w:r>
        <w:rPr>
          <w:rFonts w:ascii="Times New Roman" w:eastAsia="Calibri" w:hAnsi="Times New Roman" w:cs="Times New Roman"/>
          <w:b w:val="0"/>
          <w:sz w:val="22"/>
          <w:szCs w:val="22"/>
          <w:lang w:eastAsia="en-US"/>
        </w:rPr>
        <w:t xml:space="preserve"> de maio de </w:t>
      </w:r>
      <w:r w:rsidRPr="00321CB9">
        <w:rPr>
          <w:rFonts w:ascii="Times New Roman" w:eastAsia="Calibri" w:hAnsi="Times New Roman" w:cs="Times New Roman"/>
          <w:b w:val="0"/>
          <w:sz w:val="22"/>
          <w:szCs w:val="22"/>
          <w:lang w:eastAsia="en-US"/>
        </w:rPr>
        <w:t>2015</w:t>
      </w:r>
      <w:r>
        <w:rPr>
          <w:rFonts w:ascii="Times New Roman" w:eastAsia="Calibri" w:hAnsi="Times New Roman" w:cs="Times New Roman"/>
          <w:b w:val="0"/>
          <w:sz w:val="22"/>
          <w:szCs w:val="22"/>
          <w:lang w:eastAsia="en-US"/>
        </w:rPr>
        <w:t>,</w:t>
      </w:r>
      <w:r w:rsidRPr="00321CB9">
        <w:rPr>
          <w:rFonts w:ascii="Times New Roman" w:eastAsia="Calibri" w:hAnsi="Times New Roman" w:cs="Times New Roman"/>
          <w:b w:val="0"/>
          <w:sz w:val="22"/>
          <w:szCs w:val="22"/>
          <w:lang w:eastAsia="en-US"/>
        </w:rPr>
        <w:t xml:space="preserve"> que criou </w:t>
      </w:r>
      <w:r>
        <w:rPr>
          <w:rFonts w:ascii="Times New Roman" w:eastAsia="Calibri" w:hAnsi="Times New Roman" w:cs="Times New Roman"/>
          <w:b w:val="0"/>
          <w:sz w:val="22"/>
          <w:szCs w:val="22"/>
          <w:lang w:eastAsia="en-US"/>
        </w:rPr>
        <w:t xml:space="preserve">o </w:t>
      </w:r>
      <w:r w:rsidRPr="00321CB9">
        <w:rPr>
          <w:rFonts w:ascii="Times New Roman" w:eastAsia="Calibri" w:hAnsi="Times New Roman" w:cs="Times New Roman"/>
          <w:b w:val="0"/>
          <w:sz w:val="22"/>
          <w:szCs w:val="22"/>
          <w:lang w:eastAsia="en-US"/>
        </w:rPr>
        <w:t xml:space="preserve">Grupo de Trabalho para apurar os créditos e débitos </w:t>
      </w:r>
      <w:r>
        <w:rPr>
          <w:rFonts w:ascii="Times New Roman" w:eastAsia="Calibri" w:hAnsi="Times New Roman" w:cs="Times New Roman"/>
          <w:b w:val="0"/>
          <w:sz w:val="22"/>
          <w:szCs w:val="22"/>
          <w:lang w:eastAsia="en-US"/>
        </w:rPr>
        <w:t xml:space="preserve">recíprocos </w:t>
      </w:r>
      <w:r w:rsidRPr="00321CB9">
        <w:rPr>
          <w:rFonts w:ascii="Times New Roman" w:eastAsia="Calibri" w:hAnsi="Times New Roman" w:cs="Times New Roman"/>
          <w:b w:val="0"/>
          <w:sz w:val="22"/>
          <w:szCs w:val="22"/>
          <w:lang w:eastAsia="en-US"/>
        </w:rPr>
        <w:t>da C</w:t>
      </w:r>
      <w:r>
        <w:rPr>
          <w:rFonts w:ascii="Times New Roman" w:eastAsia="Calibri" w:hAnsi="Times New Roman" w:cs="Times New Roman"/>
          <w:b w:val="0"/>
          <w:sz w:val="22"/>
          <w:szCs w:val="22"/>
          <w:lang w:eastAsia="en-US"/>
        </w:rPr>
        <w:t xml:space="preserve">ompanhia e da CEB Distribuição S.A. com o </w:t>
      </w:r>
      <w:r w:rsidRPr="00321CB9">
        <w:rPr>
          <w:rFonts w:ascii="Times New Roman" w:eastAsia="Calibri" w:hAnsi="Times New Roman" w:cs="Times New Roman"/>
          <w:b w:val="0"/>
          <w:sz w:val="22"/>
          <w:szCs w:val="22"/>
          <w:lang w:eastAsia="en-US"/>
        </w:rPr>
        <w:t>Governo do Distrito Federal</w:t>
      </w:r>
      <w:r>
        <w:rPr>
          <w:rFonts w:ascii="Times New Roman" w:eastAsia="Calibri" w:hAnsi="Times New Roman" w:cs="Times New Roman"/>
          <w:b w:val="0"/>
          <w:sz w:val="22"/>
          <w:szCs w:val="22"/>
          <w:lang w:eastAsia="en-US"/>
        </w:rPr>
        <w:t>.</w:t>
      </w:r>
    </w:p>
    <w:p w:rsidR="00E9008A" w:rsidRPr="00321CB9" w:rsidRDefault="00E9008A" w:rsidP="00E9008A">
      <w:pPr>
        <w:pStyle w:val="Corpodetexto"/>
        <w:spacing w:before="240" w:after="240"/>
        <w:rPr>
          <w:rFonts w:ascii="Times New Roman" w:eastAsia="Calibri" w:hAnsi="Times New Roman" w:cs="Times New Roman"/>
          <w:b w:val="0"/>
          <w:sz w:val="22"/>
          <w:szCs w:val="22"/>
          <w:lang w:eastAsia="en-US"/>
        </w:rPr>
      </w:pPr>
      <w:r>
        <w:rPr>
          <w:rFonts w:ascii="Times New Roman" w:eastAsia="Calibri" w:hAnsi="Times New Roman" w:cs="Times New Roman"/>
          <w:b w:val="0"/>
          <w:sz w:val="22"/>
          <w:szCs w:val="22"/>
          <w:lang w:eastAsia="en-US"/>
        </w:rPr>
        <w:t>Em 2016, por</w:t>
      </w:r>
      <w:r w:rsidRPr="00321CB9">
        <w:rPr>
          <w:rFonts w:ascii="Times New Roman" w:eastAsia="Calibri" w:hAnsi="Times New Roman" w:cs="Times New Roman"/>
          <w:b w:val="0"/>
          <w:sz w:val="22"/>
          <w:szCs w:val="22"/>
          <w:lang w:eastAsia="en-US"/>
        </w:rPr>
        <w:t xml:space="preserve"> deliberação do Tribunal de Contas do Distrito Federal</w:t>
      </w:r>
      <w:r>
        <w:rPr>
          <w:rFonts w:ascii="Times New Roman" w:eastAsia="Calibri" w:hAnsi="Times New Roman" w:cs="Times New Roman"/>
          <w:b w:val="0"/>
          <w:sz w:val="22"/>
          <w:szCs w:val="22"/>
          <w:lang w:eastAsia="en-US"/>
        </w:rPr>
        <w:t>,</w:t>
      </w:r>
      <w:r w:rsidRPr="00321CB9">
        <w:rPr>
          <w:rFonts w:ascii="Times New Roman" w:eastAsia="Calibri" w:hAnsi="Times New Roman" w:cs="Times New Roman"/>
          <w:b w:val="0"/>
          <w:sz w:val="22"/>
          <w:szCs w:val="22"/>
          <w:lang w:eastAsia="en-US"/>
        </w:rPr>
        <w:t xml:space="preserve"> </w:t>
      </w:r>
      <w:r>
        <w:rPr>
          <w:rFonts w:ascii="Times New Roman" w:eastAsia="Calibri" w:hAnsi="Times New Roman" w:cs="Times New Roman"/>
          <w:b w:val="0"/>
          <w:sz w:val="22"/>
          <w:szCs w:val="22"/>
          <w:lang w:eastAsia="en-US"/>
        </w:rPr>
        <w:t>foi decidido</w:t>
      </w:r>
      <w:r w:rsidRPr="00321CB9">
        <w:rPr>
          <w:rFonts w:ascii="Times New Roman" w:eastAsia="Calibri" w:hAnsi="Times New Roman" w:cs="Times New Roman"/>
          <w:b w:val="0"/>
          <w:sz w:val="22"/>
          <w:szCs w:val="22"/>
          <w:lang w:eastAsia="en-US"/>
        </w:rPr>
        <w:t xml:space="preserve"> no </w:t>
      </w:r>
      <w:r>
        <w:rPr>
          <w:rFonts w:ascii="Times New Roman" w:eastAsia="Calibri" w:hAnsi="Times New Roman" w:cs="Times New Roman"/>
          <w:b w:val="0"/>
          <w:sz w:val="22"/>
          <w:szCs w:val="22"/>
          <w:lang w:eastAsia="en-US"/>
        </w:rPr>
        <w:t xml:space="preserve">âmbito do </w:t>
      </w:r>
      <w:r w:rsidRPr="00321CB9">
        <w:rPr>
          <w:rFonts w:ascii="Times New Roman" w:eastAsia="Calibri" w:hAnsi="Times New Roman" w:cs="Times New Roman"/>
          <w:b w:val="0"/>
          <w:sz w:val="22"/>
          <w:szCs w:val="22"/>
          <w:lang w:eastAsia="en-US"/>
        </w:rPr>
        <w:t xml:space="preserve">Processo nº 34.860/2015, o pagamento das Despesas de Exercícios Anteriores – </w:t>
      </w:r>
      <w:proofErr w:type="spellStart"/>
      <w:r w:rsidRPr="00321CB9">
        <w:rPr>
          <w:rFonts w:ascii="Times New Roman" w:eastAsia="Calibri" w:hAnsi="Times New Roman" w:cs="Times New Roman"/>
          <w:b w:val="0"/>
          <w:sz w:val="22"/>
          <w:szCs w:val="22"/>
          <w:lang w:eastAsia="en-US"/>
        </w:rPr>
        <w:t>DEAs</w:t>
      </w:r>
      <w:proofErr w:type="spellEnd"/>
      <w:r w:rsidRPr="00321CB9">
        <w:rPr>
          <w:rFonts w:ascii="Times New Roman" w:eastAsia="Calibri" w:hAnsi="Times New Roman" w:cs="Times New Roman"/>
          <w:b w:val="0"/>
          <w:sz w:val="22"/>
          <w:szCs w:val="22"/>
          <w:lang w:eastAsia="en-US"/>
        </w:rPr>
        <w:t xml:space="preserve"> devidas pelo GDF à CEB e à CEB Distribuição</w:t>
      </w:r>
      <w:r>
        <w:rPr>
          <w:rFonts w:ascii="Times New Roman" w:eastAsia="Calibri" w:hAnsi="Times New Roman" w:cs="Times New Roman"/>
          <w:b w:val="0"/>
          <w:sz w:val="22"/>
          <w:szCs w:val="22"/>
          <w:lang w:eastAsia="en-US"/>
        </w:rPr>
        <w:t xml:space="preserve"> S.A.</w:t>
      </w:r>
      <w:r w:rsidRPr="00321CB9">
        <w:rPr>
          <w:rFonts w:ascii="Times New Roman" w:eastAsia="Calibri" w:hAnsi="Times New Roman" w:cs="Times New Roman"/>
          <w:b w:val="0"/>
          <w:sz w:val="22"/>
          <w:szCs w:val="22"/>
          <w:lang w:eastAsia="en-US"/>
        </w:rPr>
        <w:t xml:space="preserve"> seria </w:t>
      </w:r>
      <w:r>
        <w:rPr>
          <w:rFonts w:ascii="Times New Roman" w:eastAsia="Calibri" w:hAnsi="Times New Roman" w:cs="Times New Roman"/>
          <w:b w:val="0"/>
          <w:sz w:val="22"/>
          <w:szCs w:val="22"/>
          <w:lang w:eastAsia="en-US"/>
        </w:rPr>
        <w:t>efetuado</w:t>
      </w:r>
      <w:r w:rsidRPr="00321CB9">
        <w:rPr>
          <w:rFonts w:ascii="Times New Roman" w:eastAsia="Calibri" w:hAnsi="Times New Roman" w:cs="Times New Roman"/>
          <w:b w:val="0"/>
          <w:sz w:val="22"/>
          <w:szCs w:val="22"/>
          <w:lang w:eastAsia="en-US"/>
        </w:rPr>
        <w:t xml:space="preserve"> em ordem cronológica da data de constituição do débito, em obediência ao art. 5º da Lei nº 8.666/1993.</w:t>
      </w:r>
      <w:r>
        <w:rPr>
          <w:rFonts w:ascii="Times New Roman" w:eastAsia="Calibri" w:hAnsi="Times New Roman" w:cs="Times New Roman"/>
          <w:b w:val="0"/>
          <w:sz w:val="22"/>
          <w:szCs w:val="22"/>
          <w:lang w:eastAsia="en-US"/>
        </w:rPr>
        <w:t xml:space="preserve"> </w:t>
      </w:r>
      <w:r w:rsidRPr="00321CB9">
        <w:rPr>
          <w:rFonts w:ascii="Times New Roman" w:eastAsia="Calibri" w:hAnsi="Times New Roman" w:cs="Times New Roman"/>
          <w:b w:val="0"/>
          <w:sz w:val="22"/>
          <w:szCs w:val="22"/>
          <w:lang w:eastAsia="en-US"/>
        </w:rPr>
        <w:t>Em 24</w:t>
      </w:r>
      <w:r>
        <w:rPr>
          <w:rFonts w:ascii="Times New Roman" w:eastAsia="Calibri" w:hAnsi="Times New Roman" w:cs="Times New Roman"/>
          <w:b w:val="0"/>
          <w:sz w:val="22"/>
          <w:szCs w:val="22"/>
          <w:lang w:eastAsia="en-US"/>
        </w:rPr>
        <w:t xml:space="preserve"> de maio de 2016,</w:t>
      </w:r>
      <w:r w:rsidRPr="00321CB9">
        <w:rPr>
          <w:rFonts w:ascii="Times New Roman" w:eastAsia="Calibri" w:hAnsi="Times New Roman" w:cs="Times New Roman"/>
          <w:b w:val="0"/>
          <w:sz w:val="22"/>
          <w:szCs w:val="22"/>
          <w:lang w:eastAsia="en-US"/>
        </w:rPr>
        <w:t xml:space="preserve"> foi </w:t>
      </w:r>
      <w:r>
        <w:rPr>
          <w:rFonts w:ascii="Times New Roman" w:eastAsia="Calibri" w:hAnsi="Times New Roman" w:cs="Times New Roman"/>
          <w:b w:val="0"/>
          <w:sz w:val="22"/>
          <w:szCs w:val="22"/>
          <w:lang w:eastAsia="en-US"/>
        </w:rPr>
        <w:t>p</w:t>
      </w:r>
      <w:r w:rsidRPr="00321CB9">
        <w:rPr>
          <w:rFonts w:ascii="Times New Roman" w:eastAsia="Calibri" w:hAnsi="Times New Roman" w:cs="Times New Roman"/>
          <w:b w:val="0"/>
          <w:sz w:val="22"/>
          <w:szCs w:val="22"/>
          <w:lang w:eastAsia="en-US"/>
        </w:rPr>
        <w:t>roferida a Decisão nº 2.582/2016</w:t>
      </w:r>
      <w:r>
        <w:rPr>
          <w:rFonts w:ascii="Times New Roman" w:eastAsia="Calibri" w:hAnsi="Times New Roman" w:cs="Times New Roman"/>
          <w:b w:val="0"/>
          <w:sz w:val="22"/>
          <w:szCs w:val="22"/>
          <w:lang w:eastAsia="en-US"/>
        </w:rPr>
        <w:t xml:space="preserve"> pela Corte de Contas, </w:t>
      </w:r>
      <w:r w:rsidRPr="00321CB9">
        <w:rPr>
          <w:rFonts w:ascii="Times New Roman" w:eastAsia="Calibri" w:hAnsi="Times New Roman" w:cs="Times New Roman"/>
          <w:b w:val="0"/>
          <w:sz w:val="22"/>
          <w:szCs w:val="22"/>
          <w:lang w:eastAsia="en-US"/>
        </w:rPr>
        <w:t>decidi</w:t>
      </w:r>
      <w:r>
        <w:rPr>
          <w:rFonts w:ascii="Times New Roman" w:eastAsia="Calibri" w:hAnsi="Times New Roman" w:cs="Times New Roman"/>
          <w:b w:val="0"/>
          <w:sz w:val="22"/>
          <w:szCs w:val="22"/>
          <w:lang w:eastAsia="en-US"/>
        </w:rPr>
        <w:t xml:space="preserve">ndo </w:t>
      </w:r>
      <w:r w:rsidRPr="00321CB9">
        <w:rPr>
          <w:rFonts w:ascii="Times New Roman" w:eastAsia="Calibri" w:hAnsi="Times New Roman" w:cs="Times New Roman"/>
          <w:b w:val="0"/>
          <w:sz w:val="22"/>
          <w:szCs w:val="22"/>
          <w:lang w:eastAsia="en-US"/>
        </w:rPr>
        <w:t>que os pagamentos devidos à CEB não obedece</w:t>
      </w:r>
      <w:r>
        <w:rPr>
          <w:rFonts w:ascii="Times New Roman" w:eastAsia="Calibri" w:hAnsi="Times New Roman" w:cs="Times New Roman"/>
          <w:b w:val="0"/>
          <w:sz w:val="22"/>
          <w:szCs w:val="22"/>
          <w:lang w:eastAsia="en-US"/>
        </w:rPr>
        <w:t>riam</w:t>
      </w:r>
      <w:r w:rsidRPr="00321CB9">
        <w:rPr>
          <w:rFonts w:ascii="Times New Roman" w:eastAsia="Calibri" w:hAnsi="Times New Roman" w:cs="Times New Roman"/>
          <w:b w:val="0"/>
          <w:sz w:val="22"/>
          <w:szCs w:val="22"/>
          <w:lang w:eastAsia="en-US"/>
        </w:rPr>
        <w:t xml:space="preserve"> </w:t>
      </w:r>
      <w:r>
        <w:rPr>
          <w:rFonts w:ascii="Times New Roman" w:eastAsia="Calibri" w:hAnsi="Times New Roman" w:cs="Times New Roman"/>
          <w:b w:val="0"/>
          <w:sz w:val="22"/>
          <w:szCs w:val="22"/>
          <w:lang w:eastAsia="en-US"/>
        </w:rPr>
        <w:t>à</w:t>
      </w:r>
      <w:r w:rsidRPr="00321CB9">
        <w:rPr>
          <w:rFonts w:ascii="Times New Roman" w:eastAsia="Calibri" w:hAnsi="Times New Roman" w:cs="Times New Roman"/>
          <w:b w:val="0"/>
          <w:sz w:val="22"/>
          <w:szCs w:val="22"/>
          <w:lang w:eastAsia="en-US"/>
        </w:rPr>
        <w:t xml:space="preserve"> ordem cronológica</w:t>
      </w:r>
      <w:r>
        <w:rPr>
          <w:rFonts w:ascii="Times New Roman" w:eastAsia="Calibri" w:hAnsi="Times New Roman" w:cs="Times New Roman"/>
          <w:b w:val="0"/>
          <w:sz w:val="22"/>
          <w:szCs w:val="22"/>
          <w:lang w:eastAsia="en-US"/>
        </w:rPr>
        <w:t xml:space="preserve"> antes estabelecida</w:t>
      </w:r>
      <w:r w:rsidRPr="00321CB9">
        <w:rPr>
          <w:rFonts w:ascii="Times New Roman" w:eastAsia="Calibri" w:hAnsi="Times New Roman" w:cs="Times New Roman"/>
          <w:b w:val="0"/>
          <w:sz w:val="22"/>
          <w:szCs w:val="22"/>
          <w:lang w:eastAsia="en-US"/>
        </w:rPr>
        <w:t>.</w:t>
      </w:r>
    </w:p>
    <w:p w:rsidR="00E9008A" w:rsidRPr="00321CB9" w:rsidRDefault="00E9008A" w:rsidP="00E9008A">
      <w:pPr>
        <w:pStyle w:val="Corpodetexto"/>
        <w:spacing w:before="240" w:after="240"/>
        <w:rPr>
          <w:rFonts w:ascii="Times New Roman" w:eastAsia="Calibri" w:hAnsi="Times New Roman" w:cs="Times New Roman"/>
          <w:b w:val="0"/>
          <w:sz w:val="22"/>
          <w:szCs w:val="22"/>
          <w:lang w:eastAsia="en-US"/>
        </w:rPr>
      </w:pPr>
      <w:r>
        <w:rPr>
          <w:rFonts w:ascii="Times New Roman" w:eastAsia="Calibri" w:hAnsi="Times New Roman" w:cs="Times New Roman"/>
          <w:b w:val="0"/>
          <w:sz w:val="22"/>
          <w:szCs w:val="22"/>
          <w:lang w:eastAsia="en-US"/>
        </w:rPr>
        <w:t>Finalmente, c</w:t>
      </w:r>
      <w:r w:rsidRPr="00321CB9">
        <w:rPr>
          <w:rFonts w:ascii="Times New Roman" w:eastAsia="Calibri" w:hAnsi="Times New Roman" w:cs="Times New Roman"/>
          <w:b w:val="0"/>
          <w:sz w:val="22"/>
          <w:szCs w:val="22"/>
          <w:lang w:eastAsia="en-US"/>
        </w:rPr>
        <w:t xml:space="preserve">omo resultado do processo de retomada dos procedimentos de reconhecimento e pagamento das dívidas de exercícios anteriores relativas a obras </w:t>
      </w:r>
      <w:r>
        <w:rPr>
          <w:rFonts w:ascii="Times New Roman" w:eastAsia="Calibri" w:hAnsi="Times New Roman" w:cs="Times New Roman"/>
          <w:b w:val="0"/>
          <w:sz w:val="22"/>
          <w:szCs w:val="22"/>
          <w:lang w:eastAsia="en-US"/>
        </w:rPr>
        <w:t>de iluminação pública e consumo,</w:t>
      </w:r>
      <w:r w:rsidRPr="00321CB9">
        <w:rPr>
          <w:rFonts w:ascii="Times New Roman" w:eastAsia="Calibri" w:hAnsi="Times New Roman" w:cs="Times New Roman"/>
          <w:b w:val="0"/>
          <w:sz w:val="22"/>
          <w:szCs w:val="22"/>
          <w:lang w:eastAsia="en-US"/>
        </w:rPr>
        <w:t xml:space="preserve"> a CEB-D recebeu o pagamento de R$ </w:t>
      </w:r>
      <w:r>
        <w:rPr>
          <w:rFonts w:ascii="Times New Roman" w:eastAsia="Calibri" w:hAnsi="Times New Roman" w:cs="Times New Roman"/>
          <w:b w:val="0"/>
          <w:sz w:val="22"/>
          <w:szCs w:val="22"/>
          <w:lang w:eastAsia="en-US"/>
        </w:rPr>
        <w:t>49.149</w:t>
      </w:r>
      <w:r w:rsidRPr="00321CB9">
        <w:rPr>
          <w:rFonts w:ascii="Times New Roman" w:eastAsia="Calibri" w:hAnsi="Times New Roman" w:cs="Times New Roman"/>
          <w:b w:val="0"/>
          <w:sz w:val="22"/>
          <w:szCs w:val="22"/>
          <w:lang w:eastAsia="en-US"/>
        </w:rPr>
        <w:t xml:space="preserve"> de dívida de consumo de energia elétrica dos anos de 2013, 2014 e 2015, de diversos órgãos do Governo do Distrito Federal. Ainda em dezembro de 2016</w:t>
      </w:r>
      <w:r>
        <w:rPr>
          <w:rFonts w:ascii="Times New Roman" w:eastAsia="Calibri" w:hAnsi="Times New Roman" w:cs="Times New Roman"/>
          <w:b w:val="0"/>
          <w:sz w:val="22"/>
          <w:szCs w:val="22"/>
          <w:lang w:eastAsia="en-US"/>
        </w:rPr>
        <w:t>,</w:t>
      </w:r>
      <w:r w:rsidRPr="00321CB9">
        <w:rPr>
          <w:rFonts w:ascii="Times New Roman" w:eastAsia="Calibri" w:hAnsi="Times New Roman" w:cs="Times New Roman"/>
          <w:b w:val="0"/>
          <w:sz w:val="22"/>
          <w:szCs w:val="22"/>
          <w:lang w:eastAsia="en-US"/>
        </w:rPr>
        <w:t xml:space="preserve"> foi reconhecida a dívida de obras de iluminação pública</w:t>
      </w:r>
      <w:r>
        <w:rPr>
          <w:rFonts w:ascii="Times New Roman" w:eastAsia="Calibri" w:hAnsi="Times New Roman" w:cs="Times New Roman"/>
          <w:b w:val="0"/>
          <w:sz w:val="22"/>
          <w:szCs w:val="22"/>
          <w:lang w:eastAsia="en-US"/>
        </w:rPr>
        <w:t>,</w:t>
      </w:r>
      <w:r w:rsidRPr="00321CB9">
        <w:rPr>
          <w:rFonts w:ascii="Times New Roman" w:eastAsia="Calibri" w:hAnsi="Times New Roman" w:cs="Times New Roman"/>
          <w:b w:val="0"/>
          <w:sz w:val="22"/>
          <w:szCs w:val="22"/>
          <w:lang w:eastAsia="en-US"/>
        </w:rPr>
        <w:t xml:space="preserve"> no valor de R$ 15.635.</w:t>
      </w:r>
    </w:p>
    <w:p w:rsidR="00E9008A" w:rsidRPr="00316249" w:rsidRDefault="00E9008A" w:rsidP="00E9008A">
      <w:pPr>
        <w:widowControl w:val="0"/>
        <w:spacing w:before="240" w:after="240" w:line="247" w:lineRule="auto"/>
        <w:jc w:val="both"/>
        <w:rPr>
          <w:bCs/>
          <w:sz w:val="22"/>
          <w:szCs w:val="22"/>
        </w:rPr>
      </w:pPr>
      <w:r>
        <w:rPr>
          <w:bCs/>
          <w:sz w:val="22"/>
          <w:szCs w:val="22"/>
        </w:rPr>
        <w:t>O quadro seguinte mostra</w:t>
      </w:r>
      <w:r w:rsidRPr="00E46DAF">
        <w:rPr>
          <w:bCs/>
          <w:sz w:val="22"/>
          <w:szCs w:val="22"/>
        </w:rPr>
        <w:t xml:space="preserve"> a composição dos créditos com o acionista controlador por idade de </w:t>
      </w:r>
      <w:r w:rsidRPr="00E46DAF">
        <w:rPr>
          <w:bCs/>
          <w:sz w:val="22"/>
          <w:szCs w:val="22"/>
        </w:rPr>
        <w:lastRenderedPageBreak/>
        <w:t>vencimento: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4"/>
        <w:gridCol w:w="1175"/>
        <w:gridCol w:w="1092"/>
        <w:gridCol w:w="1076"/>
        <w:gridCol w:w="1074"/>
      </w:tblGrid>
      <w:tr w:rsidR="00E9008A" w:rsidRPr="00316249" w:rsidTr="005B7D01">
        <w:trPr>
          <w:trHeight w:val="238"/>
          <w:tblHeader/>
        </w:trPr>
        <w:tc>
          <w:tcPr>
            <w:tcW w:w="2602" w:type="pct"/>
            <w:vMerge w:val="restart"/>
            <w:shd w:val="clear" w:color="000000" w:fill="D9D9D9"/>
            <w:noWrap/>
            <w:vAlign w:val="center"/>
            <w:hideMark/>
          </w:tcPr>
          <w:p w:rsidR="00E9008A" w:rsidRPr="00316249" w:rsidRDefault="00E9008A" w:rsidP="005B7D01">
            <w:pPr>
              <w:spacing w:before="240" w:after="240"/>
              <w:jc w:val="center"/>
              <w:rPr>
                <w:color w:val="000000"/>
                <w:sz w:val="18"/>
                <w:szCs w:val="18"/>
              </w:rPr>
            </w:pPr>
            <w:r w:rsidRPr="00316249">
              <w:rPr>
                <w:color w:val="000000"/>
                <w:sz w:val="18"/>
                <w:szCs w:val="18"/>
              </w:rPr>
              <w:t> </w:t>
            </w:r>
          </w:p>
        </w:tc>
        <w:tc>
          <w:tcPr>
            <w:tcW w:w="1231"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Controladora </w:t>
            </w:r>
          </w:p>
        </w:tc>
        <w:tc>
          <w:tcPr>
            <w:tcW w:w="1168"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Consolidado </w:t>
            </w:r>
          </w:p>
        </w:tc>
      </w:tr>
      <w:tr w:rsidR="00E9008A" w:rsidRPr="00316249" w:rsidTr="005B7D01">
        <w:trPr>
          <w:trHeight w:val="238"/>
          <w:tblHeader/>
        </w:trPr>
        <w:tc>
          <w:tcPr>
            <w:tcW w:w="2602" w:type="pct"/>
            <w:vMerge/>
            <w:vAlign w:val="center"/>
            <w:hideMark/>
          </w:tcPr>
          <w:p w:rsidR="00E9008A" w:rsidRPr="00316249" w:rsidRDefault="00E9008A" w:rsidP="005B7D01">
            <w:pPr>
              <w:rPr>
                <w:color w:val="000000"/>
                <w:sz w:val="18"/>
                <w:szCs w:val="18"/>
              </w:rPr>
            </w:pPr>
          </w:p>
        </w:tc>
        <w:tc>
          <w:tcPr>
            <w:tcW w:w="638"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93"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84"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602" w:type="pct"/>
            <w:shd w:val="clear" w:color="auto" w:fill="auto"/>
            <w:vAlign w:val="center"/>
            <w:hideMark/>
          </w:tcPr>
          <w:p w:rsidR="00E9008A" w:rsidRPr="00316249" w:rsidRDefault="00E9008A" w:rsidP="005B7D01">
            <w:pPr>
              <w:rPr>
                <w:color w:val="000000"/>
                <w:sz w:val="18"/>
                <w:szCs w:val="18"/>
              </w:rPr>
            </w:pPr>
            <w:r w:rsidRPr="00316249">
              <w:rPr>
                <w:bCs/>
                <w:color w:val="000000"/>
                <w:sz w:val="18"/>
                <w:szCs w:val="18"/>
              </w:rPr>
              <w:t xml:space="preserve"> Saldos Vincendos </w:t>
            </w:r>
          </w:p>
        </w:tc>
        <w:tc>
          <w:tcPr>
            <w:tcW w:w="63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3.092 </w:t>
            </w:r>
          </w:p>
        </w:tc>
        <w:tc>
          <w:tcPr>
            <w:tcW w:w="59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215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38.128</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36.384 </w:t>
            </w:r>
          </w:p>
        </w:tc>
      </w:tr>
      <w:tr w:rsidR="00E9008A" w:rsidRPr="00316249" w:rsidTr="005B7D01">
        <w:trPr>
          <w:trHeight w:val="238"/>
        </w:trPr>
        <w:tc>
          <w:tcPr>
            <w:tcW w:w="2602" w:type="pct"/>
            <w:shd w:val="clear" w:color="auto" w:fill="auto"/>
            <w:vAlign w:val="center"/>
            <w:hideMark/>
          </w:tcPr>
          <w:p w:rsidR="00E9008A" w:rsidRPr="00316249" w:rsidRDefault="00E9008A" w:rsidP="005B7D01">
            <w:pPr>
              <w:rPr>
                <w:color w:val="000000"/>
                <w:sz w:val="18"/>
                <w:szCs w:val="18"/>
              </w:rPr>
            </w:pPr>
            <w:r w:rsidRPr="00316249">
              <w:rPr>
                <w:bCs/>
                <w:color w:val="000000"/>
                <w:sz w:val="18"/>
                <w:szCs w:val="18"/>
              </w:rPr>
              <w:t xml:space="preserve"> Vencidos até 90 dias  </w:t>
            </w:r>
          </w:p>
        </w:tc>
        <w:tc>
          <w:tcPr>
            <w:tcW w:w="63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2.047 </w:t>
            </w:r>
          </w:p>
        </w:tc>
        <w:tc>
          <w:tcPr>
            <w:tcW w:w="59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484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27.791</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25.189 </w:t>
            </w:r>
          </w:p>
        </w:tc>
      </w:tr>
      <w:tr w:rsidR="00E9008A" w:rsidRPr="00316249" w:rsidTr="005B7D01">
        <w:trPr>
          <w:trHeight w:val="238"/>
        </w:trPr>
        <w:tc>
          <w:tcPr>
            <w:tcW w:w="2602" w:type="pct"/>
            <w:shd w:val="clear" w:color="auto" w:fill="auto"/>
            <w:vAlign w:val="center"/>
            <w:hideMark/>
          </w:tcPr>
          <w:p w:rsidR="00E9008A" w:rsidRPr="00316249" w:rsidRDefault="00E9008A" w:rsidP="005B7D01">
            <w:pPr>
              <w:rPr>
                <w:color w:val="000000"/>
                <w:sz w:val="18"/>
                <w:szCs w:val="18"/>
              </w:rPr>
            </w:pPr>
            <w:r w:rsidRPr="00316249">
              <w:rPr>
                <w:bCs/>
                <w:color w:val="000000"/>
                <w:sz w:val="18"/>
                <w:szCs w:val="18"/>
              </w:rPr>
              <w:t xml:space="preserve"> Vencidos de 91 a 360 dias  </w:t>
            </w:r>
          </w:p>
        </w:tc>
        <w:tc>
          <w:tcPr>
            <w:tcW w:w="63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2.094</w:t>
            </w:r>
          </w:p>
        </w:tc>
        <w:tc>
          <w:tcPr>
            <w:tcW w:w="59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8.228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20.414</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21.627 </w:t>
            </w:r>
          </w:p>
        </w:tc>
      </w:tr>
      <w:tr w:rsidR="00E9008A" w:rsidRPr="00316249" w:rsidTr="005B7D01">
        <w:trPr>
          <w:trHeight w:val="238"/>
        </w:trPr>
        <w:tc>
          <w:tcPr>
            <w:tcW w:w="2602" w:type="pct"/>
            <w:shd w:val="clear" w:color="auto" w:fill="auto"/>
            <w:vAlign w:val="center"/>
            <w:hideMark/>
          </w:tcPr>
          <w:p w:rsidR="00E9008A" w:rsidRPr="00316249" w:rsidRDefault="00E9008A" w:rsidP="005B7D01">
            <w:pPr>
              <w:rPr>
                <w:color w:val="000000"/>
                <w:sz w:val="18"/>
                <w:szCs w:val="18"/>
              </w:rPr>
            </w:pPr>
            <w:r w:rsidRPr="00316249">
              <w:rPr>
                <w:bCs/>
                <w:color w:val="000000"/>
                <w:sz w:val="18"/>
                <w:szCs w:val="18"/>
              </w:rPr>
              <w:t xml:space="preserve"> Vencidos há mais de 360 dias  </w:t>
            </w:r>
          </w:p>
        </w:tc>
        <w:tc>
          <w:tcPr>
            <w:tcW w:w="63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49.743</w:t>
            </w:r>
          </w:p>
        </w:tc>
        <w:tc>
          <w:tcPr>
            <w:tcW w:w="59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43.542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101.085</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113.817 </w:t>
            </w:r>
          </w:p>
        </w:tc>
      </w:tr>
      <w:tr w:rsidR="00E9008A" w:rsidRPr="00316249" w:rsidTr="005B7D01">
        <w:trPr>
          <w:trHeight w:val="238"/>
        </w:trPr>
        <w:tc>
          <w:tcPr>
            <w:tcW w:w="2602"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Estimativa de Perdas com Créditos de Liquidação Duvidosa</w:t>
            </w:r>
          </w:p>
        </w:tc>
        <w:tc>
          <w:tcPr>
            <w:tcW w:w="63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(49.743)       </w:t>
            </w:r>
          </w:p>
        </w:tc>
        <w:tc>
          <w:tcPr>
            <w:tcW w:w="59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(42.461)</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(100.458)</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(112.736)</w:t>
            </w:r>
          </w:p>
        </w:tc>
      </w:tr>
      <w:tr w:rsidR="00E9008A" w:rsidRPr="00316249" w:rsidTr="005B7D01">
        <w:trPr>
          <w:trHeight w:val="238"/>
        </w:trPr>
        <w:tc>
          <w:tcPr>
            <w:tcW w:w="2602"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Total </w:t>
            </w:r>
          </w:p>
        </w:tc>
        <w:tc>
          <w:tcPr>
            <w:tcW w:w="638" w:type="pct"/>
            <w:shd w:val="clear" w:color="auto" w:fill="auto"/>
            <w:noWrap/>
            <w:vAlign w:val="center"/>
          </w:tcPr>
          <w:p w:rsidR="00E9008A" w:rsidRPr="00316249" w:rsidRDefault="00E9008A" w:rsidP="005B7D01">
            <w:pPr>
              <w:jc w:val="right"/>
              <w:rPr>
                <w:b/>
                <w:color w:val="000000"/>
                <w:sz w:val="18"/>
                <w:szCs w:val="18"/>
              </w:rPr>
            </w:pPr>
            <w:r w:rsidRPr="00316249">
              <w:rPr>
                <w:b/>
                <w:color w:val="000000"/>
                <w:sz w:val="18"/>
                <w:szCs w:val="18"/>
              </w:rPr>
              <w:t>7.232</w:t>
            </w:r>
          </w:p>
        </w:tc>
        <w:tc>
          <w:tcPr>
            <w:tcW w:w="593"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10.008 </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86.960</w:t>
            </w:r>
          </w:p>
        </w:tc>
        <w:tc>
          <w:tcPr>
            <w:tcW w:w="58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84.281 </w:t>
            </w:r>
          </w:p>
        </w:tc>
      </w:tr>
    </w:tbl>
    <w:p w:rsidR="007F7D85" w:rsidRDefault="007F7D85">
      <w:pPr>
        <w:rPr>
          <w:b/>
          <w:caps/>
          <w:sz w:val="22"/>
          <w:szCs w:val="22"/>
        </w:rPr>
      </w:pPr>
      <w:r>
        <w:rPr>
          <w:sz w:val="22"/>
          <w:szCs w:val="22"/>
        </w:rPr>
        <w:br w:type="page"/>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lastRenderedPageBreak/>
        <w:t>TRIBUTOS E CONTRIBUIÇÕES COMPENSÁVEIS</w:t>
      </w:r>
    </w:p>
    <w:tbl>
      <w:tblPr>
        <w:tblW w:w="5000" w:type="pct"/>
        <w:tblCellMar>
          <w:left w:w="70" w:type="dxa"/>
          <w:right w:w="70" w:type="dxa"/>
        </w:tblCellMar>
        <w:tblLook w:val="04A0" w:firstRow="1" w:lastRow="0" w:firstColumn="1" w:lastColumn="0" w:noHBand="0" w:noVBand="1"/>
      </w:tblPr>
      <w:tblGrid>
        <w:gridCol w:w="4909"/>
        <w:gridCol w:w="1076"/>
        <w:gridCol w:w="1076"/>
        <w:gridCol w:w="1076"/>
        <w:gridCol w:w="1074"/>
      </w:tblGrid>
      <w:tr w:rsidR="00E9008A" w:rsidRPr="001542B7" w:rsidTr="005B7D01">
        <w:trPr>
          <w:trHeight w:val="238"/>
          <w:tblHeader/>
        </w:trPr>
        <w:tc>
          <w:tcPr>
            <w:tcW w:w="26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1542B7" w:rsidRDefault="00E9008A" w:rsidP="005B7D01">
            <w:pPr>
              <w:spacing w:before="240" w:after="240"/>
              <w:rPr>
                <w:color w:val="000000"/>
                <w:sz w:val="18"/>
                <w:szCs w:val="18"/>
              </w:rPr>
            </w:pPr>
            <w:r w:rsidRPr="001542B7">
              <w:rPr>
                <w:color w:val="000000"/>
                <w:sz w:val="18"/>
                <w:szCs w:val="18"/>
              </w:rPr>
              <w:t>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1542B7" w:rsidRDefault="00E9008A" w:rsidP="005B7D01">
            <w:pPr>
              <w:jc w:val="center"/>
              <w:rPr>
                <w:b/>
                <w:bCs/>
                <w:color w:val="000000"/>
                <w:sz w:val="18"/>
                <w:szCs w:val="18"/>
              </w:rPr>
            </w:pPr>
            <w:r w:rsidRPr="001542B7">
              <w:rPr>
                <w:b/>
                <w:bCs/>
                <w:color w:val="000000"/>
                <w:sz w:val="18"/>
                <w:szCs w:val="18"/>
              </w:rPr>
              <w:t>Controladora</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1542B7" w:rsidRDefault="00E9008A" w:rsidP="005B7D01">
            <w:pPr>
              <w:jc w:val="center"/>
              <w:rPr>
                <w:b/>
                <w:bCs/>
                <w:color w:val="000000"/>
                <w:sz w:val="18"/>
                <w:szCs w:val="18"/>
              </w:rPr>
            </w:pPr>
            <w:r w:rsidRPr="001542B7">
              <w:rPr>
                <w:b/>
                <w:bCs/>
                <w:color w:val="000000"/>
                <w:sz w:val="18"/>
                <w:szCs w:val="18"/>
              </w:rPr>
              <w:t>Consolidado</w:t>
            </w:r>
          </w:p>
        </w:tc>
      </w:tr>
      <w:tr w:rsidR="00E9008A" w:rsidRPr="001542B7" w:rsidTr="005B7D01">
        <w:trPr>
          <w:trHeight w:val="238"/>
          <w:tblHeader/>
        </w:trPr>
        <w:tc>
          <w:tcPr>
            <w:tcW w:w="2665" w:type="pct"/>
            <w:vMerge/>
            <w:tcBorders>
              <w:top w:val="single" w:sz="4" w:space="0" w:color="auto"/>
              <w:left w:val="single" w:sz="4" w:space="0" w:color="auto"/>
              <w:bottom w:val="single" w:sz="4" w:space="0" w:color="auto"/>
              <w:right w:val="single" w:sz="4" w:space="0" w:color="auto"/>
            </w:tcBorders>
            <w:vAlign w:val="center"/>
            <w:hideMark/>
          </w:tcPr>
          <w:p w:rsidR="00E9008A" w:rsidRPr="001542B7" w:rsidRDefault="00E9008A" w:rsidP="005B7D01">
            <w:pPr>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tcPr>
          <w:p w:rsidR="00E9008A" w:rsidRPr="001542B7" w:rsidRDefault="00E9008A" w:rsidP="005B7D01">
            <w:pPr>
              <w:jc w:val="center"/>
              <w:rPr>
                <w:b/>
                <w:bCs/>
                <w:color w:val="000000"/>
                <w:sz w:val="18"/>
                <w:szCs w:val="18"/>
              </w:rPr>
            </w:pPr>
            <w:r w:rsidRPr="001542B7">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center"/>
              <w:rPr>
                <w:b/>
                <w:bCs/>
                <w:color w:val="000000"/>
                <w:sz w:val="18"/>
                <w:szCs w:val="18"/>
              </w:rPr>
            </w:pPr>
            <w:r w:rsidRPr="001542B7">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tcPr>
          <w:p w:rsidR="00E9008A" w:rsidRPr="001542B7" w:rsidRDefault="00E9008A" w:rsidP="005B7D01">
            <w:pPr>
              <w:jc w:val="center"/>
              <w:rPr>
                <w:b/>
                <w:bCs/>
                <w:color w:val="000000"/>
                <w:sz w:val="18"/>
                <w:szCs w:val="18"/>
              </w:rPr>
            </w:pPr>
            <w:r w:rsidRPr="001542B7">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center"/>
              <w:rPr>
                <w:b/>
                <w:bCs/>
                <w:color w:val="000000"/>
                <w:sz w:val="18"/>
                <w:szCs w:val="18"/>
              </w:rPr>
            </w:pPr>
            <w:r w:rsidRPr="001542B7">
              <w:rPr>
                <w:b/>
                <w:bCs/>
                <w:color w:val="000000"/>
                <w:sz w:val="18"/>
                <w:szCs w:val="18"/>
              </w:rPr>
              <w:t>31/12/2015</w:t>
            </w:r>
          </w:p>
        </w:tc>
      </w:tr>
      <w:tr w:rsidR="00E9008A" w:rsidRPr="001542B7"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542B7" w:rsidRDefault="00E9008A" w:rsidP="005B7D01">
            <w:pPr>
              <w:rPr>
                <w:color w:val="000000"/>
                <w:sz w:val="18"/>
                <w:szCs w:val="18"/>
              </w:rPr>
            </w:pPr>
            <w:r w:rsidRPr="001542B7">
              <w:rPr>
                <w:color w:val="000000"/>
                <w:sz w:val="18"/>
                <w:szCs w:val="18"/>
              </w:rPr>
              <w:t xml:space="preserve">Imposto de Renda Pessoa Jurídica </w:t>
            </w:r>
            <w:r w:rsidRPr="001542B7">
              <w:rPr>
                <w:sz w:val="18"/>
                <w:szCs w:val="18"/>
              </w:rPr>
              <w:t>–</w:t>
            </w:r>
            <w:r w:rsidRPr="001542B7">
              <w:rPr>
                <w:color w:val="000000"/>
                <w:sz w:val="18"/>
                <w:szCs w:val="18"/>
              </w:rPr>
              <w:t xml:space="preserve"> IRPJ </w:t>
            </w:r>
            <w:r w:rsidRPr="001542B7">
              <w:rPr>
                <w:b/>
                <w:color w:val="000000"/>
                <w:sz w:val="18"/>
                <w:szCs w:val="18"/>
              </w:rPr>
              <w:t>(a)</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29.017</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          7.113 </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29.081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14.066 </w:t>
            </w:r>
          </w:p>
        </w:tc>
      </w:tr>
      <w:tr w:rsidR="00E9008A" w:rsidRPr="001542B7"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542B7" w:rsidRDefault="00E9008A" w:rsidP="005B7D01">
            <w:pPr>
              <w:rPr>
                <w:color w:val="000000"/>
                <w:sz w:val="18"/>
                <w:szCs w:val="18"/>
              </w:rPr>
            </w:pPr>
            <w:r w:rsidRPr="001542B7">
              <w:rPr>
                <w:color w:val="000000"/>
                <w:sz w:val="18"/>
                <w:szCs w:val="18"/>
              </w:rPr>
              <w:t xml:space="preserve">Contribuição Social Sobre o Lucro Líquido </w:t>
            </w:r>
            <w:r w:rsidRPr="001542B7">
              <w:rPr>
                <w:sz w:val="18"/>
                <w:szCs w:val="18"/>
              </w:rPr>
              <w:t>–</w:t>
            </w:r>
            <w:r w:rsidRPr="001542B7">
              <w:rPr>
                <w:color w:val="000000"/>
                <w:sz w:val="18"/>
                <w:szCs w:val="18"/>
              </w:rPr>
              <w:t xml:space="preserve"> CSLL </w:t>
            </w:r>
            <w:r w:rsidRPr="001542B7">
              <w:rPr>
                <w:b/>
                <w:color w:val="000000"/>
                <w:sz w:val="18"/>
                <w:szCs w:val="18"/>
              </w:rPr>
              <w:t>(a)</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8.678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             934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9.421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5.863 </w:t>
            </w:r>
          </w:p>
        </w:tc>
      </w:tr>
      <w:tr w:rsidR="00E9008A" w:rsidRPr="001542B7"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542B7" w:rsidRDefault="00E9008A" w:rsidP="005B7D01">
            <w:pPr>
              <w:rPr>
                <w:color w:val="000000"/>
                <w:sz w:val="18"/>
                <w:szCs w:val="18"/>
              </w:rPr>
            </w:pPr>
            <w:r w:rsidRPr="001542B7">
              <w:rPr>
                <w:color w:val="000000"/>
                <w:sz w:val="18"/>
                <w:szCs w:val="18"/>
              </w:rPr>
              <w:t xml:space="preserve">Imposto de Renda Retido na Fonte </w:t>
            </w:r>
            <w:r w:rsidRPr="001542B7">
              <w:rPr>
                <w:sz w:val="18"/>
                <w:szCs w:val="18"/>
              </w:rPr>
              <w:t>–</w:t>
            </w:r>
            <w:r w:rsidRPr="001542B7">
              <w:rPr>
                <w:color w:val="000000"/>
                <w:sz w:val="18"/>
                <w:szCs w:val="18"/>
              </w:rPr>
              <w:t xml:space="preserve"> IRRF</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          1.063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13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1.329 </w:t>
            </w:r>
          </w:p>
        </w:tc>
      </w:tr>
      <w:tr w:rsidR="00E9008A" w:rsidRPr="001542B7"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542B7" w:rsidRDefault="00E9008A" w:rsidP="005B7D01">
            <w:pPr>
              <w:rPr>
                <w:color w:val="000000"/>
                <w:sz w:val="18"/>
                <w:szCs w:val="18"/>
              </w:rPr>
            </w:pPr>
            <w:r w:rsidRPr="001542B7">
              <w:rPr>
                <w:color w:val="000000"/>
                <w:sz w:val="18"/>
                <w:szCs w:val="18"/>
              </w:rPr>
              <w:t xml:space="preserve">Imposto sobre Circulação de Mercadorias e Prestações de Serviços de Transportes Estaduais, Intermunicipais e de Comunicações – ICMS </w:t>
            </w:r>
            <w:r w:rsidRPr="001542B7">
              <w:rPr>
                <w:b/>
                <w:color w:val="000000"/>
                <w:sz w:val="18"/>
                <w:szCs w:val="18"/>
              </w:rPr>
              <w:t>(b)</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12.008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13.422 </w:t>
            </w:r>
          </w:p>
        </w:tc>
      </w:tr>
      <w:tr w:rsidR="00E9008A" w:rsidRPr="001542B7"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542B7" w:rsidRDefault="00E9008A" w:rsidP="005B7D01">
            <w:pPr>
              <w:rPr>
                <w:color w:val="000000"/>
                <w:sz w:val="18"/>
                <w:szCs w:val="18"/>
              </w:rPr>
            </w:pPr>
            <w:r w:rsidRPr="001542B7">
              <w:rPr>
                <w:color w:val="000000"/>
                <w:sz w:val="18"/>
                <w:szCs w:val="18"/>
              </w:rPr>
              <w:t>Contribuição Social para Financiamento da Seguridade Social – COFINS</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278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5.162 </w:t>
            </w:r>
          </w:p>
        </w:tc>
      </w:tr>
      <w:tr w:rsidR="00E9008A" w:rsidRPr="001542B7"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542B7" w:rsidRDefault="00E9008A" w:rsidP="005B7D01">
            <w:pPr>
              <w:rPr>
                <w:color w:val="000000"/>
                <w:sz w:val="18"/>
                <w:szCs w:val="18"/>
              </w:rPr>
            </w:pPr>
            <w:r w:rsidRPr="001542B7">
              <w:rPr>
                <w:color w:val="000000"/>
                <w:sz w:val="18"/>
                <w:szCs w:val="18"/>
              </w:rPr>
              <w:t>Imposto Sobre Serviços de Qualquer Natureza – ISS</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417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             410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1.986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3.003 </w:t>
            </w:r>
          </w:p>
        </w:tc>
      </w:tr>
      <w:tr w:rsidR="00E9008A" w:rsidRPr="001542B7"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542B7" w:rsidRDefault="00E9008A" w:rsidP="005B7D01">
            <w:pPr>
              <w:rPr>
                <w:color w:val="000000"/>
                <w:sz w:val="18"/>
                <w:szCs w:val="18"/>
              </w:rPr>
            </w:pPr>
            <w:r w:rsidRPr="001542B7">
              <w:rPr>
                <w:color w:val="000000"/>
                <w:sz w:val="18"/>
                <w:szCs w:val="18"/>
              </w:rPr>
              <w:t xml:space="preserve">Programa de Integração Social </w:t>
            </w:r>
            <w:r w:rsidRPr="001542B7">
              <w:rPr>
                <w:sz w:val="18"/>
                <w:szCs w:val="18"/>
              </w:rPr>
              <w:t>–</w:t>
            </w:r>
            <w:r w:rsidRPr="001542B7">
              <w:rPr>
                <w:color w:val="000000"/>
                <w:sz w:val="18"/>
                <w:szCs w:val="18"/>
              </w:rPr>
              <w:t xml:space="preserve"> PIS</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387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             387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542B7" w:rsidRDefault="00E9008A" w:rsidP="005B7D01">
            <w:pPr>
              <w:jc w:val="right"/>
              <w:rPr>
                <w:color w:val="000000"/>
                <w:sz w:val="18"/>
                <w:szCs w:val="18"/>
              </w:rPr>
            </w:pPr>
            <w:r w:rsidRPr="001542B7">
              <w:rPr>
                <w:color w:val="000000"/>
                <w:sz w:val="18"/>
                <w:szCs w:val="18"/>
              </w:rPr>
              <w:t xml:space="preserve">450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542B7" w:rsidRDefault="00E9008A" w:rsidP="005B7D01">
            <w:pPr>
              <w:jc w:val="right"/>
              <w:rPr>
                <w:color w:val="000000"/>
                <w:sz w:val="18"/>
                <w:szCs w:val="18"/>
              </w:rPr>
            </w:pPr>
            <w:r w:rsidRPr="001542B7">
              <w:rPr>
                <w:color w:val="000000"/>
                <w:sz w:val="18"/>
                <w:szCs w:val="18"/>
              </w:rPr>
              <w:t xml:space="preserve">1.507 </w:t>
            </w:r>
          </w:p>
        </w:tc>
      </w:tr>
      <w:tr w:rsidR="00E9008A" w:rsidRPr="00143A8D"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tcPr>
          <w:p w:rsidR="00E9008A" w:rsidRPr="00747E73" w:rsidRDefault="00E9008A" w:rsidP="005B7D01">
            <w:pPr>
              <w:rPr>
                <w:color w:val="000000"/>
                <w:sz w:val="18"/>
                <w:szCs w:val="18"/>
              </w:rPr>
            </w:pPr>
            <w:r w:rsidRPr="00747E73">
              <w:rPr>
                <w:color w:val="000000"/>
                <w:sz w:val="18"/>
                <w:szCs w:val="18"/>
              </w:rPr>
              <w:t>Crédito de PIS/PASEP Sobre Decisão Judicial</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65.173</w:t>
            </w:r>
          </w:p>
        </w:tc>
        <w:tc>
          <w:tcPr>
            <w:tcW w:w="584" w:type="pct"/>
            <w:tcBorders>
              <w:top w:val="nil"/>
              <w:left w:val="nil"/>
              <w:bottom w:val="single" w:sz="4" w:space="0" w:color="auto"/>
              <w:right w:val="single" w:sz="4" w:space="0" w:color="auto"/>
            </w:tcBorders>
            <w:shd w:val="clear" w:color="auto" w:fill="auto"/>
            <w:noWrap/>
            <w:vAlign w:val="center"/>
          </w:tcPr>
          <w:p w:rsidR="00E9008A" w:rsidRPr="00143A8D" w:rsidRDefault="00E9008A" w:rsidP="005B7D01">
            <w:pPr>
              <w:jc w:val="right"/>
              <w:rPr>
                <w:color w:val="000000"/>
                <w:sz w:val="18"/>
                <w:szCs w:val="18"/>
              </w:rPr>
            </w:pPr>
          </w:p>
        </w:tc>
      </w:tr>
      <w:tr w:rsidR="00E9008A" w:rsidRPr="00143A8D"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747E73" w:rsidRDefault="00E9008A" w:rsidP="005B7D01">
            <w:pPr>
              <w:rPr>
                <w:color w:val="000000"/>
                <w:sz w:val="18"/>
                <w:szCs w:val="18"/>
              </w:rPr>
            </w:pPr>
            <w:r w:rsidRPr="00747E73">
              <w:rPr>
                <w:color w:val="000000"/>
                <w:sz w:val="18"/>
                <w:szCs w:val="18"/>
              </w:rPr>
              <w:t xml:space="preserve">Contribuição Provisória Sobre Movimentação Financeira </w:t>
            </w:r>
            <w:r w:rsidRPr="00747E73">
              <w:rPr>
                <w:sz w:val="18"/>
                <w:szCs w:val="18"/>
              </w:rPr>
              <w:t>–</w:t>
            </w:r>
            <w:r w:rsidRPr="00747E73">
              <w:rPr>
                <w:color w:val="000000"/>
                <w:sz w:val="18"/>
                <w:szCs w:val="18"/>
              </w:rPr>
              <w:t xml:space="preserve"> CPMF</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 xml:space="preserve">544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544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 xml:space="preserve">544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color w:val="000000"/>
                <w:sz w:val="18"/>
                <w:szCs w:val="18"/>
              </w:rPr>
            </w:pPr>
            <w:r w:rsidRPr="00143A8D">
              <w:rPr>
                <w:color w:val="000000"/>
                <w:sz w:val="18"/>
                <w:szCs w:val="18"/>
              </w:rPr>
              <w:t xml:space="preserve">544 </w:t>
            </w:r>
          </w:p>
        </w:tc>
      </w:tr>
      <w:tr w:rsidR="00E9008A" w:rsidRPr="00143A8D"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43A8D" w:rsidRDefault="00E9008A" w:rsidP="005B7D01">
            <w:pPr>
              <w:rPr>
                <w:color w:val="000000"/>
                <w:sz w:val="18"/>
                <w:szCs w:val="18"/>
              </w:rPr>
            </w:pPr>
            <w:r w:rsidRPr="00143A8D">
              <w:rPr>
                <w:color w:val="000000"/>
                <w:sz w:val="18"/>
                <w:szCs w:val="18"/>
              </w:rPr>
              <w:t>Outros</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color w:val="000000"/>
                <w:sz w:val="18"/>
                <w:szCs w:val="18"/>
              </w:rPr>
            </w:pPr>
            <w:r w:rsidRPr="00143A8D">
              <w:rPr>
                <w:color w:val="000000"/>
                <w:sz w:val="18"/>
                <w:szCs w:val="18"/>
              </w:rPr>
              <w:t xml:space="preserve">-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color w:val="000000"/>
                <w:sz w:val="18"/>
                <w:szCs w:val="18"/>
              </w:rPr>
            </w:pPr>
            <w:r w:rsidRPr="00143A8D">
              <w:rPr>
                <w:color w:val="000000"/>
                <w:sz w:val="18"/>
                <w:szCs w:val="18"/>
              </w:rPr>
              <w:t xml:space="preserve">                 5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color w:val="000000"/>
                <w:sz w:val="18"/>
                <w:szCs w:val="18"/>
              </w:rPr>
            </w:pPr>
            <w:r w:rsidRPr="00143A8D">
              <w:rPr>
                <w:color w:val="000000"/>
                <w:sz w:val="18"/>
                <w:szCs w:val="18"/>
              </w:rPr>
              <w:t xml:space="preserve">-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color w:val="000000"/>
                <w:sz w:val="18"/>
                <w:szCs w:val="18"/>
              </w:rPr>
            </w:pPr>
            <w:r w:rsidRPr="00143A8D">
              <w:rPr>
                <w:color w:val="000000"/>
                <w:sz w:val="18"/>
                <w:szCs w:val="18"/>
              </w:rPr>
              <w:t xml:space="preserve">130 </w:t>
            </w:r>
          </w:p>
        </w:tc>
      </w:tr>
      <w:tr w:rsidR="00E9008A" w:rsidRPr="00143A8D"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43A8D" w:rsidRDefault="00E9008A" w:rsidP="005B7D01">
            <w:pPr>
              <w:rPr>
                <w:b/>
                <w:bCs/>
                <w:color w:val="000000"/>
                <w:sz w:val="18"/>
                <w:szCs w:val="18"/>
              </w:rPr>
            </w:pPr>
            <w:r w:rsidRPr="00143A8D">
              <w:rPr>
                <w:b/>
                <w:bCs/>
                <w:color w:val="000000"/>
                <w:sz w:val="18"/>
                <w:szCs w:val="18"/>
              </w:rPr>
              <w:t>Total</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b/>
                <w:bCs/>
                <w:color w:val="000000"/>
                <w:sz w:val="18"/>
                <w:szCs w:val="18"/>
              </w:rPr>
            </w:pPr>
            <w:r w:rsidRPr="00143A8D">
              <w:rPr>
                <w:b/>
                <w:bCs/>
                <w:color w:val="000000"/>
                <w:sz w:val="18"/>
                <w:szCs w:val="18"/>
              </w:rPr>
              <w:t xml:space="preserve">39.043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b/>
                <w:bCs/>
                <w:color w:val="000000"/>
                <w:sz w:val="18"/>
                <w:szCs w:val="18"/>
              </w:rPr>
            </w:pPr>
            <w:r w:rsidRPr="00143A8D">
              <w:rPr>
                <w:b/>
                <w:bCs/>
                <w:color w:val="000000"/>
                <w:sz w:val="18"/>
                <w:szCs w:val="18"/>
              </w:rPr>
              <w:t xml:space="preserve">        10.456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b/>
                <w:bCs/>
                <w:color w:val="000000"/>
                <w:sz w:val="18"/>
                <w:szCs w:val="18"/>
              </w:rPr>
            </w:pPr>
            <w:r w:rsidRPr="00143A8D">
              <w:rPr>
                <w:b/>
                <w:bCs/>
                <w:color w:val="000000"/>
                <w:sz w:val="18"/>
                <w:szCs w:val="18"/>
              </w:rPr>
              <w:t xml:space="preserve">118.954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b/>
                <w:bCs/>
                <w:color w:val="000000"/>
                <w:sz w:val="18"/>
                <w:szCs w:val="18"/>
              </w:rPr>
            </w:pPr>
            <w:r w:rsidRPr="00143A8D">
              <w:rPr>
                <w:b/>
                <w:bCs/>
                <w:color w:val="000000"/>
                <w:sz w:val="18"/>
                <w:szCs w:val="18"/>
              </w:rPr>
              <w:t xml:space="preserve">45.026 </w:t>
            </w:r>
          </w:p>
        </w:tc>
      </w:tr>
      <w:tr w:rsidR="00E9008A" w:rsidRPr="00143A8D"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43A8D" w:rsidRDefault="00E9008A" w:rsidP="005B7D01">
            <w:pPr>
              <w:rPr>
                <w:b/>
                <w:bCs/>
                <w:color w:val="000000"/>
                <w:sz w:val="18"/>
                <w:szCs w:val="18"/>
              </w:rPr>
            </w:pPr>
            <w:r w:rsidRPr="00143A8D">
              <w:rPr>
                <w:b/>
                <w:bCs/>
                <w:color w:val="000000"/>
                <w:sz w:val="18"/>
                <w:szCs w:val="18"/>
              </w:rPr>
              <w:t>Circulante</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b/>
                <w:bCs/>
                <w:color w:val="000000"/>
                <w:sz w:val="18"/>
                <w:szCs w:val="18"/>
              </w:rPr>
            </w:pPr>
            <w:r w:rsidRPr="00143A8D">
              <w:rPr>
                <w:b/>
                <w:bCs/>
                <w:color w:val="000000"/>
                <w:sz w:val="18"/>
                <w:szCs w:val="18"/>
              </w:rPr>
              <w:t xml:space="preserve">1.366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b/>
                <w:bCs/>
                <w:color w:val="000000"/>
                <w:sz w:val="18"/>
                <w:szCs w:val="18"/>
              </w:rPr>
            </w:pPr>
            <w:r w:rsidRPr="00143A8D">
              <w:rPr>
                <w:b/>
                <w:bCs/>
                <w:color w:val="000000"/>
                <w:sz w:val="18"/>
                <w:szCs w:val="18"/>
              </w:rPr>
              <w:t xml:space="preserve">          2.428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b/>
                <w:bCs/>
                <w:color w:val="000000"/>
                <w:sz w:val="18"/>
                <w:szCs w:val="18"/>
              </w:rPr>
            </w:pPr>
            <w:r w:rsidRPr="00143A8D">
              <w:rPr>
                <w:b/>
                <w:bCs/>
                <w:color w:val="000000"/>
                <w:sz w:val="18"/>
                <w:szCs w:val="18"/>
              </w:rPr>
              <w:t xml:space="preserve">72.720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b/>
                <w:bCs/>
                <w:color w:val="000000"/>
                <w:sz w:val="18"/>
                <w:szCs w:val="18"/>
              </w:rPr>
            </w:pPr>
            <w:r w:rsidRPr="00143A8D">
              <w:rPr>
                <w:b/>
                <w:bCs/>
                <w:color w:val="000000"/>
                <w:sz w:val="18"/>
                <w:szCs w:val="18"/>
              </w:rPr>
              <w:t xml:space="preserve">23.015 </w:t>
            </w:r>
          </w:p>
        </w:tc>
      </w:tr>
      <w:tr w:rsidR="00E9008A" w:rsidRPr="00143A8D"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143A8D" w:rsidRDefault="00E9008A" w:rsidP="005B7D01">
            <w:pPr>
              <w:rPr>
                <w:b/>
                <w:bCs/>
                <w:color w:val="000000"/>
                <w:sz w:val="18"/>
                <w:szCs w:val="18"/>
              </w:rPr>
            </w:pPr>
            <w:r w:rsidRPr="00143A8D">
              <w:rPr>
                <w:b/>
                <w:bCs/>
                <w:color w:val="000000"/>
                <w:sz w:val="18"/>
                <w:szCs w:val="18"/>
              </w:rPr>
              <w:t>Não Circulante</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b/>
                <w:bCs/>
                <w:color w:val="000000"/>
                <w:sz w:val="18"/>
                <w:szCs w:val="18"/>
              </w:rPr>
            </w:pPr>
            <w:r w:rsidRPr="00143A8D">
              <w:rPr>
                <w:b/>
                <w:bCs/>
                <w:color w:val="000000"/>
                <w:sz w:val="18"/>
                <w:szCs w:val="18"/>
              </w:rPr>
              <w:t xml:space="preserve">37.677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b/>
                <w:bCs/>
                <w:color w:val="000000"/>
                <w:sz w:val="18"/>
                <w:szCs w:val="18"/>
              </w:rPr>
            </w:pPr>
            <w:r w:rsidRPr="00143A8D">
              <w:rPr>
                <w:b/>
                <w:bCs/>
                <w:color w:val="000000"/>
                <w:sz w:val="18"/>
                <w:szCs w:val="18"/>
              </w:rPr>
              <w:t xml:space="preserve">          8.028 </w:t>
            </w:r>
          </w:p>
        </w:tc>
        <w:tc>
          <w:tcPr>
            <w:tcW w:w="584" w:type="pct"/>
            <w:tcBorders>
              <w:top w:val="nil"/>
              <w:left w:val="single" w:sz="4" w:space="0" w:color="auto"/>
              <w:bottom w:val="single" w:sz="4" w:space="0" w:color="auto"/>
              <w:right w:val="single" w:sz="4" w:space="0" w:color="auto"/>
            </w:tcBorders>
            <w:shd w:val="clear" w:color="auto" w:fill="auto"/>
            <w:noWrap/>
            <w:vAlign w:val="center"/>
          </w:tcPr>
          <w:p w:rsidR="00E9008A" w:rsidRPr="00143A8D" w:rsidRDefault="00E9008A" w:rsidP="005B7D01">
            <w:pPr>
              <w:jc w:val="right"/>
              <w:rPr>
                <w:b/>
                <w:bCs/>
                <w:color w:val="000000"/>
                <w:sz w:val="18"/>
                <w:szCs w:val="18"/>
              </w:rPr>
            </w:pPr>
            <w:r w:rsidRPr="00143A8D">
              <w:rPr>
                <w:b/>
                <w:bCs/>
                <w:color w:val="000000"/>
                <w:sz w:val="18"/>
                <w:szCs w:val="18"/>
              </w:rPr>
              <w:t xml:space="preserve">46.234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143A8D" w:rsidRDefault="00E9008A" w:rsidP="005B7D01">
            <w:pPr>
              <w:jc w:val="right"/>
              <w:rPr>
                <w:b/>
                <w:bCs/>
                <w:color w:val="000000"/>
                <w:sz w:val="18"/>
                <w:szCs w:val="18"/>
              </w:rPr>
            </w:pPr>
            <w:r w:rsidRPr="00143A8D">
              <w:rPr>
                <w:b/>
                <w:bCs/>
                <w:color w:val="000000"/>
                <w:sz w:val="18"/>
                <w:szCs w:val="18"/>
              </w:rPr>
              <w:t xml:space="preserve">22.011 </w:t>
            </w:r>
          </w:p>
        </w:tc>
      </w:tr>
    </w:tbl>
    <w:p w:rsidR="00E9008A" w:rsidRPr="00143A8D" w:rsidRDefault="00E9008A" w:rsidP="00E9008A">
      <w:pPr>
        <w:spacing w:before="120"/>
        <w:jc w:val="both"/>
        <w:rPr>
          <w:rFonts w:eastAsia="Arial Unicode MS"/>
          <w:bCs/>
          <w:iCs/>
          <w:sz w:val="22"/>
          <w:szCs w:val="22"/>
        </w:rPr>
      </w:pPr>
      <w:r w:rsidRPr="00143A8D">
        <w:rPr>
          <w:rFonts w:eastAsia="Arial Unicode MS"/>
          <w:bCs/>
          <w:iCs/>
          <w:sz w:val="22"/>
          <w:szCs w:val="22"/>
        </w:rPr>
        <w:t>(a) Os valores relativos ao Imposto de Renda e Contribuição Social referem-se às antecipações feitas no período, aos saldos negativos de exercícios anteriores, e às retenções fonte por órgãos públicos, em razão de a opção de apuração ser pelo Lucro Real Anual, bem como dos créditos provenientes de tributos diferidos e de ações judiciais.</w:t>
      </w:r>
    </w:p>
    <w:p w:rsidR="00E9008A" w:rsidRPr="00316249" w:rsidRDefault="00E9008A" w:rsidP="00E9008A">
      <w:pPr>
        <w:spacing w:before="120"/>
        <w:jc w:val="both"/>
        <w:rPr>
          <w:rFonts w:eastAsia="Arial Unicode MS"/>
          <w:bCs/>
          <w:iCs/>
          <w:sz w:val="22"/>
          <w:szCs w:val="22"/>
        </w:rPr>
      </w:pPr>
      <w:r w:rsidRPr="00143A8D">
        <w:rPr>
          <w:rFonts w:eastAsia="Arial Unicode MS"/>
          <w:bCs/>
          <w:iCs/>
          <w:sz w:val="22"/>
          <w:szCs w:val="22"/>
        </w:rPr>
        <w:t>(b) Os montantes de ICMS pagos na aquisição de bens utilizados na atividade de distribuição</w:t>
      </w:r>
      <w:r w:rsidRPr="00316249">
        <w:rPr>
          <w:rFonts w:eastAsia="Arial Unicode MS"/>
          <w:bCs/>
          <w:iCs/>
          <w:sz w:val="22"/>
          <w:szCs w:val="22"/>
        </w:rPr>
        <w:t xml:space="preserve"> de energia da controlada CEB D são passíveis de ser compensados com os débitos do ICMS sobre faturamento, nos termos e critérios estabelecidos pela legislação fiscal vigente. A utilização dos créditos do ICMS é diferida em 48 parcelas mensais, de acordo com a Lei Complementar n° 102/2000.</w:t>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Ativos Fiscais Diferidos Reconhecidos e Não Reconhecidos</w:t>
      </w:r>
    </w:p>
    <w:p w:rsidR="00E9008A" w:rsidRPr="007527F1" w:rsidRDefault="007527F1" w:rsidP="007527F1">
      <w:pPr>
        <w:pStyle w:val="PargrafodaLista"/>
        <w:numPr>
          <w:ilvl w:val="2"/>
          <w:numId w:val="23"/>
        </w:numPr>
        <w:spacing w:before="240" w:after="240"/>
        <w:ind w:left="851" w:hanging="851"/>
        <w:jc w:val="both"/>
        <w:rPr>
          <w:rFonts w:ascii="Times New Roman" w:hAnsi="Times New Roman" w:cs="Times New Roman"/>
          <w:b/>
          <w:lang w:val="pt-BR"/>
        </w:rPr>
      </w:pPr>
      <w:r>
        <w:rPr>
          <w:rFonts w:ascii="Times New Roman" w:hAnsi="Times New Roman" w:cs="Times New Roman"/>
          <w:b/>
          <w:lang w:val="pt-BR"/>
        </w:rPr>
        <w:t>A</w:t>
      </w:r>
      <w:r w:rsidR="00E9008A" w:rsidRPr="007527F1">
        <w:rPr>
          <w:rFonts w:ascii="Times New Roman" w:hAnsi="Times New Roman" w:cs="Times New Roman"/>
          <w:b/>
          <w:lang w:val="pt-BR"/>
        </w:rPr>
        <w:t>tivos fiscais diferidos reconhecidos</w:t>
      </w:r>
    </w:p>
    <w:p w:rsidR="00E9008A" w:rsidRPr="00316249" w:rsidRDefault="00E9008A" w:rsidP="00E9008A">
      <w:pPr>
        <w:spacing w:before="120"/>
        <w:jc w:val="both"/>
        <w:rPr>
          <w:rFonts w:eastAsia="Arial Unicode MS"/>
          <w:bCs/>
          <w:iCs/>
          <w:sz w:val="22"/>
          <w:szCs w:val="22"/>
        </w:rPr>
      </w:pPr>
      <w:r w:rsidRPr="00316249">
        <w:rPr>
          <w:rFonts w:eastAsia="Arial Unicode MS"/>
          <w:bCs/>
          <w:iCs/>
          <w:sz w:val="22"/>
          <w:szCs w:val="22"/>
        </w:rPr>
        <w:t>Em conformidade com a Instrução CVM nº 371</w:t>
      </w:r>
      <w:r>
        <w:rPr>
          <w:rFonts w:eastAsia="Arial Unicode MS"/>
          <w:bCs/>
          <w:iCs/>
          <w:sz w:val="22"/>
          <w:szCs w:val="22"/>
        </w:rPr>
        <w:t>,</w:t>
      </w:r>
      <w:r w:rsidRPr="00316249">
        <w:rPr>
          <w:rFonts w:eastAsia="Arial Unicode MS"/>
          <w:bCs/>
          <w:iCs/>
          <w:sz w:val="22"/>
          <w:szCs w:val="22"/>
        </w:rPr>
        <w:t xml:space="preserve"> de 27 de junho de 2002, a Administração, fundamentada em estudo técnico de viabilidade, estima a realização do ativo fiscal diferido no valor de R$ 30.106, conforme demonstrado abaixo:</w:t>
      </w:r>
    </w:p>
    <w:p w:rsidR="00E9008A" w:rsidRPr="00316249" w:rsidRDefault="00E9008A" w:rsidP="00E9008A">
      <w:pPr>
        <w:spacing w:before="120"/>
        <w:jc w:val="both"/>
        <w:rPr>
          <w:rFonts w:eastAsia="Arial Unicode MS"/>
          <w:bCs/>
          <w:iCs/>
          <w:sz w:val="22"/>
          <w:szCs w:val="22"/>
        </w:rPr>
      </w:pPr>
    </w:p>
    <w:tbl>
      <w:tblPr>
        <w:tblW w:w="486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5"/>
        <w:gridCol w:w="1268"/>
        <w:gridCol w:w="1268"/>
        <w:gridCol w:w="1364"/>
        <w:gridCol w:w="453"/>
        <w:gridCol w:w="2315"/>
      </w:tblGrid>
      <w:tr w:rsidR="00E9008A" w:rsidRPr="00316249" w:rsidTr="005B7D01">
        <w:trPr>
          <w:trHeight w:val="20"/>
        </w:trPr>
        <w:tc>
          <w:tcPr>
            <w:tcW w:w="5000" w:type="pct"/>
            <w:gridSpan w:val="6"/>
            <w:shd w:val="clear" w:color="auto" w:fill="D9D9D9"/>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CONTROLE DE PREJUÍZO FISCAL ACUMULADO A COMPENSAR</w:t>
            </w:r>
          </w:p>
        </w:tc>
      </w:tr>
      <w:tr w:rsidR="00E9008A" w:rsidRPr="00316249" w:rsidTr="005B7D01">
        <w:trPr>
          <w:trHeight w:val="20"/>
        </w:trPr>
        <w:tc>
          <w:tcPr>
            <w:tcW w:w="1276" w:type="pct"/>
            <w:vMerge w:val="restart"/>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p>
        </w:tc>
        <w:tc>
          <w:tcPr>
            <w:tcW w:w="2178" w:type="pct"/>
            <w:gridSpan w:val="3"/>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Controle de Valores</w:t>
            </w:r>
          </w:p>
        </w:tc>
        <w:tc>
          <w:tcPr>
            <w:tcW w:w="252" w:type="pct"/>
            <w:vMerge w:val="restart"/>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D/C</w:t>
            </w:r>
          </w:p>
        </w:tc>
        <w:tc>
          <w:tcPr>
            <w:tcW w:w="1293" w:type="pct"/>
            <w:vMerge w:val="restart"/>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 xml:space="preserve">ATIVO FISCAL DIFERIDO </w:t>
            </w:r>
          </w:p>
          <w:p w:rsidR="00E9008A" w:rsidRPr="00316249" w:rsidRDefault="00E9008A" w:rsidP="005B7D01">
            <w:pPr>
              <w:jc w:val="center"/>
              <w:rPr>
                <w:bCs/>
                <w:color w:val="000000"/>
                <w:sz w:val="18"/>
                <w:szCs w:val="18"/>
              </w:rPr>
            </w:pPr>
            <w:r w:rsidRPr="00316249">
              <w:rPr>
                <w:bCs/>
                <w:color w:val="000000"/>
                <w:sz w:val="18"/>
                <w:szCs w:val="18"/>
              </w:rPr>
              <w:t>= Saldo x (+/-)34%</w:t>
            </w:r>
          </w:p>
        </w:tc>
      </w:tr>
      <w:tr w:rsidR="00E9008A" w:rsidRPr="00316249" w:rsidTr="005B7D01">
        <w:trPr>
          <w:trHeight w:val="20"/>
        </w:trPr>
        <w:tc>
          <w:tcPr>
            <w:tcW w:w="2497" w:type="dxa"/>
            <w:vMerge/>
            <w:vAlign w:val="center"/>
            <w:hideMark/>
          </w:tcPr>
          <w:p w:rsidR="00E9008A" w:rsidRPr="00316249" w:rsidRDefault="00E9008A" w:rsidP="005B7D01">
            <w:pPr>
              <w:jc w:val="center"/>
              <w:rPr>
                <w:b/>
                <w:bCs/>
                <w:color w:val="000000"/>
                <w:sz w:val="18"/>
                <w:szCs w:val="18"/>
              </w:rPr>
            </w:pPr>
          </w:p>
        </w:tc>
        <w:tc>
          <w:tcPr>
            <w:tcW w:w="708"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Débito</w:t>
            </w:r>
          </w:p>
        </w:tc>
        <w:tc>
          <w:tcPr>
            <w:tcW w:w="708"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Crédito</w:t>
            </w:r>
          </w:p>
        </w:tc>
        <w:tc>
          <w:tcPr>
            <w:tcW w:w="762"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 xml:space="preserve">Saldo </w:t>
            </w:r>
          </w:p>
        </w:tc>
        <w:tc>
          <w:tcPr>
            <w:tcW w:w="493" w:type="dxa"/>
            <w:vMerge/>
            <w:vAlign w:val="center"/>
            <w:hideMark/>
          </w:tcPr>
          <w:p w:rsidR="00E9008A" w:rsidRPr="00316249" w:rsidRDefault="00E9008A" w:rsidP="005B7D01">
            <w:pPr>
              <w:jc w:val="center"/>
              <w:rPr>
                <w:bCs/>
                <w:color w:val="000000"/>
                <w:sz w:val="18"/>
                <w:szCs w:val="18"/>
              </w:rPr>
            </w:pPr>
          </w:p>
        </w:tc>
        <w:tc>
          <w:tcPr>
            <w:tcW w:w="1293" w:type="pct"/>
            <w:vMerge/>
            <w:vAlign w:val="center"/>
            <w:hideMark/>
          </w:tcPr>
          <w:p w:rsidR="00E9008A" w:rsidRPr="00316249" w:rsidRDefault="00E9008A" w:rsidP="005B7D01">
            <w:pPr>
              <w:jc w:val="center"/>
              <w:rPr>
                <w:bCs/>
                <w:color w:val="000000"/>
                <w:sz w:val="18"/>
                <w:szCs w:val="18"/>
              </w:rPr>
            </w:pPr>
          </w:p>
        </w:tc>
      </w:tr>
      <w:tr w:rsidR="00E9008A" w:rsidRPr="00316249" w:rsidTr="005B7D01">
        <w:trPr>
          <w:trHeight w:val="20"/>
        </w:trPr>
        <w:tc>
          <w:tcPr>
            <w:tcW w:w="1276" w:type="pct"/>
            <w:shd w:val="clear" w:color="auto" w:fill="FFFFFF"/>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Baixa </w:t>
            </w:r>
            <w:r>
              <w:rPr>
                <w:b/>
                <w:bCs/>
                <w:color w:val="000000"/>
                <w:sz w:val="18"/>
                <w:szCs w:val="18"/>
              </w:rPr>
              <w:t>Por A</w:t>
            </w:r>
            <w:r w:rsidRPr="00316249">
              <w:rPr>
                <w:b/>
                <w:bCs/>
                <w:color w:val="000000"/>
                <w:sz w:val="18"/>
                <w:szCs w:val="18"/>
              </w:rPr>
              <w:t>proveitamento</w:t>
            </w:r>
          </w:p>
        </w:tc>
        <w:tc>
          <w:tcPr>
            <w:tcW w:w="708"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2.390 </w:t>
            </w:r>
          </w:p>
        </w:tc>
        <w:tc>
          <w:tcPr>
            <w:tcW w:w="708"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p>
        </w:tc>
        <w:tc>
          <w:tcPr>
            <w:tcW w:w="762"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87.919 </w:t>
            </w:r>
          </w:p>
        </w:tc>
        <w:tc>
          <w:tcPr>
            <w:tcW w:w="252" w:type="pct"/>
            <w:shd w:val="clear" w:color="auto" w:fill="FFFFFF"/>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C</w:t>
            </w:r>
          </w:p>
        </w:tc>
        <w:tc>
          <w:tcPr>
            <w:tcW w:w="1293" w:type="pct"/>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29.892 </w:t>
            </w:r>
          </w:p>
        </w:tc>
      </w:tr>
      <w:tr w:rsidR="00E9008A" w:rsidRPr="00316249" w:rsidTr="005B7D01">
        <w:trPr>
          <w:trHeight w:val="20"/>
        </w:trPr>
        <w:tc>
          <w:tcPr>
            <w:tcW w:w="5000" w:type="pct"/>
            <w:gridSpan w:val="6"/>
            <w:shd w:val="clear" w:color="auto" w:fill="D9D9D9"/>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CONTROLE DOS CUSTOS A FATURAR</w:t>
            </w:r>
          </w:p>
        </w:tc>
      </w:tr>
      <w:tr w:rsidR="00E9008A" w:rsidRPr="00316249" w:rsidTr="005B7D01">
        <w:trPr>
          <w:trHeight w:val="20"/>
        </w:trPr>
        <w:tc>
          <w:tcPr>
            <w:tcW w:w="1276" w:type="pct"/>
            <w:vMerge w:val="restart"/>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p>
        </w:tc>
        <w:tc>
          <w:tcPr>
            <w:tcW w:w="2178" w:type="pct"/>
            <w:gridSpan w:val="3"/>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Controle de Valores</w:t>
            </w:r>
          </w:p>
        </w:tc>
        <w:tc>
          <w:tcPr>
            <w:tcW w:w="252" w:type="pct"/>
            <w:vMerge w:val="restart"/>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D/C</w:t>
            </w:r>
          </w:p>
        </w:tc>
        <w:tc>
          <w:tcPr>
            <w:tcW w:w="1293" w:type="pct"/>
            <w:vMerge w:val="restart"/>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 xml:space="preserve">ATIVO FISCAL DIFERIDO </w:t>
            </w:r>
          </w:p>
          <w:p w:rsidR="00E9008A" w:rsidRPr="00316249" w:rsidRDefault="00E9008A" w:rsidP="005B7D01">
            <w:pPr>
              <w:jc w:val="center"/>
              <w:rPr>
                <w:bCs/>
                <w:color w:val="000000"/>
                <w:sz w:val="18"/>
                <w:szCs w:val="18"/>
              </w:rPr>
            </w:pPr>
            <w:r w:rsidRPr="00316249">
              <w:rPr>
                <w:bCs/>
                <w:color w:val="000000"/>
                <w:sz w:val="18"/>
                <w:szCs w:val="18"/>
              </w:rPr>
              <w:t>= Saldo x (+/-)34%</w:t>
            </w:r>
          </w:p>
        </w:tc>
      </w:tr>
      <w:tr w:rsidR="00E9008A" w:rsidRPr="00316249" w:rsidTr="005B7D01">
        <w:trPr>
          <w:trHeight w:val="20"/>
        </w:trPr>
        <w:tc>
          <w:tcPr>
            <w:tcW w:w="2497" w:type="dxa"/>
            <w:vMerge/>
            <w:vAlign w:val="center"/>
            <w:hideMark/>
          </w:tcPr>
          <w:p w:rsidR="00E9008A" w:rsidRPr="00316249" w:rsidRDefault="00E9008A" w:rsidP="005B7D01">
            <w:pPr>
              <w:jc w:val="center"/>
              <w:rPr>
                <w:b/>
                <w:bCs/>
                <w:color w:val="000000"/>
                <w:sz w:val="18"/>
                <w:szCs w:val="18"/>
              </w:rPr>
            </w:pPr>
          </w:p>
        </w:tc>
        <w:tc>
          <w:tcPr>
            <w:tcW w:w="708"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Débito</w:t>
            </w:r>
          </w:p>
        </w:tc>
        <w:tc>
          <w:tcPr>
            <w:tcW w:w="708"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Crédito</w:t>
            </w:r>
          </w:p>
        </w:tc>
        <w:tc>
          <w:tcPr>
            <w:tcW w:w="762"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 xml:space="preserve">Saldo </w:t>
            </w:r>
          </w:p>
        </w:tc>
        <w:tc>
          <w:tcPr>
            <w:tcW w:w="493" w:type="dxa"/>
            <w:vMerge/>
            <w:vAlign w:val="center"/>
            <w:hideMark/>
          </w:tcPr>
          <w:p w:rsidR="00E9008A" w:rsidRPr="00316249" w:rsidRDefault="00E9008A" w:rsidP="005B7D01">
            <w:pPr>
              <w:jc w:val="center"/>
              <w:rPr>
                <w:bCs/>
                <w:color w:val="000000"/>
                <w:sz w:val="18"/>
                <w:szCs w:val="18"/>
              </w:rPr>
            </w:pPr>
          </w:p>
        </w:tc>
        <w:tc>
          <w:tcPr>
            <w:tcW w:w="1293" w:type="pct"/>
            <w:vMerge/>
            <w:vAlign w:val="center"/>
            <w:hideMark/>
          </w:tcPr>
          <w:p w:rsidR="00E9008A" w:rsidRPr="00316249" w:rsidRDefault="00E9008A" w:rsidP="005B7D01">
            <w:pPr>
              <w:jc w:val="center"/>
              <w:rPr>
                <w:bCs/>
                <w:color w:val="000000"/>
                <w:sz w:val="18"/>
                <w:szCs w:val="18"/>
              </w:rPr>
            </w:pPr>
          </w:p>
        </w:tc>
      </w:tr>
      <w:tr w:rsidR="00E9008A" w:rsidRPr="00316249" w:rsidTr="005B7D01">
        <w:trPr>
          <w:trHeight w:val="20"/>
        </w:trPr>
        <w:tc>
          <w:tcPr>
            <w:tcW w:w="1276" w:type="pct"/>
            <w:shd w:val="clear" w:color="auto" w:fill="FFFFFF"/>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Pr>
                <w:b/>
                <w:bCs/>
                <w:color w:val="000000"/>
                <w:sz w:val="18"/>
                <w:szCs w:val="18"/>
              </w:rPr>
              <w:t>Custo a F</w:t>
            </w:r>
            <w:r w:rsidRPr="00316249">
              <w:rPr>
                <w:b/>
                <w:bCs/>
                <w:color w:val="000000"/>
                <w:sz w:val="18"/>
                <w:szCs w:val="18"/>
              </w:rPr>
              <w:t>aturar</w:t>
            </w:r>
          </w:p>
        </w:tc>
        <w:tc>
          <w:tcPr>
            <w:tcW w:w="708"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2.291 </w:t>
            </w:r>
          </w:p>
        </w:tc>
        <w:tc>
          <w:tcPr>
            <w:tcW w:w="708"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p>
        </w:tc>
        <w:tc>
          <w:tcPr>
            <w:tcW w:w="762"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2.463 </w:t>
            </w:r>
          </w:p>
        </w:tc>
        <w:tc>
          <w:tcPr>
            <w:tcW w:w="252" w:type="pct"/>
            <w:shd w:val="clear" w:color="auto" w:fill="FFFFFF"/>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D</w:t>
            </w:r>
          </w:p>
        </w:tc>
        <w:tc>
          <w:tcPr>
            <w:tcW w:w="1293" w:type="pct"/>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(837 )</w:t>
            </w:r>
          </w:p>
        </w:tc>
      </w:tr>
      <w:tr w:rsidR="00E9008A" w:rsidRPr="00316249" w:rsidTr="005B7D01">
        <w:trPr>
          <w:trHeight w:val="20"/>
        </w:trPr>
        <w:tc>
          <w:tcPr>
            <w:tcW w:w="5000" w:type="pct"/>
            <w:gridSpan w:val="6"/>
            <w:shd w:val="clear" w:color="auto" w:fill="D9D9D9"/>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CONTROLE DO NÃO FATURADO</w:t>
            </w:r>
          </w:p>
        </w:tc>
      </w:tr>
      <w:tr w:rsidR="00E9008A" w:rsidRPr="00316249" w:rsidTr="005B7D01">
        <w:trPr>
          <w:trHeight w:val="20"/>
        </w:trPr>
        <w:tc>
          <w:tcPr>
            <w:tcW w:w="1276" w:type="pct"/>
            <w:vMerge w:val="restart"/>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p>
        </w:tc>
        <w:tc>
          <w:tcPr>
            <w:tcW w:w="2178" w:type="pct"/>
            <w:gridSpan w:val="3"/>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Controle de Valores</w:t>
            </w:r>
          </w:p>
        </w:tc>
        <w:tc>
          <w:tcPr>
            <w:tcW w:w="252" w:type="pct"/>
            <w:vMerge w:val="restart"/>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D/C</w:t>
            </w:r>
          </w:p>
        </w:tc>
        <w:tc>
          <w:tcPr>
            <w:tcW w:w="1293" w:type="pct"/>
            <w:vMerge w:val="restart"/>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 xml:space="preserve">ATIVO FISCAL DIFERIDO </w:t>
            </w:r>
          </w:p>
          <w:p w:rsidR="00E9008A" w:rsidRPr="00316249" w:rsidRDefault="00E9008A" w:rsidP="005B7D01">
            <w:pPr>
              <w:jc w:val="center"/>
              <w:rPr>
                <w:bCs/>
                <w:color w:val="000000"/>
                <w:sz w:val="18"/>
                <w:szCs w:val="18"/>
              </w:rPr>
            </w:pPr>
            <w:r w:rsidRPr="00316249">
              <w:rPr>
                <w:bCs/>
                <w:color w:val="000000"/>
                <w:sz w:val="18"/>
                <w:szCs w:val="18"/>
              </w:rPr>
              <w:lastRenderedPageBreak/>
              <w:t>= Saldo x (+/-)34%</w:t>
            </w:r>
          </w:p>
        </w:tc>
      </w:tr>
      <w:tr w:rsidR="00E9008A" w:rsidRPr="00316249" w:rsidTr="005B7D01">
        <w:trPr>
          <w:trHeight w:val="20"/>
        </w:trPr>
        <w:tc>
          <w:tcPr>
            <w:tcW w:w="2497" w:type="dxa"/>
            <w:vMerge/>
            <w:vAlign w:val="center"/>
            <w:hideMark/>
          </w:tcPr>
          <w:p w:rsidR="00E9008A" w:rsidRPr="00316249" w:rsidRDefault="00E9008A" w:rsidP="005B7D01">
            <w:pPr>
              <w:jc w:val="center"/>
              <w:rPr>
                <w:b/>
                <w:bCs/>
                <w:color w:val="000000"/>
                <w:sz w:val="18"/>
                <w:szCs w:val="18"/>
              </w:rPr>
            </w:pPr>
          </w:p>
        </w:tc>
        <w:tc>
          <w:tcPr>
            <w:tcW w:w="708"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Débito</w:t>
            </w:r>
          </w:p>
        </w:tc>
        <w:tc>
          <w:tcPr>
            <w:tcW w:w="708"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Crédito</w:t>
            </w:r>
          </w:p>
        </w:tc>
        <w:tc>
          <w:tcPr>
            <w:tcW w:w="762" w:type="pct"/>
            <w:noWrap/>
            <w:tcMar>
              <w:top w:w="0" w:type="dxa"/>
              <w:left w:w="70" w:type="dxa"/>
              <w:bottom w:w="0" w:type="dxa"/>
              <w:right w:w="70" w:type="dxa"/>
            </w:tcMar>
            <w:vAlign w:val="center"/>
            <w:hideMark/>
          </w:tcPr>
          <w:p w:rsidR="00E9008A" w:rsidRPr="00316249" w:rsidRDefault="00E9008A" w:rsidP="005B7D01">
            <w:pPr>
              <w:spacing w:after="200" w:line="276" w:lineRule="auto"/>
              <w:jc w:val="center"/>
              <w:rPr>
                <w:bCs/>
                <w:color w:val="000000"/>
                <w:sz w:val="18"/>
                <w:szCs w:val="18"/>
              </w:rPr>
            </w:pPr>
            <w:r w:rsidRPr="00316249">
              <w:rPr>
                <w:bCs/>
                <w:color w:val="000000"/>
                <w:sz w:val="18"/>
                <w:szCs w:val="18"/>
              </w:rPr>
              <w:t xml:space="preserve">Saldo </w:t>
            </w:r>
          </w:p>
        </w:tc>
        <w:tc>
          <w:tcPr>
            <w:tcW w:w="493" w:type="dxa"/>
            <w:vMerge/>
            <w:vAlign w:val="center"/>
            <w:hideMark/>
          </w:tcPr>
          <w:p w:rsidR="00E9008A" w:rsidRPr="00316249" w:rsidRDefault="00E9008A" w:rsidP="005B7D01">
            <w:pPr>
              <w:jc w:val="center"/>
              <w:rPr>
                <w:bCs/>
                <w:color w:val="000000"/>
                <w:sz w:val="18"/>
                <w:szCs w:val="18"/>
              </w:rPr>
            </w:pPr>
          </w:p>
        </w:tc>
        <w:tc>
          <w:tcPr>
            <w:tcW w:w="1293" w:type="pct"/>
            <w:vMerge/>
            <w:vAlign w:val="center"/>
            <w:hideMark/>
          </w:tcPr>
          <w:p w:rsidR="00E9008A" w:rsidRPr="00316249" w:rsidRDefault="00E9008A" w:rsidP="005B7D01">
            <w:pPr>
              <w:jc w:val="center"/>
              <w:rPr>
                <w:bCs/>
                <w:color w:val="000000"/>
                <w:sz w:val="18"/>
                <w:szCs w:val="18"/>
              </w:rPr>
            </w:pPr>
          </w:p>
        </w:tc>
      </w:tr>
      <w:tr w:rsidR="00E9008A" w:rsidRPr="00316249" w:rsidTr="005B7D01">
        <w:trPr>
          <w:trHeight w:val="20"/>
        </w:trPr>
        <w:tc>
          <w:tcPr>
            <w:tcW w:w="1276" w:type="pct"/>
            <w:shd w:val="clear" w:color="auto" w:fill="FFFFFF"/>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lastRenderedPageBreak/>
              <w:t xml:space="preserve">Não </w:t>
            </w:r>
            <w:r>
              <w:rPr>
                <w:b/>
                <w:bCs/>
                <w:color w:val="000000"/>
                <w:sz w:val="18"/>
                <w:szCs w:val="18"/>
              </w:rPr>
              <w:t>F</w:t>
            </w:r>
            <w:r w:rsidRPr="00316249">
              <w:rPr>
                <w:b/>
                <w:bCs/>
                <w:color w:val="000000"/>
                <w:sz w:val="18"/>
                <w:szCs w:val="18"/>
              </w:rPr>
              <w:t>aturado</w:t>
            </w:r>
          </w:p>
        </w:tc>
        <w:tc>
          <w:tcPr>
            <w:tcW w:w="708" w:type="pct"/>
            <w:shd w:val="clear" w:color="auto" w:fill="FFFFFF"/>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w:t>
            </w:r>
          </w:p>
        </w:tc>
        <w:tc>
          <w:tcPr>
            <w:tcW w:w="708"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2.876 </w:t>
            </w:r>
          </w:p>
        </w:tc>
        <w:tc>
          <w:tcPr>
            <w:tcW w:w="762" w:type="pct"/>
            <w:shd w:val="clear" w:color="auto" w:fill="FFFFFF"/>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3.091</w:t>
            </w:r>
          </w:p>
        </w:tc>
        <w:tc>
          <w:tcPr>
            <w:tcW w:w="252" w:type="pct"/>
            <w:shd w:val="clear" w:color="auto" w:fill="FFFFFF"/>
            <w:noWrap/>
            <w:tcMar>
              <w:top w:w="0" w:type="dxa"/>
              <w:left w:w="70" w:type="dxa"/>
              <w:bottom w:w="0" w:type="dxa"/>
              <w:right w:w="70" w:type="dxa"/>
            </w:tcMar>
            <w:vAlign w:val="center"/>
            <w:hideMark/>
          </w:tcPr>
          <w:p w:rsidR="00E9008A" w:rsidRPr="00316249" w:rsidRDefault="00E9008A" w:rsidP="005B7D01">
            <w:pPr>
              <w:jc w:val="center"/>
              <w:rPr>
                <w:bCs/>
                <w:color w:val="000000"/>
                <w:sz w:val="18"/>
                <w:szCs w:val="18"/>
              </w:rPr>
            </w:pPr>
            <w:r w:rsidRPr="00316249">
              <w:rPr>
                <w:bCs/>
                <w:color w:val="000000"/>
                <w:sz w:val="18"/>
                <w:szCs w:val="18"/>
              </w:rPr>
              <w:t>C</w:t>
            </w:r>
          </w:p>
        </w:tc>
        <w:tc>
          <w:tcPr>
            <w:tcW w:w="1293" w:type="pct"/>
            <w:noWrap/>
            <w:tcMar>
              <w:top w:w="0" w:type="dxa"/>
              <w:left w:w="70" w:type="dxa"/>
              <w:bottom w:w="0" w:type="dxa"/>
              <w:right w:w="70" w:type="dxa"/>
            </w:tcMar>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1.051 </w:t>
            </w:r>
          </w:p>
        </w:tc>
      </w:tr>
      <w:tr w:rsidR="00E9008A" w:rsidRPr="00316249" w:rsidTr="005B7D01">
        <w:trPr>
          <w:trHeight w:val="20"/>
        </w:trPr>
        <w:tc>
          <w:tcPr>
            <w:tcW w:w="3707" w:type="pct"/>
            <w:gridSpan w:val="5"/>
            <w:shd w:val="clear" w:color="auto" w:fill="F2F2F2"/>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t>TOTAL BASE DE CÁLCULO</w:t>
            </w:r>
          </w:p>
        </w:tc>
        <w:tc>
          <w:tcPr>
            <w:tcW w:w="1293" w:type="pct"/>
            <w:shd w:val="clear" w:color="auto" w:fill="F2F2F2"/>
            <w:noWrap/>
            <w:tcMar>
              <w:top w:w="0" w:type="dxa"/>
              <w:left w:w="70" w:type="dxa"/>
              <w:bottom w:w="0" w:type="dxa"/>
              <w:right w:w="70" w:type="dxa"/>
            </w:tcMar>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88.548 </w:t>
            </w:r>
          </w:p>
        </w:tc>
      </w:tr>
      <w:tr w:rsidR="00E9008A" w:rsidRPr="00316249" w:rsidTr="005B7D01">
        <w:trPr>
          <w:trHeight w:val="20"/>
        </w:trPr>
        <w:tc>
          <w:tcPr>
            <w:tcW w:w="3707" w:type="pct"/>
            <w:gridSpan w:val="5"/>
            <w:shd w:val="clear" w:color="auto" w:fill="F2F2F2"/>
            <w:noWrap/>
            <w:tcMar>
              <w:top w:w="0" w:type="dxa"/>
              <w:left w:w="70" w:type="dxa"/>
              <w:bottom w:w="0" w:type="dxa"/>
              <w:right w:w="70" w:type="dxa"/>
            </w:tcMar>
            <w:vAlign w:val="center"/>
            <w:hideMark/>
          </w:tcPr>
          <w:p w:rsidR="00E9008A" w:rsidRPr="00316249" w:rsidRDefault="00E9008A" w:rsidP="005B7D01">
            <w:pPr>
              <w:jc w:val="center"/>
              <w:rPr>
                <w:b/>
                <w:bCs/>
                <w:color w:val="000000"/>
                <w:sz w:val="18"/>
                <w:szCs w:val="18"/>
              </w:rPr>
            </w:pPr>
            <w:r w:rsidRPr="00316249">
              <w:rPr>
                <w:b/>
                <w:bCs/>
                <w:color w:val="000000"/>
                <w:sz w:val="18"/>
                <w:szCs w:val="18"/>
              </w:rPr>
              <w:t>TOTAL ATIVO FISCAL DIFERIDO APURADO</w:t>
            </w:r>
          </w:p>
        </w:tc>
        <w:tc>
          <w:tcPr>
            <w:tcW w:w="1293" w:type="pct"/>
            <w:shd w:val="clear" w:color="auto" w:fill="F2F2F2"/>
            <w:noWrap/>
            <w:tcMar>
              <w:top w:w="0" w:type="dxa"/>
              <w:left w:w="70" w:type="dxa"/>
              <w:bottom w:w="0" w:type="dxa"/>
              <w:right w:w="70" w:type="dxa"/>
            </w:tcMar>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30.106 </w:t>
            </w:r>
          </w:p>
        </w:tc>
      </w:tr>
    </w:tbl>
    <w:p w:rsidR="00E9008A" w:rsidRPr="00316249" w:rsidRDefault="00E9008A" w:rsidP="00E9008A">
      <w:pPr>
        <w:jc w:val="both"/>
        <w:rPr>
          <w:rFonts w:eastAsia="Arial Unicode MS"/>
          <w:bCs/>
          <w:iCs/>
          <w:sz w:val="22"/>
          <w:szCs w:val="22"/>
        </w:rPr>
      </w:pPr>
    </w:p>
    <w:p w:rsidR="00E9008A" w:rsidRDefault="00E9008A" w:rsidP="00E9008A">
      <w:pPr>
        <w:spacing w:before="120"/>
        <w:jc w:val="both"/>
        <w:rPr>
          <w:rFonts w:eastAsia="Arial Unicode MS"/>
          <w:bCs/>
          <w:iCs/>
          <w:sz w:val="22"/>
          <w:szCs w:val="22"/>
        </w:rPr>
      </w:pPr>
      <w:r w:rsidRPr="00316249">
        <w:rPr>
          <w:rFonts w:eastAsia="Arial Unicode MS"/>
          <w:bCs/>
          <w:iCs/>
          <w:sz w:val="22"/>
          <w:szCs w:val="22"/>
        </w:rPr>
        <w:t xml:space="preserve">Na perspectiva da Administração, norteada pelo estudo técnico para a realização do ativo fiscal diferido, prevê que os créditos </w:t>
      </w:r>
      <w:r w:rsidRPr="00747E73">
        <w:rPr>
          <w:rFonts w:eastAsia="Arial Unicode MS"/>
          <w:bCs/>
          <w:iCs/>
          <w:sz w:val="22"/>
          <w:szCs w:val="22"/>
        </w:rPr>
        <w:t>tributários sobre prejuízo fiscal e parte das diferenças</w:t>
      </w:r>
      <w:r w:rsidRPr="00316249">
        <w:rPr>
          <w:rFonts w:eastAsia="Arial Unicode MS"/>
          <w:bCs/>
          <w:iCs/>
          <w:sz w:val="22"/>
          <w:szCs w:val="22"/>
        </w:rPr>
        <w:t xml:space="preserve"> temporárias possam ser realizados até 2018, a saber:</w:t>
      </w:r>
    </w:p>
    <w:p w:rsidR="00E9008A" w:rsidRPr="00316249" w:rsidRDefault="00E9008A" w:rsidP="00E9008A">
      <w:pPr>
        <w:jc w:val="both"/>
        <w:rPr>
          <w:rFonts w:eastAsia="Arial Unicode MS"/>
          <w:bCs/>
          <w:iCs/>
          <w:sz w:val="22"/>
          <w:szCs w:val="22"/>
        </w:rPr>
      </w:pPr>
    </w:p>
    <w:tbl>
      <w:tblPr>
        <w:tblW w:w="973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4"/>
        <w:gridCol w:w="2015"/>
        <w:gridCol w:w="965"/>
        <w:gridCol w:w="1979"/>
        <w:gridCol w:w="852"/>
      </w:tblGrid>
      <w:tr w:rsidR="00E9008A" w:rsidRPr="00316249" w:rsidTr="005B7D01">
        <w:trPr>
          <w:trHeight w:val="282"/>
          <w:tblHeader/>
        </w:trPr>
        <w:tc>
          <w:tcPr>
            <w:tcW w:w="3924" w:type="dxa"/>
            <w:vMerge w:val="restart"/>
            <w:shd w:val="clear" w:color="auto" w:fill="D9D9D9" w:themeFill="background1" w:themeFillShade="D9"/>
            <w:noWrap/>
            <w:tcMar>
              <w:top w:w="0" w:type="dxa"/>
              <w:left w:w="70" w:type="dxa"/>
              <w:bottom w:w="0" w:type="dxa"/>
              <w:right w:w="70" w:type="dxa"/>
            </w:tcMar>
            <w:vAlign w:val="center"/>
            <w:hideMark/>
          </w:tcPr>
          <w:p w:rsidR="00E9008A" w:rsidRPr="00316249" w:rsidRDefault="00E9008A" w:rsidP="005B7D01">
            <w:pPr>
              <w:jc w:val="center"/>
              <w:rPr>
                <w:sz w:val="18"/>
                <w:szCs w:val="18"/>
              </w:rPr>
            </w:pPr>
            <w:r w:rsidRPr="00316249">
              <w:rPr>
                <w:b/>
                <w:bCs/>
                <w:color w:val="000000"/>
                <w:sz w:val="18"/>
                <w:szCs w:val="18"/>
              </w:rPr>
              <w:t>CONTROLE DO ATIVO FISCAL DIFERIDO</w:t>
            </w:r>
          </w:p>
        </w:tc>
        <w:tc>
          <w:tcPr>
            <w:tcW w:w="2980" w:type="dxa"/>
            <w:gridSpan w:val="2"/>
            <w:shd w:val="clear" w:color="auto" w:fill="D9D9D9" w:themeFill="background1" w:themeFillShade="D9"/>
            <w:noWrap/>
            <w:tcMar>
              <w:top w:w="0" w:type="dxa"/>
              <w:left w:w="70" w:type="dxa"/>
              <w:bottom w:w="0" w:type="dxa"/>
              <w:right w:w="70" w:type="dxa"/>
            </w:tcMar>
            <w:vAlign w:val="center"/>
            <w:hideMark/>
          </w:tcPr>
          <w:p w:rsidR="00E9008A" w:rsidRPr="00316249" w:rsidRDefault="00E9008A" w:rsidP="005B7D01">
            <w:pPr>
              <w:jc w:val="center"/>
              <w:rPr>
                <w:sz w:val="18"/>
                <w:szCs w:val="18"/>
              </w:rPr>
            </w:pPr>
            <w:r w:rsidRPr="00316249">
              <w:rPr>
                <w:b/>
                <w:bCs/>
                <w:color w:val="000000"/>
                <w:sz w:val="18"/>
                <w:szCs w:val="18"/>
              </w:rPr>
              <w:t>2017</w:t>
            </w:r>
          </w:p>
        </w:tc>
        <w:tc>
          <w:tcPr>
            <w:tcW w:w="2831" w:type="dxa"/>
            <w:gridSpan w:val="2"/>
            <w:shd w:val="clear" w:color="auto" w:fill="D9D9D9" w:themeFill="background1" w:themeFillShade="D9"/>
            <w:noWrap/>
            <w:tcMar>
              <w:top w:w="0" w:type="dxa"/>
              <w:left w:w="70" w:type="dxa"/>
              <w:bottom w:w="0" w:type="dxa"/>
              <w:right w:w="70" w:type="dxa"/>
            </w:tcMar>
            <w:vAlign w:val="center"/>
            <w:hideMark/>
          </w:tcPr>
          <w:p w:rsidR="00E9008A" w:rsidRPr="00316249" w:rsidRDefault="00E9008A" w:rsidP="005B7D01">
            <w:pPr>
              <w:jc w:val="center"/>
              <w:rPr>
                <w:sz w:val="18"/>
                <w:szCs w:val="18"/>
              </w:rPr>
            </w:pPr>
            <w:r w:rsidRPr="00316249">
              <w:rPr>
                <w:b/>
                <w:bCs/>
                <w:color w:val="000000"/>
                <w:sz w:val="18"/>
                <w:szCs w:val="18"/>
              </w:rPr>
              <w:t>2018</w:t>
            </w:r>
          </w:p>
        </w:tc>
      </w:tr>
      <w:tr w:rsidR="00E9008A" w:rsidRPr="00316249" w:rsidTr="005B7D01">
        <w:trPr>
          <w:trHeight w:val="282"/>
          <w:tblHeader/>
        </w:trPr>
        <w:tc>
          <w:tcPr>
            <w:tcW w:w="3924" w:type="dxa"/>
            <w:vMerge/>
            <w:shd w:val="clear" w:color="auto" w:fill="D9D9D9" w:themeFill="background1" w:themeFillShade="D9"/>
            <w:vAlign w:val="center"/>
            <w:hideMark/>
          </w:tcPr>
          <w:p w:rsidR="00E9008A" w:rsidRPr="00316249" w:rsidRDefault="00E9008A" w:rsidP="005B7D01">
            <w:pPr>
              <w:rPr>
                <w:rFonts w:eastAsiaTheme="minorHAnsi"/>
                <w:sz w:val="18"/>
                <w:szCs w:val="18"/>
              </w:rPr>
            </w:pPr>
          </w:p>
        </w:tc>
        <w:tc>
          <w:tcPr>
            <w:tcW w:w="2015" w:type="dxa"/>
            <w:shd w:val="clear" w:color="auto" w:fill="D9D9D9" w:themeFill="background1" w:themeFillShade="D9"/>
            <w:noWrap/>
            <w:tcMar>
              <w:top w:w="0" w:type="dxa"/>
              <w:left w:w="70" w:type="dxa"/>
              <w:bottom w:w="0" w:type="dxa"/>
              <w:right w:w="70" w:type="dxa"/>
            </w:tcMar>
            <w:vAlign w:val="bottom"/>
            <w:hideMark/>
          </w:tcPr>
          <w:p w:rsidR="00E9008A" w:rsidRPr="00316249" w:rsidRDefault="00E9008A" w:rsidP="005B7D01">
            <w:pPr>
              <w:jc w:val="center"/>
              <w:rPr>
                <w:sz w:val="18"/>
                <w:szCs w:val="18"/>
              </w:rPr>
            </w:pPr>
            <w:r w:rsidRPr="00316249">
              <w:rPr>
                <w:b/>
                <w:bCs/>
                <w:color w:val="000000"/>
                <w:sz w:val="18"/>
                <w:szCs w:val="18"/>
              </w:rPr>
              <w:t xml:space="preserve"> Base de Cálculo  </w:t>
            </w:r>
          </w:p>
        </w:tc>
        <w:tc>
          <w:tcPr>
            <w:tcW w:w="965" w:type="dxa"/>
            <w:shd w:val="clear" w:color="auto" w:fill="D9D9D9" w:themeFill="background1" w:themeFillShade="D9"/>
            <w:noWrap/>
            <w:tcMar>
              <w:top w:w="0" w:type="dxa"/>
              <w:left w:w="70" w:type="dxa"/>
              <w:bottom w:w="0" w:type="dxa"/>
              <w:right w:w="70" w:type="dxa"/>
            </w:tcMar>
            <w:vAlign w:val="bottom"/>
            <w:hideMark/>
          </w:tcPr>
          <w:p w:rsidR="00E9008A" w:rsidRPr="00316249" w:rsidRDefault="00E9008A" w:rsidP="005B7D01">
            <w:pPr>
              <w:jc w:val="center"/>
              <w:rPr>
                <w:sz w:val="18"/>
                <w:szCs w:val="18"/>
              </w:rPr>
            </w:pPr>
            <w:r w:rsidRPr="00316249">
              <w:rPr>
                <w:b/>
                <w:bCs/>
                <w:color w:val="000000"/>
                <w:sz w:val="18"/>
                <w:szCs w:val="18"/>
              </w:rPr>
              <w:t>Tributo</w:t>
            </w:r>
          </w:p>
        </w:tc>
        <w:tc>
          <w:tcPr>
            <w:tcW w:w="1979" w:type="dxa"/>
            <w:shd w:val="clear" w:color="auto" w:fill="D9D9D9" w:themeFill="background1" w:themeFillShade="D9"/>
            <w:noWrap/>
            <w:tcMar>
              <w:top w:w="0" w:type="dxa"/>
              <w:left w:w="70" w:type="dxa"/>
              <w:bottom w:w="0" w:type="dxa"/>
              <w:right w:w="70" w:type="dxa"/>
            </w:tcMar>
            <w:vAlign w:val="bottom"/>
            <w:hideMark/>
          </w:tcPr>
          <w:p w:rsidR="00E9008A" w:rsidRPr="00316249" w:rsidRDefault="00E9008A" w:rsidP="005B7D01">
            <w:pPr>
              <w:jc w:val="center"/>
              <w:rPr>
                <w:sz w:val="18"/>
                <w:szCs w:val="18"/>
              </w:rPr>
            </w:pPr>
            <w:r w:rsidRPr="00316249">
              <w:rPr>
                <w:b/>
                <w:bCs/>
                <w:color w:val="000000"/>
                <w:sz w:val="18"/>
                <w:szCs w:val="18"/>
              </w:rPr>
              <w:t xml:space="preserve"> Base de Cálculo  </w:t>
            </w:r>
          </w:p>
        </w:tc>
        <w:tc>
          <w:tcPr>
            <w:tcW w:w="852" w:type="dxa"/>
            <w:shd w:val="clear" w:color="auto" w:fill="D9D9D9" w:themeFill="background1" w:themeFillShade="D9"/>
            <w:noWrap/>
            <w:tcMar>
              <w:top w:w="0" w:type="dxa"/>
              <w:left w:w="70" w:type="dxa"/>
              <w:bottom w:w="0" w:type="dxa"/>
              <w:right w:w="70" w:type="dxa"/>
            </w:tcMar>
            <w:vAlign w:val="bottom"/>
            <w:hideMark/>
          </w:tcPr>
          <w:p w:rsidR="00E9008A" w:rsidRPr="00316249" w:rsidRDefault="00E9008A" w:rsidP="005B7D01">
            <w:pPr>
              <w:jc w:val="center"/>
              <w:rPr>
                <w:sz w:val="18"/>
                <w:szCs w:val="18"/>
              </w:rPr>
            </w:pPr>
            <w:r w:rsidRPr="00316249">
              <w:rPr>
                <w:b/>
                <w:bCs/>
                <w:color w:val="000000"/>
                <w:sz w:val="18"/>
                <w:szCs w:val="18"/>
              </w:rPr>
              <w:t>Tributo</w:t>
            </w:r>
          </w:p>
        </w:tc>
      </w:tr>
      <w:tr w:rsidR="00E9008A" w:rsidRPr="00316249" w:rsidTr="005B7D01">
        <w:trPr>
          <w:trHeight w:val="282"/>
        </w:trPr>
        <w:tc>
          <w:tcPr>
            <w:tcW w:w="3924" w:type="dxa"/>
            <w:shd w:val="clear" w:color="auto" w:fill="FFFFFF"/>
            <w:noWrap/>
            <w:tcMar>
              <w:top w:w="0" w:type="dxa"/>
              <w:left w:w="70" w:type="dxa"/>
              <w:bottom w:w="0" w:type="dxa"/>
              <w:right w:w="70" w:type="dxa"/>
            </w:tcMar>
            <w:vAlign w:val="bottom"/>
            <w:hideMark/>
          </w:tcPr>
          <w:p w:rsidR="00E9008A" w:rsidRPr="00316249" w:rsidRDefault="00E9008A" w:rsidP="005B7D01">
            <w:pPr>
              <w:rPr>
                <w:sz w:val="18"/>
                <w:szCs w:val="18"/>
              </w:rPr>
            </w:pPr>
            <w:r w:rsidRPr="00316249">
              <w:rPr>
                <w:color w:val="000000"/>
                <w:sz w:val="18"/>
                <w:szCs w:val="18"/>
              </w:rPr>
              <w:t>Saldo</w:t>
            </w:r>
            <w:r>
              <w:rPr>
                <w:color w:val="000000"/>
                <w:sz w:val="18"/>
                <w:szCs w:val="18"/>
              </w:rPr>
              <w:t xml:space="preserve"> I</w:t>
            </w:r>
            <w:r w:rsidRPr="00316249">
              <w:rPr>
                <w:color w:val="000000"/>
                <w:sz w:val="18"/>
                <w:szCs w:val="18"/>
              </w:rPr>
              <w:t>nicial</w:t>
            </w:r>
          </w:p>
        </w:tc>
        <w:tc>
          <w:tcPr>
            <w:tcW w:w="2015"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88.548</w:t>
            </w:r>
          </w:p>
        </w:tc>
        <w:tc>
          <w:tcPr>
            <w:tcW w:w="965"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bCs/>
                <w:color w:val="000000"/>
                <w:sz w:val="18"/>
                <w:szCs w:val="18"/>
              </w:rPr>
              <w:t>30.106</w:t>
            </w:r>
          </w:p>
        </w:tc>
        <w:tc>
          <w:tcPr>
            <w:tcW w:w="1979"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9.088</w:t>
            </w:r>
          </w:p>
        </w:tc>
        <w:tc>
          <w:tcPr>
            <w:tcW w:w="852"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3.090</w:t>
            </w:r>
          </w:p>
        </w:tc>
      </w:tr>
      <w:tr w:rsidR="00E9008A" w:rsidRPr="00316249" w:rsidTr="005B7D01">
        <w:trPr>
          <w:trHeight w:val="282"/>
        </w:trPr>
        <w:tc>
          <w:tcPr>
            <w:tcW w:w="3924" w:type="dxa"/>
            <w:shd w:val="clear" w:color="auto" w:fill="FFFFFF"/>
            <w:noWrap/>
            <w:tcMar>
              <w:top w:w="0" w:type="dxa"/>
              <w:left w:w="70" w:type="dxa"/>
              <w:bottom w:w="0" w:type="dxa"/>
              <w:right w:w="70" w:type="dxa"/>
            </w:tcMar>
            <w:vAlign w:val="bottom"/>
            <w:hideMark/>
          </w:tcPr>
          <w:p w:rsidR="00E9008A" w:rsidRPr="00316249" w:rsidRDefault="00E9008A" w:rsidP="005B7D01">
            <w:pPr>
              <w:rPr>
                <w:sz w:val="18"/>
                <w:szCs w:val="18"/>
              </w:rPr>
            </w:pPr>
            <w:r w:rsidRPr="00316249">
              <w:rPr>
                <w:color w:val="000000"/>
                <w:sz w:val="18"/>
                <w:szCs w:val="18"/>
              </w:rPr>
              <w:t>(-) Saldo Utilizado</w:t>
            </w:r>
          </w:p>
        </w:tc>
        <w:tc>
          <w:tcPr>
            <w:tcW w:w="2015"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(79.460)</w:t>
            </w:r>
          </w:p>
        </w:tc>
        <w:tc>
          <w:tcPr>
            <w:tcW w:w="965"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(27.016)</w:t>
            </w:r>
          </w:p>
        </w:tc>
        <w:tc>
          <w:tcPr>
            <w:tcW w:w="1979"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(9.088)</w:t>
            </w:r>
          </w:p>
        </w:tc>
        <w:tc>
          <w:tcPr>
            <w:tcW w:w="852"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(3.090)</w:t>
            </w:r>
          </w:p>
        </w:tc>
      </w:tr>
      <w:tr w:rsidR="00E9008A" w:rsidRPr="00316249" w:rsidTr="005B7D01">
        <w:trPr>
          <w:trHeight w:val="282"/>
        </w:trPr>
        <w:tc>
          <w:tcPr>
            <w:tcW w:w="3924" w:type="dxa"/>
            <w:shd w:val="clear" w:color="auto" w:fill="FFFFFF"/>
            <w:noWrap/>
            <w:tcMar>
              <w:top w:w="0" w:type="dxa"/>
              <w:left w:w="70" w:type="dxa"/>
              <w:bottom w:w="0" w:type="dxa"/>
              <w:right w:w="70" w:type="dxa"/>
            </w:tcMar>
            <w:vAlign w:val="bottom"/>
            <w:hideMark/>
          </w:tcPr>
          <w:p w:rsidR="00E9008A" w:rsidRPr="00316249" w:rsidRDefault="00E9008A" w:rsidP="005B7D01">
            <w:pPr>
              <w:rPr>
                <w:sz w:val="18"/>
                <w:szCs w:val="18"/>
              </w:rPr>
            </w:pPr>
            <w:r w:rsidRPr="00316249">
              <w:rPr>
                <w:color w:val="000000"/>
                <w:sz w:val="18"/>
                <w:szCs w:val="18"/>
              </w:rPr>
              <w:t>Saldo Final</w:t>
            </w:r>
          </w:p>
        </w:tc>
        <w:tc>
          <w:tcPr>
            <w:tcW w:w="2015"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8.460</w:t>
            </w:r>
          </w:p>
        </w:tc>
        <w:tc>
          <w:tcPr>
            <w:tcW w:w="965"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3.090</w:t>
            </w:r>
          </w:p>
        </w:tc>
        <w:tc>
          <w:tcPr>
            <w:tcW w:w="1979"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w:t>
            </w:r>
          </w:p>
        </w:tc>
        <w:tc>
          <w:tcPr>
            <w:tcW w:w="852" w:type="dxa"/>
            <w:shd w:val="clear" w:color="auto" w:fill="FFFFFF"/>
            <w:noWrap/>
            <w:tcMar>
              <w:top w:w="0" w:type="dxa"/>
              <w:left w:w="70" w:type="dxa"/>
              <w:bottom w:w="0" w:type="dxa"/>
              <w:right w:w="70" w:type="dxa"/>
            </w:tcMar>
            <w:vAlign w:val="center"/>
            <w:hideMark/>
          </w:tcPr>
          <w:p w:rsidR="00E9008A" w:rsidRPr="00316249" w:rsidRDefault="00E9008A" w:rsidP="005B7D01">
            <w:pPr>
              <w:jc w:val="right"/>
              <w:rPr>
                <w:sz w:val="18"/>
                <w:szCs w:val="18"/>
              </w:rPr>
            </w:pPr>
            <w:r w:rsidRPr="00316249">
              <w:rPr>
                <w:color w:val="000000"/>
                <w:sz w:val="18"/>
                <w:szCs w:val="18"/>
              </w:rPr>
              <w:t>-</w:t>
            </w:r>
          </w:p>
        </w:tc>
      </w:tr>
    </w:tbl>
    <w:p w:rsidR="00E9008A" w:rsidRPr="00316249" w:rsidRDefault="00E9008A" w:rsidP="00E9008A">
      <w:pPr>
        <w:jc w:val="both"/>
        <w:rPr>
          <w:rFonts w:eastAsia="Arial Unicode MS"/>
          <w:bCs/>
          <w:iCs/>
          <w:sz w:val="22"/>
          <w:szCs w:val="22"/>
        </w:rPr>
      </w:pPr>
      <w:r w:rsidRPr="00316249">
        <w:rPr>
          <w:rFonts w:eastAsia="Arial Unicode MS"/>
          <w:bCs/>
          <w:iCs/>
          <w:sz w:val="22"/>
          <w:szCs w:val="22"/>
        </w:rPr>
        <w:t> </w:t>
      </w:r>
    </w:p>
    <w:p w:rsidR="00E9008A" w:rsidRPr="00316249" w:rsidRDefault="00E9008A" w:rsidP="00E9008A">
      <w:pPr>
        <w:spacing w:before="120"/>
        <w:jc w:val="both"/>
        <w:rPr>
          <w:rFonts w:eastAsia="Arial Unicode MS"/>
          <w:bCs/>
          <w:iCs/>
          <w:sz w:val="22"/>
          <w:szCs w:val="22"/>
        </w:rPr>
      </w:pPr>
      <w:r w:rsidRPr="00316249">
        <w:rPr>
          <w:rFonts w:eastAsia="Arial Unicode MS"/>
          <w:bCs/>
          <w:iCs/>
          <w:sz w:val="22"/>
          <w:szCs w:val="22"/>
        </w:rPr>
        <w:t>O estudo técnico de viabilidade, elaborado pela Companhia foi objeto de apreciação pelo Conselho Fiscal e aprovado Conselho de Administração em 16 de março de 2017 e 17 de março de 2017, respectivamente.</w:t>
      </w:r>
    </w:p>
    <w:p w:rsidR="00E9008A" w:rsidRPr="007527F1" w:rsidRDefault="00E9008A" w:rsidP="007527F1">
      <w:pPr>
        <w:pStyle w:val="PargrafodaLista"/>
        <w:numPr>
          <w:ilvl w:val="2"/>
          <w:numId w:val="23"/>
        </w:numPr>
        <w:spacing w:before="240" w:after="240"/>
        <w:ind w:left="851" w:hanging="851"/>
        <w:jc w:val="both"/>
        <w:rPr>
          <w:rFonts w:ascii="Times New Roman" w:hAnsi="Times New Roman" w:cs="Times New Roman"/>
          <w:b/>
          <w:lang w:val="pt-BR"/>
        </w:rPr>
      </w:pPr>
      <w:r w:rsidRPr="007527F1">
        <w:rPr>
          <w:rFonts w:ascii="Times New Roman" w:hAnsi="Times New Roman" w:cs="Times New Roman"/>
          <w:b/>
          <w:lang w:val="pt-BR"/>
        </w:rPr>
        <w:t>Ativos fiscais diferidos não reconhecidos</w:t>
      </w:r>
    </w:p>
    <w:p w:rsidR="00E9008A" w:rsidRPr="00316249" w:rsidRDefault="00E9008A" w:rsidP="00E9008A">
      <w:pPr>
        <w:spacing w:before="240" w:after="240"/>
        <w:jc w:val="both"/>
        <w:rPr>
          <w:sz w:val="22"/>
          <w:szCs w:val="22"/>
        </w:rPr>
      </w:pPr>
      <w:r w:rsidRPr="00316249">
        <w:rPr>
          <w:sz w:val="22"/>
          <w:szCs w:val="22"/>
        </w:rPr>
        <w:t>Segue o demonstrativo dos ativos fiscais diferidos não registrados:</w:t>
      </w:r>
    </w:p>
    <w:tbl>
      <w:tblPr>
        <w:tblW w:w="5000" w:type="pct"/>
        <w:tblCellMar>
          <w:left w:w="70" w:type="dxa"/>
          <w:right w:w="70" w:type="dxa"/>
        </w:tblCellMar>
        <w:tblLook w:val="04A0" w:firstRow="1" w:lastRow="0" w:firstColumn="1" w:lastColumn="0" w:noHBand="0" w:noVBand="1"/>
      </w:tblPr>
      <w:tblGrid>
        <w:gridCol w:w="4909"/>
        <w:gridCol w:w="1076"/>
        <w:gridCol w:w="1076"/>
        <w:gridCol w:w="1076"/>
        <w:gridCol w:w="1074"/>
      </w:tblGrid>
      <w:tr w:rsidR="00E9008A" w:rsidRPr="00316249" w:rsidTr="005B7D01">
        <w:trPr>
          <w:trHeight w:val="238"/>
          <w:tblHeader/>
        </w:trPr>
        <w:tc>
          <w:tcPr>
            <w:tcW w:w="266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665"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Cs/>
                <w:color w:val="000000"/>
                <w:sz w:val="18"/>
                <w:szCs w:val="18"/>
              </w:rPr>
            </w:pPr>
            <w:r w:rsidRPr="00316249">
              <w:rPr>
                <w:bCs/>
                <w:color w:val="000000"/>
                <w:sz w:val="18"/>
                <w:szCs w:val="18"/>
              </w:rPr>
              <w:t>Diferenças Temporárias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20.593</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17.194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8"/>
                <w:szCs w:val="18"/>
              </w:rPr>
            </w:pPr>
            <w:r w:rsidRPr="00316249">
              <w:rPr>
                <w:bCs/>
                <w:color w:val="000000"/>
                <w:sz w:val="18"/>
                <w:szCs w:val="18"/>
              </w:rPr>
              <w:t>83.118</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99.596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Prejuízo Fiscal e Base Negativa</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30.665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117.863</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128.059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20.593</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47.859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200.981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227.655 </w:t>
            </w:r>
          </w:p>
        </w:tc>
      </w:tr>
    </w:tbl>
    <w:p w:rsidR="00E9008A" w:rsidRPr="00316249" w:rsidRDefault="00E9008A" w:rsidP="00E9008A">
      <w:pPr>
        <w:jc w:val="both"/>
        <w:rPr>
          <w:rFonts w:eastAsia="Arial Unicode MS"/>
          <w:bCs/>
          <w:iCs/>
          <w:sz w:val="22"/>
          <w:szCs w:val="22"/>
        </w:rPr>
      </w:pPr>
    </w:p>
    <w:p w:rsidR="00E9008A" w:rsidRPr="00316249" w:rsidRDefault="00E9008A" w:rsidP="00E9008A">
      <w:pPr>
        <w:jc w:val="both"/>
        <w:rPr>
          <w:rFonts w:eastAsia="Arial Unicode MS"/>
          <w:bCs/>
          <w:iCs/>
          <w:sz w:val="22"/>
          <w:szCs w:val="22"/>
        </w:rPr>
      </w:pPr>
      <w:r w:rsidRPr="00316249">
        <w:rPr>
          <w:rFonts w:eastAsia="Arial Unicode MS"/>
          <w:bCs/>
          <w:iCs/>
          <w:sz w:val="22"/>
          <w:szCs w:val="22"/>
        </w:rPr>
        <w:t>A companhia não reconheceu ativo fiscal diferido sobre Provisões para Contingências ou Perdas Estimadas Sobre Crédito de Liquidação Duvidosa, por entender que tais diferenças temporárias gerem dúvidas quanto a sua realização nos prazos previstos na referida Instrução.</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VALORES A RECEBER DE PARCELA A E OUTROS ITENS FINANCEIROS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7"/>
        <w:gridCol w:w="1276"/>
        <w:gridCol w:w="992"/>
        <w:gridCol w:w="992"/>
        <w:gridCol w:w="924"/>
        <w:gridCol w:w="967"/>
        <w:gridCol w:w="830"/>
        <w:gridCol w:w="1035"/>
      </w:tblGrid>
      <w:tr w:rsidR="00E9008A" w:rsidRPr="004A794A" w:rsidTr="005B7D01">
        <w:trPr>
          <w:trHeight w:val="238"/>
          <w:tblHeader/>
        </w:trPr>
        <w:tc>
          <w:tcPr>
            <w:tcW w:w="3047" w:type="dxa"/>
            <w:shd w:val="clear" w:color="000000" w:fill="D9D9D9"/>
            <w:vAlign w:val="center"/>
            <w:hideMark/>
          </w:tcPr>
          <w:p w:rsidR="00E9008A" w:rsidRPr="004A794A" w:rsidRDefault="00E9008A" w:rsidP="005B7D01">
            <w:pPr>
              <w:spacing w:before="240" w:after="240"/>
              <w:rPr>
                <w:b/>
                <w:bCs/>
                <w:color w:val="000000"/>
                <w:sz w:val="14"/>
                <w:szCs w:val="14"/>
              </w:rPr>
            </w:pPr>
            <w:r w:rsidRPr="004A794A">
              <w:rPr>
                <w:b/>
                <w:bCs/>
                <w:color w:val="000000"/>
                <w:sz w:val="14"/>
                <w:szCs w:val="14"/>
              </w:rPr>
              <w:t xml:space="preserve">Ativos Financeiros Setoriais </w:t>
            </w:r>
          </w:p>
        </w:tc>
        <w:tc>
          <w:tcPr>
            <w:tcW w:w="1276" w:type="dxa"/>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Saldo em 31/12/2015</w:t>
            </w:r>
          </w:p>
          <w:p w:rsidR="00E9008A" w:rsidRPr="004A794A" w:rsidRDefault="00E9008A" w:rsidP="005B7D01">
            <w:pPr>
              <w:jc w:val="center"/>
              <w:rPr>
                <w:b/>
                <w:bCs/>
                <w:color w:val="000000"/>
                <w:sz w:val="14"/>
                <w:szCs w:val="14"/>
              </w:rPr>
            </w:pPr>
            <w:r w:rsidRPr="004A794A">
              <w:rPr>
                <w:b/>
                <w:bCs/>
                <w:color w:val="000000"/>
                <w:sz w:val="14"/>
                <w:szCs w:val="14"/>
              </w:rPr>
              <w:t>(Reapresentado)</w:t>
            </w:r>
          </w:p>
        </w:tc>
        <w:tc>
          <w:tcPr>
            <w:tcW w:w="992" w:type="dxa"/>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Constituição</w:t>
            </w:r>
          </w:p>
        </w:tc>
        <w:tc>
          <w:tcPr>
            <w:tcW w:w="992" w:type="dxa"/>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Amortização</w:t>
            </w:r>
          </w:p>
        </w:tc>
        <w:tc>
          <w:tcPr>
            <w:tcW w:w="924" w:type="dxa"/>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Atualização</w:t>
            </w:r>
          </w:p>
        </w:tc>
        <w:tc>
          <w:tcPr>
            <w:tcW w:w="967" w:type="dxa"/>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Saldo em 31/12/2016</w:t>
            </w:r>
          </w:p>
        </w:tc>
        <w:tc>
          <w:tcPr>
            <w:tcW w:w="830" w:type="dxa"/>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Circulante</w:t>
            </w:r>
          </w:p>
        </w:tc>
        <w:tc>
          <w:tcPr>
            <w:tcW w:w="1035" w:type="dxa"/>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Não Circulante</w:t>
            </w:r>
          </w:p>
        </w:tc>
      </w:tr>
      <w:tr w:rsidR="00E9008A" w:rsidRPr="004A794A" w:rsidTr="005B7D01">
        <w:trPr>
          <w:trHeight w:val="53"/>
        </w:trPr>
        <w:tc>
          <w:tcPr>
            <w:tcW w:w="3047" w:type="dxa"/>
            <w:shd w:val="clear" w:color="auto" w:fill="auto"/>
            <w:noWrap/>
            <w:vAlign w:val="center"/>
            <w:hideMark/>
          </w:tcPr>
          <w:p w:rsidR="00E9008A" w:rsidRPr="004A794A" w:rsidRDefault="00E9008A" w:rsidP="005B7D01">
            <w:pPr>
              <w:rPr>
                <w:b/>
                <w:bCs/>
                <w:color w:val="000000"/>
                <w:sz w:val="14"/>
                <w:szCs w:val="14"/>
              </w:rPr>
            </w:pPr>
            <w:r w:rsidRPr="004A794A">
              <w:rPr>
                <w:b/>
                <w:bCs/>
                <w:color w:val="000000"/>
                <w:sz w:val="14"/>
                <w:szCs w:val="14"/>
              </w:rPr>
              <w:t xml:space="preserve"> CVA Ativa </w:t>
            </w:r>
          </w:p>
        </w:tc>
        <w:tc>
          <w:tcPr>
            <w:tcW w:w="1276"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542.376 </w:t>
            </w:r>
          </w:p>
        </w:tc>
        <w:tc>
          <w:tcPr>
            <w:tcW w:w="992"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119.769 </w:t>
            </w:r>
          </w:p>
        </w:tc>
        <w:tc>
          <w:tcPr>
            <w:tcW w:w="992"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(469.583)</w:t>
            </w:r>
          </w:p>
        </w:tc>
        <w:tc>
          <w:tcPr>
            <w:tcW w:w="924"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36.339 </w:t>
            </w:r>
          </w:p>
        </w:tc>
        <w:tc>
          <w:tcPr>
            <w:tcW w:w="967"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228.901 </w:t>
            </w:r>
          </w:p>
        </w:tc>
        <w:tc>
          <w:tcPr>
            <w:tcW w:w="830" w:type="dxa"/>
            <w:shd w:val="clear" w:color="auto" w:fill="auto"/>
            <w:noWrap/>
            <w:vAlign w:val="center"/>
          </w:tcPr>
          <w:p w:rsidR="00E9008A" w:rsidRPr="004A794A" w:rsidRDefault="00E9008A" w:rsidP="005B7D01">
            <w:pPr>
              <w:jc w:val="right"/>
              <w:rPr>
                <w:b/>
                <w:bCs/>
                <w:color w:val="000000"/>
                <w:sz w:val="14"/>
                <w:szCs w:val="14"/>
              </w:rPr>
            </w:pPr>
            <w:r w:rsidRPr="004A794A">
              <w:rPr>
                <w:b/>
                <w:bCs/>
                <w:color w:val="000000"/>
                <w:sz w:val="14"/>
                <w:szCs w:val="14"/>
              </w:rPr>
              <w:t xml:space="preserve">228.901 </w:t>
            </w:r>
          </w:p>
        </w:tc>
        <w:tc>
          <w:tcPr>
            <w:tcW w:w="1035" w:type="dxa"/>
            <w:shd w:val="clear" w:color="auto" w:fill="auto"/>
            <w:noWrap/>
            <w:vAlign w:val="center"/>
          </w:tcPr>
          <w:p w:rsidR="00E9008A" w:rsidRPr="004A794A" w:rsidRDefault="00E9008A" w:rsidP="005B7D01">
            <w:pPr>
              <w:jc w:val="right"/>
              <w:rPr>
                <w:b/>
                <w:bCs/>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Aquisição de Energia – (</w:t>
            </w:r>
            <w:proofErr w:type="spellStart"/>
            <w:r w:rsidRPr="004A794A">
              <w:rPr>
                <w:color w:val="000000"/>
                <w:sz w:val="14"/>
                <w:szCs w:val="14"/>
              </w:rPr>
              <w:t>CVAenerg</w:t>
            </w:r>
            <w:proofErr w:type="spellEnd"/>
            <w:r w:rsidRPr="004A794A">
              <w:rPr>
                <w:color w:val="000000"/>
                <w:sz w:val="14"/>
                <w:szCs w:val="14"/>
              </w:rPr>
              <w:t xml:space="preserve">) (a) </w:t>
            </w:r>
          </w:p>
        </w:tc>
        <w:tc>
          <w:tcPr>
            <w:tcW w:w="1276"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286.281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89.157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(219.237)</w:t>
            </w:r>
          </w:p>
        </w:tc>
        <w:tc>
          <w:tcPr>
            <w:tcW w:w="924"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29.531 </w:t>
            </w:r>
          </w:p>
        </w:tc>
        <w:tc>
          <w:tcPr>
            <w:tcW w:w="967" w:type="dxa"/>
            <w:shd w:val="clear" w:color="000000" w:fill="FFFFFF"/>
            <w:noWrap/>
            <w:vAlign w:val="center"/>
          </w:tcPr>
          <w:p w:rsidR="00E9008A" w:rsidRPr="004A794A" w:rsidRDefault="00E9008A" w:rsidP="005B7D01">
            <w:pPr>
              <w:jc w:val="right"/>
              <w:rPr>
                <w:color w:val="000000"/>
                <w:sz w:val="14"/>
                <w:szCs w:val="14"/>
              </w:rPr>
            </w:pPr>
            <w:r w:rsidRPr="004A794A">
              <w:rPr>
                <w:color w:val="000000"/>
                <w:sz w:val="14"/>
                <w:szCs w:val="14"/>
              </w:rPr>
              <w:t xml:space="preserve">    185.732 </w:t>
            </w:r>
          </w:p>
        </w:tc>
        <w:tc>
          <w:tcPr>
            <w:tcW w:w="830" w:type="dxa"/>
            <w:shd w:val="clear" w:color="auto" w:fill="auto"/>
            <w:noWrap/>
            <w:vAlign w:val="center"/>
          </w:tcPr>
          <w:p w:rsidR="00E9008A" w:rsidRPr="004A794A" w:rsidRDefault="00E9008A" w:rsidP="005B7D01">
            <w:pPr>
              <w:jc w:val="right"/>
              <w:rPr>
                <w:bCs/>
                <w:color w:val="000000"/>
                <w:sz w:val="14"/>
                <w:szCs w:val="14"/>
              </w:rPr>
            </w:pPr>
            <w:r w:rsidRPr="004A794A">
              <w:rPr>
                <w:bCs/>
                <w:color w:val="000000"/>
                <w:sz w:val="14"/>
                <w:szCs w:val="14"/>
              </w:rPr>
              <w:t xml:space="preserve">      185.732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w:t>
            </w:r>
            <w:proofErr w:type="spellStart"/>
            <w:r w:rsidRPr="004A794A">
              <w:rPr>
                <w:color w:val="000000"/>
                <w:sz w:val="14"/>
                <w:szCs w:val="14"/>
              </w:rPr>
              <w:t>Proinfa</w:t>
            </w:r>
            <w:proofErr w:type="spellEnd"/>
            <w:r w:rsidRPr="004A794A">
              <w:rPr>
                <w:color w:val="000000"/>
                <w:sz w:val="14"/>
                <w:szCs w:val="14"/>
              </w:rPr>
              <w:t xml:space="preserve"> (a) </w:t>
            </w:r>
          </w:p>
        </w:tc>
        <w:tc>
          <w:tcPr>
            <w:tcW w:w="1276"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1.458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10.531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(2.571)</w:t>
            </w:r>
          </w:p>
        </w:tc>
        <w:tc>
          <w:tcPr>
            <w:tcW w:w="924"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1.516 </w:t>
            </w:r>
          </w:p>
        </w:tc>
        <w:tc>
          <w:tcPr>
            <w:tcW w:w="967" w:type="dxa"/>
            <w:shd w:val="clear" w:color="000000" w:fill="FFFFFF"/>
            <w:noWrap/>
            <w:vAlign w:val="center"/>
          </w:tcPr>
          <w:p w:rsidR="00E9008A" w:rsidRPr="004A794A" w:rsidRDefault="00E9008A" w:rsidP="005B7D01">
            <w:pPr>
              <w:jc w:val="right"/>
              <w:rPr>
                <w:color w:val="000000"/>
                <w:sz w:val="14"/>
                <w:szCs w:val="14"/>
              </w:rPr>
            </w:pPr>
            <w:r w:rsidRPr="004A794A">
              <w:rPr>
                <w:color w:val="000000"/>
                <w:sz w:val="14"/>
                <w:szCs w:val="14"/>
              </w:rPr>
              <w:t xml:space="preserve">      10.934 </w:t>
            </w:r>
          </w:p>
        </w:tc>
        <w:tc>
          <w:tcPr>
            <w:tcW w:w="830" w:type="dxa"/>
            <w:shd w:val="clear" w:color="auto" w:fill="auto"/>
            <w:noWrap/>
            <w:vAlign w:val="center"/>
          </w:tcPr>
          <w:p w:rsidR="00E9008A" w:rsidRPr="004A794A" w:rsidRDefault="00E9008A" w:rsidP="005B7D01">
            <w:pPr>
              <w:jc w:val="right"/>
              <w:rPr>
                <w:bCs/>
                <w:color w:val="000000"/>
                <w:sz w:val="14"/>
                <w:szCs w:val="14"/>
              </w:rPr>
            </w:pPr>
            <w:r w:rsidRPr="004A794A">
              <w:rPr>
                <w:bCs/>
                <w:color w:val="000000"/>
                <w:sz w:val="14"/>
                <w:szCs w:val="14"/>
              </w:rPr>
              <w:t xml:space="preserve">        10.934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Transporte Rede Básica (a) </w:t>
            </w:r>
          </w:p>
        </w:tc>
        <w:tc>
          <w:tcPr>
            <w:tcW w:w="1276"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7.865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2.866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(7.878)</w:t>
            </w:r>
          </w:p>
        </w:tc>
        <w:tc>
          <w:tcPr>
            <w:tcW w:w="924"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1.674 </w:t>
            </w:r>
          </w:p>
        </w:tc>
        <w:tc>
          <w:tcPr>
            <w:tcW w:w="967" w:type="dxa"/>
            <w:shd w:val="clear" w:color="000000" w:fill="FFFFFF"/>
            <w:noWrap/>
            <w:vAlign w:val="center"/>
          </w:tcPr>
          <w:p w:rsidR="00E9008A" w:rsidRPr="004A794A" w:rsidRDefault="00E9008A" w:rsidP="005B7D01">
            <w:pPr>
              <w:jc w:val="right"/>
              <w:rPr>
                <w:color w:val="000000"/>
                <w:sz w:val="14"/>
                <w:szCs w:val="14"/>
              </w:rPr>
            </w:pPr>
            <w:r w:rsidRPr="004A794A">
              <w:rPr>
                <w:color w:val="000000"/>
                <w:sz w:val="14"/>
                <w:szCs w:val="14"/>
              </w:rPr>
              <w:t xml:space="preserve">        4.527 </w:t>
            </w:r>
          </w:p>
        </w:tc>
        <w:tc>
          <w:tcPr>
            <w:tcW w:w="830" w:type="dxa"/>
            <w:shd w:val="clear" w:color="auto" w:fill="auto"/>
            <w:noWrap/>
            <w:vAlign w:val="center"/>
          </w:tcPr>
          <w:p w:rsidR="00E9008A" w:rsidRPr="004A794A" w:rsidRDefault="00E9008A" w:rsidP="005B7D01">
            <w:pPr>
              <w:jc w:val="right"/>
              <w:rPr>
                <w:bCs/>
                <w:color w:val="000000"/>
                <w:sz w:val="14"/>
                <w:szCs w:val="14"/>
              </w:rPr>
            </w:pPr>
            <w:r w:rsidRPr="004A794A">
              <w:rPr>
                <w:bCs/>
                <w:color w:val="000000"/>
                <w:sz w:val="14"/>
                <w:szCs w:val="14"/>
              </w:rPr>
              <w:t xml:space="preserve">          4.527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Transporte de Energia – Itaipu (a) </w:t>
            </w:r>
          </w:p>
        </w:tc>
        <w:tc>
          <w:tcPr>
            <w:tcW w:w="1276"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1.429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583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(1.042)</w:t>
            </w:r>
          </w:p>
        </w:tc>
        <w:tc>
          <w:tcPr>
            <w:tcW w:w="924"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235 </w:t>
            </w:r>
          </w:p>
        </w:tc>
        <w:tc>
          <w:tcPr>
            <w:tcW w:w="967" w:type="dxa"/>
            <w:shd w:val="clear" w:color="000000" w:fill="FFFFFF"/>
            <w:noWrap/>
            <w:vAlign w:val="center"/>
          </w:tcPr>
          <w:p w:rsidR="00E9008A" w:rsidRPr="004A794A" w:rsidRDefault="00E9008A" w:rsidP="005B7D01">
            <w:pPr>
              <w:jc w:val="right"/>
              <w:rPr>
                <w:color w:val="000000"/>
                <w:sz w:val="14"/>
                <w:szCs w:val="14"/>
              </w:rPr>
            </w:pPr>
            <w:r w:rsidRPr="004A794A">
              <w:rPr>
                <w:color w:val="000000"/>
                <w:sz w:val="14"/>
                <w:szCs w:val="14"/>
              </w:rPr>
              <w:t xml:space="preserve">        1.205 </w:t>
            </w:r>
          </w:p>
        </w:tc>
        <w:tc>
          <w:tcPr>
            <w:tcW w:w="830" w:type="dxa"/>
            <w:shd w:val="clear" w:color="auto" w:fill="auto"/>
            <w:noWrap/>
            <w:vAlign w:val="center"/>
          </w:tcPr>
          <w:p w:rsidR="00E9008A" w:rsidRPr="004A794A" w:rsidRDefault="00E9008A" w:rsidP="005B7D01">
            <w:pPr>
              <w:jc w:val="right"/>
              <w:rPr>
                <w:bCs/>
                <w:color w:val="000000"/>
                <w:sz w:val="14"/>
                <w:szCs w:val="14"/>
              </w:rPr>
            </w:pPr>
            <w:r w:rsidRPr="004A794A">
              <w:rPr>
                <w:bCs/>
                <w:color w:val="000000"/>
                <w:sz w:val="14"/>
                <w:szCs w:val="14"/>
              </w:rPr>
              <w:t xml:space="preserve">          1.205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Encargos de Serviços de Sistema – ESS (a) </w:t>
            </w:r>
          </w:p>
        </w:tc>
        <w:tc>
          <w:tcPr>
            <w:tcW w:w="1276"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26.883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13.892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(42.823)</w:t>
            </w:r>
          </w:p>
        </w:tc>
        <w:tc>
          <w:tcPr>
            <w:tcW w:w="924"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2.048 </w:t>
            </w:r>
          </w:p>
        </w:tc>
        <w:tc>
          <w:tcPr>
            <w:tcW w:w="967" w:type="dxa"/>
            <w:shd w:val="clear" w:color="000000" w:fill="FFFFFF"/>
            <w:noWrap/>
            <w:vAlign w:val="center"/>
          </w:tcPr>
          <w:p w:rsidR="00E9008A" w:rsidRPr="004A794A" w:rsidRDefault="00E9008A" w:rsidP="005B7D01">
            <w:pPr>
              <w:jc w:val="right"/>
              <w:rPr>
                <w:color w:val="000000"/>
                <w:sz w:val="14"/>
                <w:szCs w:val="14"/>
              </w:rPr>
            </w:pPr>
            <w:r w:rsidRPr="004A794A">
              <w:rPr>
                <w:color w:val="000000"/>
                <w:sz w:val="14"/>
                <w:szCs w:val="14"/>
              </w:rPr>
              <w:t xml:space="preserve">              -   </w:t>
            </w:r>
          </w:p>
        </w:tc>
        <w:tc>
          <w:tcPr>
            <w:tcW w:w="830" w:type="dxa"/>
            <w:shd w:val="clear" w:color="auto" w:fill="auto"/>
            <w:noWrap/>
            <w:vAlign w:val="center"/>
          </w:tcPr>
          <w:p w:rsidR="00E9008A" w:rsidRPr="004A794A" w:rsidRDefault="00E9008A" w:rsidP="005B7D01">
            <w:pPr>
              <w:jc w:val="right"/>
              <w:rPr>
                <w:bCs/>
                <w:color w:val="000000"/>
                <w:sz w:val="14"/>
                <w:szCs w:val="14"/>
              </w:rPr>
            </w:pP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214"/>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Conta de Desenvolvimento Energético – CDE (a) </w:t>
            </w:r>
          </w:p>
        </w:tc>
        <w:tc>
          <w:tcPr>
            <w:tcW w:w="1276"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218.460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2.740 </w:t>
            </w:r>
          </w:p>
        </w:tc>
        <w:tc>
          <w:tcPr>
            <w:tcW w:w="992"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(196.032)</w:t>
            </w:r>
          </w:p>
        </w:tc>
        <w:tc>
          <w:tcPr>
            <w:tcW w:w="924" w:type="dxa"/>
            <w:shd w:val="clear" w:color="000000" w:fill="FFFFFF"/>
            <w:noWrap/>
            <w:vAlign w:val="center"/>
          </w:tcPr>
          <w:p w:rsidR="00E9008A" w:rsidRPr="004A794A" w:rsidRDefault="00E9008A" w:rsidP="005B7D01">
            <w:pPr>
              <w:jc w:val="right"/>
              <w:rPr>
                <w:sz w:val="14"/>
                <w:szCs w:val="14"/>
              </w:rPr>
            </w:pPr>
            <w:r w:rsidRPr="004A794A">
              <w:rPr>
                <w:sz w:val="14"/>
                <w:szCs w:val="14"/>
              </w:rPr>
              <w:t xml:space="preserve">           1.335 </w:t>
            </w:r>
          </w:p>
        </w:tc>
        <w:tc>
          <w:tcPr>
            <w:tcW w:w="967" w:type="dxa"/>
            <w:shd w:val="clear" w:color="000000" w:fill="FFFFFF"/>
            <w:noWrap/>
            <w:vAlign w:val="center"/>
          </w:tcPr>
          <w:p w:rsidR="00E9008A" w:rsidRPr="004A794A" w:rsidRDefault="00E9008A" w:rsidP="005B7D01">
            <w:pPr>
              <w:jc w:val="right"/>
              <w:rPr>
                <w:color w:val="000000"/>
                <w:sz w:val="14"/>
                <w:szCs w:val="14"/>
              </w:rPr>
            </w:pPr>
            <w:r w:rsidRPr="004A794A">
              <w:rPr>
                <w:color w:val="000000"/>
                <w:sz w:val="14"/>
                <w:szCs w:val="14"/>
              </w:rPr>
              <w:t xml:space="preserve">      26.503 </w:t>
            </w:r>
          </w:p>
        </w:tc>
        <w:tc>
          <w:tcPr>
            <w:tcW w:w="830" w:type="dxa"/>
            <w:shd w:val="clear" w:color="auto" w:fill="auto"/>
            <w:noWrap/>
            <w:vAlign w:val="center"/>
          </w:tcPr>
          <w:p w:rsidR="00E9008A" w:rsidRPr="004A794A" w:rsidRDefault="00E9008A" w:rsidP="005B7D01">
            <w:pPr>
              <w:jc w:val="right"/>
              <w:rPr>
                <w:bCs/>
                <w:color w:val="000000"/>
                <w:sz w:val="14"/>
                <w:szCs w:val="14"/>
              </w:rPr>
            </w:pPr>
            <w:r w:rsidRPr="004A794A">
              <w:rPr>
                <w:bCs/>
                <w:color w:val="000000"/>
                <w:sz w:val="14"/>
                <w:szCs w:val="14"/>
              </w:rPr>
              <w:t xml:space="preserve">26.503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238"/>
        </w:trPr>
        <w:tc>
          <w:tcPr>
            <w:tcW w:w="3047" w:type="dxa"/>
            <w:shd w:val="clear" w:color="auto" w:fill="auto"/>
            <w:noWrap/>
            <w:vAlign w:val="center"/>
            <w:hideMark/>
          </w:tcPr>
          <w:p w:rsidR="00E9008A" w:rsidRPr="004A794A" w:rsidRDefault="00E9008A" w:rsidP="005B7D01">
            <w:pPr>
              <w:rPr>
                <w:b/>
                <w:bCs/>
                <w:color w:val="000000"/>
                <w:sz w:val="14"/>
                <w:szCs w:val="14"/>
              </w:rPr>
            </w:pPr>
            <w:r w:rsidRPr="004A794A">
              <w:rPr>
                <w:b/>
                <w:bCs/>
                <w:color w:val="000000"/>
                <w:sz w:val="14"/>
                <w:szCs w:val="14"/>
              </w:rPr>
              <w:t xml:space="preserve"> Demais Ativos Financeiros Setoriais </w:t>
            </w:r>
          </w:p>
        </w:tc>
        <w:tc>
          <w:tcPr>
            <w:tcW w:w="1276"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171.495 </w:t>
            </w:r>
          </w:p>
        </w:tc>
        <w:tc>
          <w:tcPr>
            <w:tcW w:w="992"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264.108 </w:t>
            </w:r>
          </w:p>
        </w:tc>
        <w:tc>
          <w:tcPr>
            <w:tcW w:w="992"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(298.894)</w:t>
            </w:r>
          </w:p>
        </w:tc>
        <w:tc>
          <w:tcPr>
            <w:tcW w:w="924"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26.823 </w:t>
            </w:r>
          </w:p>
        </w:tc>
        <w:tc>
          <w:tcPr>
            <w:tcW w:w="967"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163.532 </w:t>
            </w:r>
          </w:p>
        </w:tc>
        <w:tc>
          <w:tcPr>
            <w:tcW w:w="830" w:type="dxa"/>
            <w:shd w:val="clear" w:color="auto" w:fill="auto"/>
            <w:noWrap/>
            <w:vAlign w:val="center"/>
          </w:tcPr>
          <w:p w:rsidR="00E9008A" w:rsidRPr="004A794A" w:rsidRDefault="00E9008A" w:rsidP="005B7D01">
            <w:pPr>
              <w:jc w:val="right"/>
              <w:rPr>
                <w:b/>
                <w:bCs/>
                <w:sz w:val="14"/>
                <w:szCs w:val="14"/>
              </w:rPr>
            </w:pPr>
            <w:r w:rsidRPr="004A794A">
              <w:rPr>
                <w:b/>
                <w:bCs/>
                <w:sz w:val="14"/>
                <w:szCs w:val="14"/>
              </w:rPr>
              <w:t xml:space="preserve">163.532 </w:t>
            </w:r>
          </w:p>
        </w:tc>
        <w:tc>
          <w:tcPr>
            <w:tcW w:w="1035" w:type="dxa"/>
            <w:shd w:val="clear" w:color="auto" w:fill="auto"/>
            <w:noWrap/>
            <w:vAlign w:val="center"/>
          </w:tcPr>
          <w:p w:rsidR="00E9008A" w:rsidRPr="004A794A" w:rsidRDefault="00E9008A" w:rsidP="005B7D01">
            <w:pPr>
              <w:jc w:val="right"/>
              <w:rPr>
                <w:b/>
                <w:bCs/>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Neutralidade da Parcela A (b) </w:t>
            </w:r>
          </w:p>
        </w:tc>
        <w:tc>
          <w:tcPr>
            <w:tcW w:w="1276"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1.576 </w:t>
            </w:r>
          </w:p>
        </w:tc>
        <w:tc>
          <w:tcPr>
            <w:tcW w:w="992"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8.854 </w:t>
            </w:r>
          </w:p>
        </w:tc>
        <w:tc>
          <w:tcPr>
            <w:tcW w:w="992"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(3.436)</w:t>
            </w:r>
          </w:p>
        </w:tc>
        <w:tc>
          <w:tcPr>
            <w:tcW w:w="924"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98 </w:t>
            </w:r>
          </w:p>
        </w:tc>
        <w:tc>
          <w:tcPr>
            <w:tcW w:w="967"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7.092 </w:t>
            </w:r>
          </w:p>
        </w:tc>
        <w:tc>
          <w:tcPr>
            <w:tcW w:w="830" w:type="dxa"/>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7.092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w:t>
            </w:r>
            <w:proofErr w:type="spellStart"/>
            <w:r w:rsidRPr="004A794A">
              <w:rPr>
                <w:color w:val="000000"/>
                <w:sz w:val="14"/>
                <w:szCs w:val="14"/>
              </w:rPr>
              <w:t>Sobrecontratação</w:t>
            </w:r>
            <w:proofErr w:type="spellEnd"/>
            <w:r w:rsidRPr="004A794A">
              <w:rPr>
                <w:color w:val="000000"/>
                <w:sz w:val="14"/>
                <w:szCs w:val="14"/>
              </w:rPr>
              <w:t xml:space="preserve"> de Energia (b) </w:t>
            </w:r>
          </w:p>
        </w:tc>
        <w:tc>
          <w:tcPr>
            <w:tcW w:w="1276"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   </w:t>
            </w:r>
          </w:p>
        </w:tc>
        <w:tc>
          <w:tcPr>
            <w:tcW w:w="992"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87.323 </w:t>
            </w:r>
          </w:p>
        </w:tc>
        <w:tc>
          <w:tcPr>
            <w:tcW w:w="992"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(68.152)</w:t>
            </w:r>
          </w:p>
        </w:tc>
        <w:tc>
          <w:tcPr>
            <w:tcW w:w="924"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5.990 </w:t>
            </w:r>
          </w:p>
        </w:tc>
        <w:tc>
          <w:tcPr>
            <w:tcW w:w="967"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25.161 </w:t>
            </w:r>
          </w:p>
        </w:tc>
        <w:tc>
          <w:tcPr>
            <w:tcW w:w="830" w:type="dxa"/>
            <w:shd w:val="clear" w:color="auto" w:fill="auto"/>
            <w:vAlign w:val="center"/>
          </w:tcPr>
          <w:p w:rsidR="00E9008A" w:rsidRPr="004A794A" w:rsidRDefault="00E9008A" w:rsidP="005B7D01">
            <w:pPr>
              <w:jc w:val="right"/>
              <w:outlineLvl w:val="0"/>
              <w:rPr>
                <w:sz w:val="14"/>
                <w:szCs w:val="14"/>
              </w:rPr>
            </w:pPr>
            <w:r w:rsidRPr="004A794A">
              <w:rPr>
                <w:sz w:val="14"/>
                <w:szCs w:val="14"/>
              </w:rPr>
              <w:t xml:space="preserve">      25.161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t xml:space="preserve"> Diferimento de Reposição na RTP (b) </w:t>
            </w:r>
          </w:p>
        </w:tc>
        <w:tc>
          <w:tcPr>
            <w:tcW w:w="1276"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146.357 </w:t>
            </w:r>
          </w:p>
        </w:tc>
        <w:tc>
          <w:tcPr>
            <w:tcW w:w="992" w:type="dxa"/>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111.106 </w:t>
            </w:r>
          </w:p>
        </w:tc>
        <w:tc>
          <w:tcPr>
            <w:tcW w:w="992"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(164.668)</w:t>
            </w:r>
          </w:p>
        </w:tc>
        <w:tc>
          <w:tcPr>
            <w:tcW w:w="924"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16.762 </w:t>
            </w:r>
          </w:p>
        </w:tc>
        <w:tc>
          <w:tcPr>
            <w:tcW w:w="967"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109.557 </w:t>
            </w:r>
          </w:p>
        </w:tc>
        <w:tc>
          <w:tcPr>
            <w:tcW w:w="830" w:type="dxa"/>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109.557 </w:t>
            </w:r>
          </w:p>
        </w:tc>
        <w:tc>
          <w:tcPr>
            <w:tcW w:w="1035" w:type="dxa"/>
            <w:shd w:val="clear" w:color="auto" w:fill="auto"/>
            <w:noWrap/>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tcPr>
          <w:p w:rsidR="00E9008A" w:rsidRPr="004A794A" w:rsidRDefault="00E9008A" w:rsidP="005B7D01">
            <w:pPr>
              <w:ind w:firstLineChars="101" w:firstLine="141"/>
              <w:rPr>
                <w:color w:val="000000"/>
                <w:sz w:val="14"/>
                <w:szCs w:val="14"/>
              </w:rPr>
            </w:pPr>
            <w:r w:rsidRPr="004A794A">
              <w:rPr>
                <w:color w:val="000000"/>
                <w:sz w:val="14"/>
                <w:szCs w:val="14"/>
              </w:rPr>
              <w:t xml:space="preserve"> Implantação MCSPSE</w:t>
            </w:r>
          </w:p>
        </w:tc>
        <w:tc>
          <w:tcPr>
            <w:tcW w:w="1276"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992"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14.338 </w:t>
            </w:r>
          </w:p>
        </w:tc>
        <w:tc>
          <w:tcPr>
            <w:tcW w:w="992"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(3.295)</w:t>
            </w:r>
          </w:p>
        </w:tc>
        <w:tc>
          <w:tcPr>
            <w:tcW w:w="924"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2.834 </w:t>
            </w:r>
          </w:p>
        </w:tc>
        <w:tc>
          <w:tcPr>
            <w:tcW w:w="967"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13.877 </w:t>
            </w:r>
          </w:p>
        </w:tc>
        <w:tc>
          <w:tcPr>
            <w:tcW w:w="830" w:type="dxa"/>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13.877 </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46"/>
        </w:trPr>
        <w:tc>
          <w:tcPr>
            <w:tcW w:w="3047" w:type="dxa"/>
            <w:shd w:val="clear" w:color="auto" w:fill="auto"/>
            <w:noWrap/>
            <w:vAlign w:val="center"/>
            <w:hideMark/>
          </w:tcPr>
          <w:p w:rsidR="00E9008A" w:rsidRPr="004A794A" w:rsidRDefault="00E9008A" w:rsidP="005B7D01">
            <w:pPr>
              <w:ind w:firstLineChars="101" w:firstLine="141"/>
              <w:rPr>
                <w:color w:val="000000"/>
                <w:sz w:val="14"/>
                <w:szCs w:val="14"/>
              </w:rPr>
            </w:pPr>
            <w:r w:rsidRPr="004A794A">
              <w:rPr>
                <w:color w:val="000000"/>
                <w:sz w:val="14"/>
                <w:szCs w:val="14"/>
              </w:rPr>
              <w:lastRenderedPageBreak/>
              <w:t xml:space="preserve"> Outros (b) </w:t>
            </w:r>
          </w:p>
        </w:tc>
        <w:tc>
          <w:tcPr>
            <w:tcW w:w="1276"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23.562 </w:t>
            </w:r>
          </w:p>
        </w:tc>
        <w:tc>
          <w:tcPr>
            <w:tcW w:w="992" w:type="dxa"/>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42.487 </w:t>
            </w:r>
          </w:p>
        </w:tc>
        <w:tc>
          <w:tcPr>
            <w:tcW w:w="992" w:type="dxa"/>
            <w:shd w:val="clear" w:color="000000" w:fill="FFFFFF"/>
            <w:noWrap/>
            <w:vAlign w:val="center"/>
          </w:tcPr>
          <w:p w:rsidR="00E9008A" w:rsidRPr="004A794A" w:rsidRDefault="00E9008A" w:rsidP="005B7D01">
            <w:pPr>
              <w:jc w:val="right"/>
              <w:outlineLvl w:val="0"/>
              <w:rPr>
                <w:color w:val="000000"/>
                <w:sz w:val="14"/>
                <w:szCs w:val="14"/>
              </w:rPr>
            </w:pPr>
            <w:r w:rsidRPr="004A794A">
              <w:rPr>
                <w:color w:val="000000"/>
                <w:sz w:val="14"/>
                <w:szCs w:val="14"/>
              </w:rPr>
              <w:t xml:space="preserve">       </w:t>
            </w:r>
            <w:r w:rsidRPr="00747E73">
              <w:rPr>
                <w:color w:val="000000"/>
                <w:sz w:val="14"/>
                <w:szCs w:val="14"/>
              </w:rPr>
              <w:t>(59.342)</w:t>
            </w:r>
          </w:p>
        </w:tc>
        <w:tc>
          <w:tcPr>
            <w:tcW w:w="924"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1.139 </w:t>
            </w:r>
          </w:p>
        </w:tc>
        <w:tc>
          <w:tcPr>
            <w:tcW w:w="967" w:type="dxa"/>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7.845</w:t>
            </w:r>
          </w:p>
        </w:tc>
        <w:tc>
          <w:tcPr>
            <w:tcW w:w="830" w:type="dxa"/>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7.845</w:t>
            </w:r>
          </w:p>
        </w:tc>
        <w:tc>
          <w:tcPr>
            <w:tcW w:w="1035" w:type="dxa"/>
            <w:shd w:val="clear" w:color="auto" w:fill="auto"/>
            <w:vAlign w:val="center"/>
          </w:tcPr>
          <w:p w:rsidR="00E9008A" w:rsidRPr="004A794A" w:rsidRDefault="00E9008A" w:rsidP="005B7D01">
            <w:pPr>
              <w:jc w:val="right"/>
              <w:rPr>
                <w:color w:val="000000"/>
                <w:sz w:val="14"/>
                <w:szCs w:val="14"/>
              </w:rPr>
            </w:pPr>
          </w:p>
        </w:tc>
      </w:tr>
      <w:tr w:rsidR="00E9008A" w:rsidRPr="004A794A" w:rsidTr="005B7D01">
        <w:trPr>
          <w:trHeight w:val="93"/>
        </w:trPr>
        <w:tc>
          <w:tcPr>
            <w:tcW w:w="3047" w:type="dxa"/>
            <w:shd w:val="clear" w:color="auto" w:fill="auto"/>
            <w:noWrap/>
            <w:vAlign w:val="center"/>
            <w:hideMark/>
          </w:tcPr>
          <w:p w:rsidR="00E9008A" w:rsidRPr="004A794A" w:rsidRDefault="00E9008A" w:rsidP="005B7D01">
            <w:pPr>
              <w:rPr>
                <w:b/>
                <w:bCs/>
                <w:color w:val="000000"/>
                <w:sz w:val="14"/>
                <w:szCs w:val="14"/>
              </w:rPr>
            </w:pPr>
            <w:r w:rsidRPr="004A794A">
              <w:rPr>
                <w:b/>
                <w:bCs/>
                <w:color w:val="000000"/>
                <w:sz w:val="14"/>
                <w:szCs w:val="14"/>
              </w:rPr>
              <w:t xml:space="preserve"> Total Ativos Financeiros Setoriais </w:t>
            </w:r>
          </w:p>
        </w:tc>
        <w:tc>
          <w:tcPr>
            <w:tcW w:w="1276"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713.871 </w:t>
            </w:r>
          </w:p>
        </w:tc>
        <w:tc>
          <w:tcPr>
            <w:tcW w:w="992"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383.877 </w:t>
            </w:r>
          </w:p>
        </w:tc>
        <w:tc>
          <w:tcPr>
            <w:tcW w:w="992"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(768.477)</w:t>
            </w:r>
          </w:p>
        </w:tc>
        <w:tc>
          <w:tcPr>
            <w:tcW w:w="924"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63.162 </w:t>
            </w:r>
          </w:p>
        </w:tc>
        <w:tc>
          <w:tcPr>
            <w:tcW w:w="967" w:type="dxa"/>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392.433 </w:t>
            </w:r>
          </w:p>
        </w:tc>
        <w:tc>
          <w:tcPr>
            <w:tcW w:w="830" w:type="dxa"/>
            <w:shd w:val="clear" w:color="auto" w:fill="auto"/>
            <w:noWrap/>
            <w:vAlign w:val="center"/>
          </w:tcPr>
          <w:p w:rsidR="00E9008A" w:rsidRPr="004A794A" w:rsidRDefault="00E9008A" w:rsidP="005B7D01">
            <w:pPr>
              <w:jc w:val="right"/>
              <w:rPr>
                <w:b/>
                <w:bCs/>
                <w:color w:val="000000"/>
                <w:sz w:val="14"/>
                <w:szCs w:val="14"/>
              </w:rPr>
            </w:pPr>
            <w:r w:rsidRPr="004A794A">
              <w:rPr>
                <w:b/>
                <w:bCs/>
                <w:sz w:val="14"/>
                <w:szCs w:val="14"/>
              </w:rPr>
              <w:t>392.433</w:t>
            </w:r>
            <w:r w:rsidRPr="004A794A">
              <w:rPr>
                <w:b/>
                <w:bCs/>
                <w:color w:val="000000"/>
                <w:sz w:val="14"/>
                <w:szCs w:val="14"/>
              </w:rPr>
              <w:t xml:space="preserve">     </w:t>
            </w:r>
          </w:p>
        </w:tc>
        <w:tc>
          <w:tcPr>
            <w:tcW w:w="1035" w:type="dxa"/>
            <w:shd w:val="clear" w:color="auto" w:fill="auto"/>
            <w:noWrap/>
            <w:vAlign w:val="center"/>
          </w:tcPr>
          <w:p w:rsidR="00E9008A" w:rsidRPr="004A794A" w:rsidRDefault="00E9008A" w:rsidP="005B7D01">
            <w:pPr>
              <w:jc w:val="right"/>
              <w:rPr>
                <w:b/>
                <w:bCs/>
                <w:color w:val="000000"/>
                <w:sz w:val="14"/>
                <w:szCs w:val="14"/>
              </w:rPr>
            </w:pPr>
          </w:p>
        </w:tc>
      </w:tr>
    </w:tbl>
    <w:p w:rsidR="007F7D85" w:rsidRDefault="007F7D85" w:rsidP="00E9008A">
      <w:pPr>
        <w:tabs>
          <w:tab w:val="num" w:pos="567"/>
        </w:tabs>
        <w:rPr>
          <w:b/>
          <w:bCs/>
          <w:sz w:val="22"/>
          <w:szCs w:val="22"/>
        </w:rPr>
      </w:pPr>
    </w:p>
    <w:p w:rsidR="007F7D85" w:rsidRDefault="007F7D85">
      <w:pPr>
        <w:rPr>
          <w:b/>
          <w:bCs/>
          <w:sz w:val="22"/>
          <w:szCs w:val="22"/>
        </w:rPr>
      </w:pPr>
      <w:r>
        <w:rPr>
          <w:b/>
          <w:bCs/>
          <w:sz w:val="22"/>
          <w:szCs w:val="22"/>
        </w:rPr>
        <w:br w:type="page"/>
      </w:r>
    </w:p>
    <w:p w:rsidR="00E9008A" w:rsidRPr="004A794A" w:rsidRDefault="00E9008A" w:rsidP="00E9008A">
      <w:pPr>
        <w:tabs>
          <w:tab w:val="num" w:pos="567"/>
        </w:tabs>
        <w:rPr>
          <w:b/>
          <w:bCs/>
          <w:sz w:val="22"/>
          <w:szCs w:val="22"/>
        </w:rPr>
      </w:pPr>
    </w:p>
    <w:tbl>
      <w:tblPr>
        <w:tblW w:w="5000" w:type="pct"/>
        <w:tblLayout w:type="fixed"/>
        <w:tblCellMar>
          <w:left w:w="70" w:type="dxa"/>
          <w:right w:w="70" w:type="dxa"/>
        </w:tblCellMar>
        <w:tblLook w:val="04A0" w:firstRow="1" w:lastRow="0" w:firstColumn="1" w:lastColumn="0" w:noHBand="0" w:noVBand="1"/>
      </w:tblPr>
      <w:tblGrid>
        <w:gridCol w:w="2785"/>
        <w:gridCol w:w="1174"/>
        <w:gridCol w:w="909"/>
        <w:gridCol w:w="906"/>
        <w:gridCol w:w="908"/>
        <w:gridCol w:w="908"/>
        <w:gridCol w:w="777"/>
        <w:gridCol w:w="844"/>
      </w:tblGrid>
      <w:tr w:rsidR="00E9008A" w:rsidRPr="004A794A" w:rsidTr="005B7D01">
        <w:trPr>
          <w:trHeight w:val="238"/>
          <w:tblHeader/>
        </w:trPr>
        <w:tc>
          <w:tcPr>
            <w:tcW w:w="151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4A794A" w:rsidRDefault="00E9008A" w:rsidP="005B7D01">
            <w:pPr>
              <w:rPr>
                <w:b/>
                <w:bCs/>
                <w:color w:val="000000"/>
                <w:sz w:val="14"/>
                <w:szCs w:val="14"/>
              </w:rPr>
            </w:pPr>
            <w:r w:rsidRPr="004A794A">
              <w:rPr>
                <w:b/>
                <w:bCs/>
                <w:color w:val="000000"/>
                <w:sz w:val="14"/>
                <w:szCs w:val="14"/>
              </w:rPr>
              <w:t xml:space="preserve">Passivos Financeiros Setoriais </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Saldo em 31/12/2015</w:t>
            </w:r>
          </w:p>
          <w:p w:rsidR="00E9008A" w:rsidRPr="004A794A" w:rsidRDefault="00E9008A" w:rsidP="005B7D01">
            <w:pPr>
              <w:jc w:val="center"/>
              <w:rPr>
                <w:b/>
                <w:bCs/>
                <w:color w:val="000000"/>
                <w:sz w:val="14"/>
                <w:szCs w:val="14"/>
              </w:rPr>
            </w:pPr>
            <w:r w:rsidRPr="004A794A">
              <w:rPr>
                <w:b/>
                <w:bCs/>
                <w:color w:val="000000"/>
                <w:sz w:val="14"/>
                <w:szCs w:val="14"/>
              </w:rPr>
              <w:t>(Reapresentado)</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Constituição</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Amortização</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Atualização</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Saldo em 31/12/2016</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Circulante</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E9008A" w:rsidRPr="004A794A" w:rsidRDefault="00E9008A" w:rsidP="005B7D01">
            <w:pPr>
              <w:jc w:val="center"/>
              <w:rPr>
                <w:b/>
                <w:bCs/>
                <w:color w:val="000000"/>
                <w:sz w:val="14"/>
                <w:szCs w:val="14"/>
              </w:rPr>
            </w:pPr>
            <w:r w:rsidRPr="004A794A">
              <w:rPr>
                <w:b/>
                <w:bCs/>
                <w:color w:val="000000"/>
                <w:sz w:val="14"/>
                <w:szCs w:val="14"/>
              </w:rPr>
              <w:t>Não Circulante</w:t>
            </w: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b/>
                <w:bCs/>
                <w:color w:val="000000"/>
                <w:sz w:val="14"/>
                <w:szCs w:val="14"/>
              </w:rPr>
            </w:pPr>
            <w:r w:rsidRPr="004A794A">
              <w:rPr>
                <w:b/>
                <w:bCs/>
                <w:color w:val="000000"/>
                <w:sz w:val="14"/>
                <w:szCs w:val="14"/>
              </w:rPr>
              <w:t xml:space="preserve"> CVA Passiva </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(39.813)</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(130.469)</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54.188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(15.017)</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(131.111)</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
                <w:bCs/>
                <w:sz w:val="14"/>
                <w:szCs w:val="14"/>
              </w:rPr>
            </w:pPr>
            <w:r w:rsidRPr="004A794A">
              <w:rPr>
                <w:bCs/>
                <w:sz w:val="14"/>
                <w:szCs w:val="14"/>
              </w:rPr>
              <w:t xml:space="preserve"> </w:t>
            </w:r>
            <w:r w:rsidRPr="004A794A">
              <w:rPr>
                <w:b/>
                <w:bCs/>
                <w:sz w:val="14"/>
                <w:szCs w:val="14"/>
              </w:rPr>
              <w:t>(131.111)</w:t>
            </w:r>
          </w:p>
        </w:tc>
        <w:tc>
          <w:tcPr>
            <w:tcW w:w="458" w:type="pct"/>
            <w:tcBorders>
              <w:top w:val="nil"/>
              <w:left w:val="nil"/>
              <w:bottom w:val="single" w:sz="4" w:space="0" w:color="auto"/>
              <w:right w:val="single" w:sz="4" w:space="0" w:color="auto"/>
            </w:tcBorders>
            <w:shd w:val="clear" w:color="auto" w:fill="auto"/>
            <w:noWrap/>
            <w:vAlign w:val="center"/>
          </w:tcPr>
          <w:p w:rsidR="00E9008A" w:rsidRPr="004A794A" w:rsidRDefault="00E9008A" w:rsidP="005B7D01">
            <w:pPr>
              <w:jc w:val="right"/>
              <w:rPr>
                <w:b/>
                <w:bCs/>
                <w:sz w:val="14"/>
                <w:szCs w:val="14"/>
              </w:rPr>
            </w:pP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color w:val="000000"/>
                <w:sz w:val="14"/>
                <w:szCs w:val="14"/>
              </w:rPr>
            </w:pPr>
            <w:r w:rsidRPr="004A794A">
              <w:rPr>
                <w:color w:val="000000"/>
                <w:sz w:val="14"/>
                <w:szCs w:val="14"/>
              </w:rPr>
              <w:t xml:space="preserve">   Aquisição de Energia – (</w:t>
            </w:r>
            <w:proofErr w:type="spellStart"/>
            <w:r w:rsidRPr="004A794A">
              <w:rPr>
                <w:color w:val="000000"/>
                <w:sz w:val="14"/>
                <w:szCs w:val="14"/>
              </w:rPr>
              <w:t>CVAenergia</w:t>
            </w:r>
            <w:proofErr w:type="spellEnd"/>
            <w:r w:rsidRPr="004A794A">
              <w:rPr>
                <w:color w:val="000000"/>
                <w:sz w:val="14"/>
                <w:szCs w:val="14"/>
              </w:rPr>
              <w:t xml:space="preserve">) (a) </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(4.135)</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(71.299)</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18.157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(2.465)</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(59.742)</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(59.742)</w:t>
            </w:r>
          </w:p>
        </w:tc>
        <w:tc>
          <w:tcPr>
            <w:tcW w:w="458" w:type="pct"/>
            <w:tcBorders>
              <w:top w:val="nil"/>
              <w:left w:val="nil"/>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color w:val="000000"/>
                <w:sz w:val="14"/>
                <w:szCs w:val="14"/>
              </w:rPr>
            </w:pPr>
            <w:r w:rsidRPr="004A794A">
              <w:rPr>
                <w:color w:val="000000"/>
                <w:sz w:val="14"/>
                <w:szCs w:val="14"/>
              </w:rPr>
              <w:t xml:space="preserve">   </w:t>
            </w:r>
            <w:proofErr w:type="spellStart"/>
            <w:r w:rsidRPr="004A794A">
              <w:rPr>
                <w:color w:val="000000"/>
                <w:sz w:val="14"/>
                <w:szCs w:val="14"/>
              </w:rPr>
              <w:t>Proinfa</w:t>
            </w:r>
            <w:proofErr w:type="spellEnd"/>
            <w:r w:rsidRPr="004A794A">
              <w:rPr>
                <w:color w:val="000000"/>
                <w:sz w:val="14"/>
                <w:szCs w:val="14"/>
              </w:rPr>
              <w:t xml:space="preserve"> (a) </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(712)</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(242)</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667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(156)</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(443)</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(443)</w:t>
            </w:r>
          </w:p>
        </w:tc>
        <w:tc>
          <w:tcPr>
            <w:tcW w:w="458" w:type="pct"/>
            <w:tcBorders>
              <w:top w:val="nil"/>
              <w:left w:val="nil"/>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color w:val="000000"/>
                <w:sz w:val="14"/>
                <w:szCs w:val="14"/>
              </w:rPr>
            </w:pPr>
            <w:r w:rsidRPr="004A794A">
              <w:rPr>
                <w:color w:val="000000"/>
                <w:sz w:val="14"/>
                <w:szCs w:val="14"/>
              </w:rPr>
              <w:t xml:space="preserve">   Encargos de Serviços de Sistema – ESS (a)</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(34.966)</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(27.463)</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35.364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(5.926)</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(32.991)</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(32.991)</w:t>
            </w:r>
          </w:p>
        </w:tc>
        <w:tc>
          <w:tcPr>
            <w:tcW w:w="458" w:type="pct"/>
            <w:tcBorders>
              <w:top w:val="nil"/>
              <w:left w:val="nil"/>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p>
        </w:tc>
      </w:tr>
      <w:tr w:rsidR="00E9008A" w:rsidRPr="004A794A" w:rsidTr="005B7D01">
        <w:trPr>
          <w:trHeight w:val="108"/>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color w:val="000000"/>
                <w:sz w:val="14"/>
                <w:szCs w:val="14"/>
              </w:rPr>
            </w:pPr>
            <w:r w:rsidRPr="004A794A">
              <w:rPr>
                <w:color w:val="000000"/>
                <w:sz w:val="14"/>
                <w:szCs w:val="14"/>
              </w:rPr>
              <w:t xml:space="preserve">   Conta de Desenvolvimento Energético – CDE (a) </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(31.465)</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(6.470)</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(37.935)</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(37.935)</w:t>
            </w:r>
          </w:p>
        </w:tc>
        <w:tc>
          <w:tcPr>
            <w:tcW w:w="458" w:type="pct"/>
            <w:tcBorders>
              <w:top w:val="nil"/>
              <w:left w:val="nil"/>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p>
        </w:tc>
      </w:tr>
      <w:tr w:rsidR="00E9008A" w:rsidRPr="004A794A" w:rsidTr="005B7D01">
        <w:trPr>
          <w:trHeight w:val="82"/>
        </w:trPr>
        <w:tc>
          <w:tcPr>
            <w:tcW w:w="1511" w:type="pct"/>
            <w:tcBorders>
              <w:top w:val="nil"/>
              <w:left w:val="single" w:sz="4" w:space="0" w:color="auto"/>
              <w:bottom w:val="single" w:sz="4" w:space="0" w:color="auto"/>
              <w:right w:val="single" w:sz="4" w:space="0" w:color="auto"/>
            </w:tcBorders>
            <w:shd w:val="clear" w:color="auto" w:fill="auto"/>
            <w:noWrap/>
            <w:vAlign w:val="bottom"/>
            <w:hideMark/>
          </w:tcPr>
          <w:p w:rsidR="00E9008A" w:rsidRPr="004A794A" w:rsidRDefault="00E9008A" w:rsidP="005B7D01">
            <w:pPr>
              <w:rPr>
                <w:b/>
                <w:bCs/>
                <w:color w:val="000000"/>
                <w:sz w:val="14"/>
                <w:szCs w:val="14"/>
              </w:rPr>
            </w:pPr>
            <w:r w:rsidRPr="004A794A">
              <w:rPr>
                <w:b/>
                <w:bCs/>
                <w:color w:val="000000"/>
                <w:sz w:val="14"/>
                <w:szCs w:val="14"/>
              </w:rPr>
              <w:t xml:space="preserve"> Demais Passivos Financeiros Setoriais </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(302.717)</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(83.145)</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243.943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(24.061)</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(165.980)</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
                <w:bCs/>
                <w:sz w:val="14"/>
                <w:szCs w:val="14"/>
              </w:rPr>
            </w:pPr>
            <w:r w:rsidRPr="004A794A">
              <w:rPr>
                <w:b/>
                <w:bCs/>
                <w:sz w:val="14"/>
                <w:szCs w:val="14"/>
              </w:rPr>
              <w:t>(154.160)</w:t>
            </w:r>
          </w:p>
        </w:tc>
        <w:tc>
          <w:tcPr>
            <w:tcW w:w="458" w:type="pct"/>
            <w:tcBorders>
              <w:top w:val="nil"/>
              <w:left w:val="nil"/>
              <w:bottom w:val="single" w:sz="4" w:space="0" w:color="auto"/>
              <w:right w:val="single" w:sz="4" w:space="0" w:color="auto"/>
            </w:tcBorders>
            <w:shd w:val="clear" w:color="auto" w:fill="auto"/>
            <w:noWrap/>
            <w:vAlign w:val="bottom"/>
          </w:tcPr>
          <w:p w:rsidR="00E9008A" w:rsidRPr="004A794A" w:rsidRDefault="00E9008A" w:rsidP="005B7D01">
            <w:pPr>
              <w:jc w:val="right"/>
              <w:rPr>
                <w:b/>
                <w:bCs/>
                <w:sz w:val="14"/>
                <w:szCs w:val="14"/>
              </w:rPr>
            </w:pPr>
            <w:r w:rsidRPr="004A794A">
              <w:rPr>
                <w:b/>
                <w:bCs/>
                <w:sz w:val="14"/>
                <w:szCs w:val="14"/>
              </w:rPr>
              <w:t>(11.820)</w:t>
            </w: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color w:val="000000"/>
                <w:sz w:val="14"/>
                <w:szCs w:val="14"/>
              </w:rPr>
            </w:pPr>
            <w:r w:rsidRPr="004A794A">
              <w:rPr>
                <w:color w:val="000000"/>
                <w:sz w:val="14"/>
                <w:szCs w:val="14"/>
              </w:rPr>
              <w:t xml:space="preserve">   </w:t>
            </w:r>
            <w:proofErr w:type="spellStart"/>
            <w:r w:rsidRPr="004A794A">
              <w:rPr>
                <w:color w:val="000000"/>
                <w:sz w:val="14"/>
                <w:szCs w:val="14"/>
              </w:rPr>
              <w:t>Sobrecontratação</w:t>
            </w:r>
            <w:proofErr w:type="spellEnd"/>
            <w:r w:rsidRPr="004A794A">
              <w:rPr>
                <w:color w:val="000000"/>
                <w:sz w:val="14"/>
                <w:szCs w:val="14"/>
              </w:rPr>
              <w:t xml:space="preserve"> de Energia (b)</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(141.235)</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(15.506)</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97.468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(5.962)</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(65.235)</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(65.235)</w:t>
            </w:r>
          </w:p>
        </w:tc>
        <w:tc>
          <w:tcPr>
            <w:tcW w:w="458" w:type="pct"/>
            <w:tcBorders>
              <w:top w:val="nil"/>
              <w:left w:val="nil"/>
              <w:bottom w:val="single" w:sz="4" w:space="0" w:color="auto"/>
              <w:right w:val="single" w:sz="4" w:space="0" w:color="auto"/>
            </w:tcBorders>
            <w:shd w:val="clear" w:color="auto" w:fill="auto"/>
            <w:noWrap/>
            <w:vAlign w:val="bottom"/>
          </w:tcPr>
          <w:p w:rsidR="00E9008A" w:rsidRPr="004A794A" w:rsidRDefault="00E9008A" w:rsidP="005B7D01">
            <w:pPr>
              <w:jc w:val="right"/>
              <w:rPr>
                <w:sz w:val="14"/>
                <w:szCs w:val="14"/>
              </w:rPr>
            </w:pP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rPr>
                <w:color w:val="000000"/>
                <w:sz w:val="14"/>
                <w:szCs w:val="14"/>
              </w:rPr>
            </w:pPr>
            <w:r w:rsidRPr="004A794A">
              <w:rPr>
                <w:color w:val="000000"/>
                <w:sz w:val="14"/>
                <w:szCs w:val="14"/>
              </w:rPr>
              <w:t xml:space="preserve">   Exposição </w:t>
            </w:r>
            <w:proofErr w:type="spellStart"/>
            <w:r w:rsidRPr="004A794A">
              <w:rPr>
                <w:color w:val="000000"/>
                <w:sz w:val="14"/>
                <w:szCs w:val="14"/>
              </w:rPr>
              <w:t>Submercados</w:t>
            </w:r>
            <w:proofErr w:type="spellEnd"/>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(23.539)</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25.388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(1.849)</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p>
        </w:tc>
        <w:tc>
          <w:tcPr>
            <w:tcW w:w="458" w:type="pct"/>
            <w:tcBorders>
              <w:top w:val="nil"/>
              <w:left w:val="nil"/>
              <w:bottom w:val="single" w:sz="4" w:space="0" w:color="auto"/>
              <w:right w:val="single" w:sz="4" w:space="0" w:color="auto"/>
            </w:tcBorders>
            <w:shd w:val="clear" w:color="auto" w:fill="auto"/>
            <w:noWrap/>
            <w:vAlign w:val="bottom"/>
          </w:tcPr>
          <w:p w:rsidR="00E9008A" w:rsidRPr="004A794A" w:rsidRDefault="00E9008A" w:rsidP="005B7D01">
            <w:pPr>
              <w:jc w:val="right"/>
              <w:rPr>
                <w:sz w:val="14"/>
                <w:szCs w:val="14"/>
              </w:rPr>
            </w:pPr>
          </w:p>
        </w:tc>
      </w:tr>
      <w:tr w:rsidR="00E9008A" w:rsidRPr="004A794A" w:rsidTr="005B7D01">
        <w:trPr>
          <w:trHeight w:val="159"/>
        </w:trPr>
        <w:tc>
          <w:tcPr>
            <w:tcW w:w="1511"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rPr>
                <w:color w:val="000000"/>
                <w:sz w:val="14"/>
                <w:szCs w:val="14"/>
              </w:rPr>
            </w:pPr>
            <w:r w:rsidRPr="004A794A">
              <w:rPr>
                <w:color w:val="000000"/>
                <w:sz w:val="14"/>
                <w:szCs w:val="14"/>
              </w:rPr>
              <w:t xml:space="preserve">   Devoluções Tarifárias UD/ER</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(11.362)</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 xml:space="preserve"> (458)</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outlineLvl w:val="0"/>
              <w:rPr>
                <w:sz w:val="14"/>
                <w:szCs w:val="14"/>
              </w:rPr>
            </w:pPr>
            <w:r w:rsidRPr="004A794A">
              <w:rPr>
                <w:sz w:val="14"/>
                <w:szCs w:val="14"/>
              </w:rPr>
              <w:t>(11.820)</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w:t>
            </w:r>
          </w:p>
        </w:tc>
        <w:tc>
          <w:tcPr>
            <w:tcW w:w="458" w:type="pct"/>
            <w:tcBorders>
              <w:top w:val="nil"/>
              <w:left w:val="nil"/>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r w:rsidRPr="004A794A">
              <w:rPr>
                <w:sz w:val="14"/>
                <w:szCs w:val="14"/>
              </w:rPr>
              <w:t>(11.820)</w:t>
            </w: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color w:val="000000"/>
                <w:sz w:val="14"/>
                <w:szCs w:val="14"/>
              </w:rPr>
            </w:pPr>
            <w:r w:rsidRPr="004A794A">
              <w:rPr>
                <w:color w:val="000000"/>
                <w:sz w:val="14"/>
                <w:szCs w:val="14"/>
              </w:rPr>
              <w:t xml:space="preserve">   Reversão Financeiro Postergação</w:t>
            </w:r>
          </w:p>
        </w:tc>
        <w:tc>
          <w:tcPr>
            <w:tcW w:w="637" w:type="pct"/>
            <w:tcBorders>
              <w:top w:val="single" w:sz="4" w:space="0" w:color="auto"/>
              <w:left w:val="nil"/>
              <w:bottom w:val="single" w:sz="4" w:space="0" w:color="auto"/>
              <w:right w:val="single" w:sz="4" w:space="0" w:color="auto"/>
            </w:tcBorders>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(26.181)</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5.054 </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(160)</w:t>
            </w:r>
          </w:p>
        </w:tc>
        <w:tc>
          <w:tcPr>
            <w:tcW w:w="493" w:type="pct"/>
            <w:tcBorders>
              <w:top w:val="single" w:sz="4" w:space="0" w:color="auto"/>
              <w:left w:val="single" w:sz="4" w:space="0" w:color="auto"/>
              <w:bottom w:val="single" w:sz="4" w:space="0" w:color="auto"/>
              <w:right w:val="nil"/>
            </w:tcBorders>
            <w:shd w:val="clear" w:color="auto" w:fill="auto"/>
            <w:noWrap/>
            <w:vAlign w:val="center"/>
          </w:tcPr>
          <w:p w:rsidR="00E9008A" w:rsidRPr="004A794A" w:rsidRDefault="00E9008A" w:rsidP="005B7D01">
            <w:pPr>
              <w:jc w:val="right"/>
              <w:outlineLvl w:val="0"/>
              <w:rPr>
                <w:sz w:val="14"/>
                <w:szCs w:val="14"/>
              </w:rPr>
            </w:pPr>
            <w:r w:rsidRPr="004A794A">
              <w:rPr>
                <w:sz w:val="14"/>
                <w:szCs w:val="14"/>
              </w:rPr>
              <w:t xml:space="preserve"> (21.287)</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(21.287)</w:t>
            </w:r>
          </w:p>
        </w:tc>
        <w:tc>
          <w:tcPr>
            <w:tcW w:w="458" w:type="pct"/>
            <w:tcBorders>
              <w:top w:val="nil"/>
              <w:left w:val="nil"/>
              <w:bottom w:val="single" w:sz="4" w:space="0" w:color="auto"/>
              <w:right w:val="single" w:sz="4" w:space="0" w:color="auto"/>
            </w:tcBorders>
            <w:shd w:val="clear" w:color="auto" w:fill="auto"/>
            <w:noWrap/>
            <w:vAlign w:val="bottom"/>
          </w:tcPr>
          <w:p w:rsidR="00E9008A" w:rsidRPr="004A794A" w:rsidRDefault="00E9008A" w:rsidP="005B7D01">
            <w:pPr>
              <w:jc w:val="right"/>
              <w:rPr>
                <w:sz w:val="14"/>
                <w:szCs w:val="14"/>
              </w:rPr>
            </w:pPr>
          </w:p>
        </w:tc>
      </w:tr>
      <w:tr w:rsidR="00E9008A" w:rsidRPr="004A794A"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color w:val="000000"/>
                <w:sz w:val="14"/>
                <w:szCs w:val="14"/>
              </w:rPr>
            </w:pPr>
            <w:r w:rsidRPr="004A794A">
              <w:rPr>
                <w:color w:val="000000"/>
                <w:sz w:val="14"/>
                <w:szCs w:val="14"/>
              </w:rPr>
              <w:t xml:space="preserve">   Outros (b) </w:t>
            </w:r>
          </w:p>
        </w:tc>
        <w:tc>
          <w:tcPr>
            <w:tcW w:w="637" w:type="pct"/>
            <w:tcBorders>
              <w:top w:val="single" w:sz="4" w:space="0" w:color="auto"/>
              <w:left w:val="nil"/>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r w:rsidRPr="004A794A">
              <w:rPr>
                <w:sz w:val="14"/>
                <w:szCs w:val="14"/>
              </w:rPr>
              <w:t xml:space="preserve"> (161.482)</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r w:rsidRPr="004A794A">
              <w:rPr>
                <w:sz w:val="14"/>
                <w:szCs w:val="14"/>
              </w:rPr>
              <w:t xml:space="preserve"> (6.557)</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r w:rsidRPr="004A794A">
              <w:rPr>
                <w:sz w:val="14"/>
                <w:szCs w:val="14"/>
              </w:rPr>
              <w:t xml:space="preserve">116.033 </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sz w:val="14"/>
                <w:szCs w:val="14"/>
              </w:rPr>
            </w:pPr>
            <w:r w:rsidRPr="004A794A">
              <w:rPr>
                <w:sz w:val="14"/>
                <w:szCs w:val="14"/>
              </w:rPr>
              <w:t xml:space="preserve"> (15.632)</w:t>
            </w:r>
          </w:p>
        </w:tc>
        <w:tc>
          <w:tcPr>
            <w:tcW w:w="493" w:type="pct"/>
            <w:tcBorders>
              <w:top w:val="single" w:sz="4" w:space="0" w:color="auto"/>
              <w:left w:val="single" w:sz="4" w:space="0" w:color="auto"/>
              <w:bottom w:val="single" w:sz="4" w:space="0" w:color="auto"/>
              <w:right w:val="nil"/>
            </w:tcBorders>
            <w:shd w:val="clear" w:color="auto" w:fill="auto"/>
            <w:noWrap/>
            <w:vAlign w:val="center"/>
          </w:tcPr>
          <w:p w:rsidR="00E9008A" w:rsidRPr="004A794A" w:rsidRDefault="00E9008A" w:rsidP="005B7D01">
            <w:pPr>
              <w:jc w:val="right"/>
              <w:rPr>
                <w:sz w:val="14"/>
                <w:szCs w:val="14"/>
              </w:rPr>
            </w:pPr>
            <w:r w:rsidRPr="004A794A">
              <w:rPr>
                <w:sz w:val="14"/>
                <w:szCs w:val="14"/>
              </w:rPr>
              <w:t xml:space="preserve"> (67.638)</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Cs/>
                <w:sz w:val="14"/>
                <w:szCs w:val="14"/>
              </w:rPr>
            </w:pPr>
            <w:r w:rsidRPr="004A794A">
              <w:rPr>
                <w:bCs/>
                <w:sz w:val="14"/>
                <w:szCs w:val="14"/>
              </w:rPr>
              <w:t xml:space="preserve"> (67.638)</w:t>
            </w:r>
          </w:p>
        </w:tc>
        <w:tc>
          <w:tcPr>
            <w:tcW w:w="458" w:type="pct"/>
            <w:tcBorders>
              <w:top w:val="nil"/>
              <w:left w:val="nil"/>
              <w:bottom w:val="single" w:sz="4" w:space="0" w:color="auto"/>
              <w:right w:val="single" w:sz="4" w:space="0" w:color="auto"/>
            </w:tcBorders>
            <w:shd w:val="clear" w:color="auto" w:fill="auto"/>
            <w:noWrap/>
            <w:vAlign w:val="bottom"/>
          </w:tcPr>
          <w:p w:rsidR="00E9008A" w:rsidRPr="004A794A" w:rsidRDefault="00E9008A" w:rsidP="005B7D01">
            <w:pPr>
              <w:jc w:val="right"/>
              <w:rPr>
                <w:sz w:val="14"/>
                <w:szCs w:val="14"/>
              </w:rPr>
            </w:pPr>
          </w:p>
        </w:tc>
      </w:tr>
      <w:tr w:rsidR="00E9008A" w:rsidRPr="00316249" w:rsidTr="005B7D01">
        <w:trPr>
          <w:trHeight w:val="56"/>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4A794A" w:rsidRDefault="00E9008A" w:rsidP="005B7D01">
            <w:pPr>
              <w:rPr>
                <w:b/>
                <w:bCs/>
                <w:color w:val="000000"/>
                <w:sz w:val="14"/>
                <w:szCs w:val="14"/>
              </w:rPr>
            </w:pPr>
            <w:r w:rsidRPr="004A794A">
              <w:rPr>
                <w:b/>
                <w:bCs/>
                <w:color w:val="000000"/>
                <w:sz w:val="14"/>
                <w:szCs w:val="14"/>
              </w:rPr>
              <w:t xml:space="preserve"> Total Passivos Financeiros Setoriais </w:t>
            </w:r>
          </w:p>
        </w:tc>
        <w:tc>
          <w:tcPr>
            <w:tcW w:w="637" w:type="pct"/>
            <w:tcBorders>
              <w:top w:val="single" w:sz="4" w:space="0" w:color="auto"/>
              <w:left w:val="nil"/>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(342.530)</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(213.614)</w:t>
            </w:r>
          </w:p>
        </w:tc>
        <w:tc>
          <w:tcPr>
            <w:tcW w:w="4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298.131 </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(39.078)</w:t>
            </w:r>
          </w:p>
        </w:tc>
        <w:tc>
          <w:tcPr>
            <w:tcW w:w="493" w:type="pct"/>
            <w:tcBorders>
              <w:top w:val="single" w:sz="4" w:space="0" w:color="auto"/>
              <w:left w:val="single" w:sz="4" w:space="0" w:color="auto"/>
              <w:bottom w:val="single" w:sz="4" w:space="0" w:color="auto"/>
              <w:right w:val="nil"/>
            </w:tcBorders>
            <w:shd w:val="clear" w:color="000000" w:fill="FFFFFF"/>
            <w:noWrap/>
            <w:vAlign w:val="center"/>
          </w:tcPr>
          <w:p w:rsidR="00E9008A" w:rsidRPr="004A794A" w:rsidRDefault="00E9008A" w:rsidP="005B7D01">
            <w:pPr>
              <w:jc w:val="right"/>
              <w:rPr>
                <w:b/>
                <w:bCs/>
                <w:sz w:val="14"/>
                <w:szCs w:val="14"/>
              </w:rPr>
            </w:pPr>
            <w:r w:rsidRPr="004A794A">
              <w:rPr>
                <w:b/>
                <w:bCs/>
                <w:sz w:val="14"/>
                <w:szCs w:val="14"/>
              </w:rPr>
              <w:t xml:space="preserve"> (297.091)</w:t>
            </w:r>
          </w:p>
        </w:tc>
        <w:tc>
          <w:tcPr>
            <w:tcW w:w="422" w:type="pct"/>
            <w:tcBorders>
              <w:top w:val="nil"/>
              <w:left w:val="single" w:sz="4" w:space="0" w:color="auto"/>
              <w:bottom w:val="single" w:sz="4" w:space="0" w:color="auto"/>
              <w:right w:val="single" w:sz="4" w:space="0" w:color="auto"/>
            </w:tcBorders>
            <w:shd w:val="clear" w:color="auto" w:fill="auto"/>
            <w:noWrap/>
            <w:vAlign w:val="center"/>
          </w:tcPr>
          <w:p w:rsidR="00E9008A" w:rsidRPr="004A794A" w:rsidRDefault="00E9008A" w:rsidP="005B7D01">
            <w:pPr>
              <w:jc w:val="right"/>
              <w:rPr>
                <w:b/>
                <w:bCs/>
                <w:sz w:val="14"/>
                <w:szCs w:val="14"/>
              </w:rPr>
            </w:pPr>
            <w:r w:rsidRPr="004A794A">
              <w:rPr>
                <w:b/>
                <w:bCs/>
                <w:sz w:val="14"/>
                <w:szCs w:val="14"/>
              </w:rPr>
              <w:t>(285.271)</w:t>
            </w:r>
          </w:p>
        </w:tc>
        <w:tc>
          <w:tcPr>
            <w:tcW w:w="458" w:type="pct"/>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b/>
                <w:bCs/>
                <w:sz w:val="14"/>
                <w:szCs w:val="14"/>
              </w:rPr>
            </w:pPr>
            <w:r w:rsidRPr="004A794A">
              <w:rPr>
                <w:b/>
                <w:bCs/>
                <w:sz w:val="14"/>
                <w:szCs w:val="14"/>
              </w:rPr>
              <w:t>(11.820)</w:t>
            </w:r>
          </w:p>
        </w:tc>
      </w:tr>
    </w:tbl>
    <w:p w:rsidR="00E9008A" w:rsidRPr="00316249" w:rsidRDefault="00E9008A" w:rsidP="00E9008A">
      <w:pPr>
        <w:spacing w:before="240" w:after="240"/>
        <w:jc w:val="both"/>
        <w:rPr>
          <w:sz w:val="22"/>
          <w:szCs w:val="22"/>
        </w:rPr>
      </w:pPr>
      <w:r w:rsidRPr="00316249">
        <w:rPr>
          <w:sz w:val="22"/>
          <w:szCs w:val="22"/>
        </w:rPr>
        <w:t>De acordo com o Contrato de Concessão nº 066/1999 (prorrogado até 7 de julho de 2045, conforme aditivo firmado em 9 de dezembro de 2015), o Reajuste Tarifário Anual – RTA ocorreu no dia 26 de agosto de 2015. O mecanismo RTA tem como objetivo restabelecer o poder de compra da receita, obtida por meio das tarifas praticadas pela concessionária.</w:t>
      </w:r>
    </w:p>
    <w:p w:rsidR="00E9008A" w:rsidRPr="00316249" w:rsidRDefault="00E9008A" w:rsidP="00E9008A">
      <w:pPr>
        <w:spacing w:before="240" w:after="240"/>
        <w:jc w:val="both"/>
        <w:rPr>
          <w:sz w:val="22"/>
          <w:szCs w:val="22"/>
        </w:rPr>
      </w:pPr>
      <w:r w:rsidRPr="00316249">
        <w:rPr>
          <w:sz w:val="22"/>
          <w:szCs w:val="22"/>
        </w:rPr>
        <w:t>A receita da concessionária de distribuição é composta por duas parcelas: a Parcela A, representada pelos custos não-gerenciáveis da empresa (encargos setoriais, encargos de transmissão e compra de energia para revenda); e a Parcela B, que agrega os custos gerenciáveis (despesas com operação e manutenção, despesas de capital). Na RTA, a Parcela A é totalmente recomposta de acordo com os custos vigentes naquele momento, enquanto a Parcela B é simplesmente atualizada pelo IGP-M, descontado do Fator X.</w:t>
      </w:r>
    </w:p>
    <w:p w:rsidR="00E9008A" w:rsidRPr="00316249" w:rsidRDefault="00E9008A" w:rsidP="00E9008A">
      <w:pPr>
        <w:spacing w:before="240" w:after="240"/>
        <w:jc w:val="both"/>
        <w:rPr>
          <w:sz w:val="22"/>
          <w:szCs w:val="22"/>
        </w:rPr>
      </w:pPr>
      <w:r w:rsidRPr="00316249">
        <w:rPr>
          <w:sz w:val="22"/>
          <w:szCs w:val="22"/>
        </w:rPr>
        <w:t>Os componentes tarifários financeiros não fazem parte da base tarifária econômica e se referem a valores a serem pagos ou recebidos pelos consumidores em cada período de 12 meses, subsequentes aos reajustes ou revisões tarifárias. Dentre eles destacam-se:</w:t>
      </w:r>
    </w:p>
    <w:p w:rsidR="00E9008A" w:rsidRPr="007F7D85" w:rsidRDefault="00E9008A" w:rsidP="00E9008A">
      <w:pPr>
        <w:pStyle w:val="PargrafodaLista"/>
        <w:numPr>
          <w:ilvl w:val="1"/>
          <w:numId w:val="19"/>
        </w:numPr>
        <w:spacing w:before="240" w:after="240"/>
        <w:ind w:left="284" w:hanging="284"/>
        <w:contextualSpacing/>
        <w:jc w:val="both"/>
        <w:rPr>
          <w:rFonts w:ascii="Times New Roman" w:hAnsi="Times New Roman" w:cs="Times New Roman"/>
          <w:lang w:val="pt-BR"/>
        </w:rPr>
      </w:pPr>
      <w:r w:rsidRPr="00C85A85">
        <w:rPr>
          <w:rFonts w:ascii="Times New Roman" w:hAnsi="Times New Roman" w:cs="Times New Roman"/>
          <w:lang w:val="pt-BR"/>
        </w:rPr>
        <w:t>A CVA – Conta de Compensação de Variação de Valores de Itens da Parcela A – foi criada por meio da Portaria Interministerial dos Ministros de Estado da Fazenda e de Minas e Energia nº 25, de 24 de janeiro de 2002. A conta tem por objetivo registrar as variações observadas entre os gastos efetivamente incorridos e os estimados no momento da constituição da tarifa nos reajustes tarifários anuais. Seus valores são atualizados monetariamente com base na taxa SELIC.</w:t>
      </w:r>
    </w:p>
    <w:p w:rsidR="00E9008A" w:rsidRPr="00C85A85" w:rsidRDefault="00E9008A" w:rsidP="00E9008A">
      <w:pPr>
        <w:spacing w:before="240" w:after="240"/>
        <w:jc w:val="both"/>
        <w:rPr>
          <w:sz w:val="22"/>
          <w:szCs w:val="22"/>
        </w:rPr>
      </w:pPr>
      <w:r w:rsidRPr="00C85A85">
        <w:rPr>
          <w:sz w:val="22"/>
          <w:szCs w:val="22"/>
        </w:rPr>
        <w:t>Dentre os custos da Parcela A cobertos pela CVA têm-se:</w:t>
      </w:r>
    </w:p>
    <w:p w:rsidR="00E9008A" w:rsidRPr="00747E73" w:rsidRDefault="00E9008A" w:rsidP="00E9008A">
      <w:pPr>
        <w:pStyle w:val="PargrafodaLista"/>
        <w:numPr>
          <w:ilvl w:val="0"/>
          <w:numId w:val="20"/>
        </w:numPr>
        <w:spacing w:before="240" w:after="240" w:line="240" w:lineRule="auto"/>
        <w:ind w:left="426"/>
        <w:contextualSpacing/>
        <w:jc w:val="both"/>
        <w:rPr>
          <w:rFonts w:ascii="Times New Roman" w:hAnsi="Times New Roman" w:cs="Times New Roman"/>
          <w:lang w:val="pt-BR"/>
        </w:rPr>
      </w:pPr>
      <w:r w:rsidRPr="00C85A85">
        <w:rPr>
          <w:rFonts w:ascii="Times New Roman" w:hAnsi="Times New Roman" w:cs="Times New Roman"/>
          <w:lang w:val="pt-BR"/>
        </w:rPr>
        <w:t xml:space="preserve">CVA Energia – Tem por objetivo registrar as diferenças incorridas entre o custo efetivo da compra de energia para atendimento do mercado da distribuidora e o custo tarifário homologado pela ANEEL no </w:t>
      </w:r>
      <w:r w:rsidRPr="00747E73">
        <w:rPr>
          <w:rFonts w:ascii="Times New Roman" w:hAnsi="Times New Roman" w:cs="Times New Roman"/>
          <w:lang w:val="pt-BR"/>
        </w:rPr>
        <w:t>último reajuste tarifário. Em razão da crise energética atual, o custo com aquisição de energia elétrica mostra-se superior ao previsto pela ANEEL, quando do 4º Ciclo de Revisão Tarifária ocorrido em outubro de 2016.</w:t>
      </w:r>
    </w:p>
    <w:p w:rsidR="00E9008A" w:rsidRPr="00747E73" w:rsidRDefault="00E9008A" w:rsidP="00E9008A">
      <w:pPr>
        <w:pStyle w:val="PargrafodaLista"/>
        <w:numPr>
          <w:ilvl w:val="0"/>
          <w:numId w:val="20"/>
        </w:numPr>
        <w:spacing w:before="240" w:after="240" w:line="240" w:lineRule="auto"/>
        <w:ind w:left="426"/>
        <w:contextualSpacing/>
        <w:jc w:val="both"/>
        <w:rPr>
          <w:rFonts w:ascii="Times New Roman" w:hAnsi="Times New Roman" w:cs="Times New Roman"/>
          <w:lang w:val="pt-BR"/>
        </w:rPr>
      </w:pPr>
      <w:r w:rsidRPr="00747E73">
        <w:rPr>
          <w:rFonts w:ascii="Times New Roman" w:hAnsi="Times New Roman" w:cs="Times New Roman"/>
          <w:lang w:val="pt-BR"/>
        </w:rPr>
        <w:t xml:space="preserve">CVA Encargos – Nesse grupo encontram-se coberturas para os seguintes encargos: CDE, </w:t>
      </w:r>
      <w:proofErr w:type="spellStart"/>
      <w:r w:rsidRPr="00747E73">
        <w:rPr>
          <w:rFonts w:ascii="Times New Roman" w:hAnsi="Times New Roman" w:cs="Times New Roman"/>
          <w:lang w:val="pt-BR"/>
        </w:rPr>
        <w:t>Proinfa</w:t>
      </w:r>
      <w:proofErr w:type="spellEnd"/>
      <w:r w:rsidRPr="00747E73">
        <w:rPr>
          <w:rFonts w:ascii="Times New Roman" w:hAnsi="Times New Roman" w:cs="Times New Roman"/>
          <w:lang w:val="pt-BR"/>
        </w:rPr>
        <w:t>, ESS, Transporte de Itaipu e Rede Básica.</w:t>
      </w:r>
    </w:p>
    <w:p w:rsidR="00E9008A" w:rsidRPr="00747E73" w:rsidRDefault="00E9008A" w:rsidP="00E9008A">
      <w:pPr>
        <w:pStyle w:val="PargrafodaLista"/>
        <w:spacing w:before="240" w:after="240" w:line="240" w:lineRule="auto"/>
        <w:ind w:left="426"/>
        <w:contextualSpacing/>
        <w:jc w:val="both"/>
        <w:rPr>
          <w:rFonts w:ascii="Times New Roman" w:hAnsi="Times New Roman" w:cs="Times New Roman"/>
          <w:lang w:val="pt-BR"/>
        </w:rPr>
      </w:pPr>
    </w:p>
    <w:p w:rsidR="00E9008A" w:rsidRPr="00747E73" w:rsidRDefault="00E9008A" w:rsidP="00E9008A">
      <w:pPr>
        <w:pStyle w:val="PargrafodaLista"/>
        <w:numPr>
          <w:ilvl w:val="1"/>
          <w:numId w:val="19"/>
        </w:numPr>
        <w:spacing w:before="240" w:after="240" w:line="240" w:lineRule="auto"/>
        <w:ind w:left="284" w:hanging="284"/>
        <w:contextualSpacing/>
        <w:jc w:val="both"/>
        <w:rPr>
          <w:rFonts w:ascii="Times New Roman" w:hAnsi="Times New Roman" w:cs="Times New Roman"/>
          <w:lang w:val="pt-BR"/>
        </w:rPr>
      </w:pPr>
      <w:r w:rsidRPr="00747E73">
        <w:rPr>
          <w:rFonts w:ascii="Times New Roman" w:hAnsi="Times New Roman" w:cs="Times New Roman"/>
          <w:lang w:val="pt-BR"/>
        </w:rPr>
        <w:t>Itens financeiros relevantes</w:t>
      </w:r>
    </w:p>
    <w:p w:rsidR="00E9008A" w:rsidRPr="00747E73" w:rsidRDefault="00E9008A" w:rsidP="00E9008A">
      <w:pPr>
        <w:pStyle w:val="PargrafodaLista"/>
        <w:spacing w:before="240" w:after="240" w:line="240" w:lineRule="auto"/>
        <w:ind w:left="284"/>
        <w:contextualSpacing/>
        <w:jc w:val="both"/>
        <w:rPr>
          <w:rFonts w:ascii="Times New Roman" w:hAnsi="Times New Roman" w:cs="Times New Roman"/>
          <w:lang w:val="pt-BR"/>
        </w:rPr>
      </w:pPr>
    </w:p>
    <w:p w:rsidR="00E9008A" w:rsidRPr="00747E73" w:rsidRDefault="00E9008A" w:rsidP="00E9008A">
      <w:pPr>
        <w:pStyle w:val="PargrafodaLista"/>
        <w:numPr>
          <w:ilvl w:val="0"/>
          <w:numId w:val="21"/>
        </w:numPr>
        <w:spacing w:after="0" w:line="240" w:lineRule="auto"/>
        <w:ind w:left="426"/>
        <w:contextualSpacing/>
        <w:jc w:val="both"/>
        <w:rPr>
          <w:rFonts w:ascii="Times New Roman" w:hAnsi="Times New Roman" w:cs="Times New Roman"/>
          <w:lang w:val="pt-BR"/>
        </w:rPr>
      </w:pPr>
      <w:r w:rsidRPr="00747E73">
        <w:rPr>
          <w:rFonts w:ascii="Times New Roman" w:hAnsi="Times New Roman" w:cs="Times New Roman"/>
          <w:lang w:val="pt-BR"/>
        </w:rPr>
        <w:t xml:space="preserve">Diferimento Parcial dos Componentes Financeiros: Em 19 de agosto de 2014, por meio da Carta nº 221/2014-DD, o Governo do Distrito Federal solicitou à Concessionária o diferimento parcial de 9% de seus componentes financeiros. O montante diferido foi capturado na proporção de </w:t>
      </w:r>
      <w:r w:rsidRPr="00747E73">
        <w:rPr>
          <w:rFonts w:ascii="Times New Roman" w:hAnsi="Times New Roman" w:cs="Times New Roman"/>
          <w:lang w:val="pt-BR"/>
        </w:rPr>
        <w:lastRenderedPageBreak/>
        <w:t>17,47%, correspondente a R$ 25.462, em agosto de 2015, e o saldo atualizado de R$ 134.743, no 4º Ciclo de Revisão Tarifária ocorrido em outubro de 2016.</w:t>
      </w:r>
    </w:p>
    <w:p w:rsidR="00E9008A" w:rsidRPr="00747E73" w:rsidRDefault="00E9008A" w:rsidP="00E9008A">
      <w:pPr>
        <w:pStyle w:val="PargrafodaLista"/>
        <w:numPr>
          <w:ilvl w:val="0"/>
          <w:numId w:val="21"/>
        </w:numPr>
        <w:spacing w:after="0" w:line="240" w:lineRule="auto"/>
        <w:ind w:left="426"/>
        <w:contextualSpacing/>
        <w:jc w:val="both"/>
        <w:rPr>
          <w:rFonts w:ascii="Times New Roman" w:hAnsi="Times New Roman" w:cs="Times New Roman"/>
          <w:lang w:val="pt-BR"/>
        </w:rPr>
      </w:pPr>
      <w:r w:rsidRPr="00747E73">
        <w:rPr>
          <w:rFonts w:ascii="Times New Roman" w:hAnsi="Times New Roman" w:cs="Times New Roman"/>
          <w:lang w:val="pt-BR"/>
        </w:rPr>
        <w:t>Reversão da Revisão Tarifária Extraordinária – RTE: Em 27 de fevereiro de 2015 a ANEEL, por meio da REH nº 1.858/2015, homologou o aumento médio de 24,14% nas tarifas, com vigência até o mês de julho de 2016. A alteração da data base dos processos tarifários da CEB Distribuição S.A., do mês de agosto para outubro, ocasionou a reversão no montante de R$ 73.328.</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DEMAIS CRÉDITOS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4"/>
        <w:gridCol w:w="1175"/>
        <w:gridCol w:w="1490"/>
        <w:gridCol w:w="1580"/>
        <w:gridCol w:w="1052"/>
      </w:tblGrid>
      <w:tr w:rsidR="00E9008A" w:rsidRPr="00316249" w:rsidTr="005B7D01">
        <w:trPr>
          <w:trHeight w:val="240"/>
          <w:tblHeader/>
        </w:trPr>
        <w:tc>
          <w:tcPr>
            <w:tcW w:w="2218" w:type="pct"/>
            <w:vMerge w:val="restart"/>
            <w:shd w:val="clear" w:color="000000" w:fill="D9D9D9"/>
            <w:vAlign w:val="center"/>
            <w:hideMark/>
          </w:tcPr>
          <w:p w:rsidR="00E9008A" w:rsidRPr="00316249" w:rsidRDefault="00E9008A" w:rsidP="005B7D01">
            <w:pPr>
              <w:spacing w:before="240" w:after="200"/>
              <w:rPr>
                <w:color w:val="000000"/>
                <w:sz w:val="18"/>
                <w:szCs w:val="18"/>
              </w:rPr>
            </w:pPr>
            <w:r w:rsidRPr="00316249">
              <w:rPr>
                <w:color w:val="000000"/>
                <w:sz w:val="18"/>
                <w:szCs w:val="18"/>
              </w:rPr>
              <w:t> </w:t>
            </w:r>
          </w:p>
        </w:tc>
        <w:tc>
          <w:tcPr>
            <w:tcW w:w="1447"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336"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40"/>
          <w:tblHeader/>
        </w:trPr>
        <w:tc>
          <w:tcPr>
            <w:tcW w:w="2218" w:type="pct"/>
            <w:vMerge/>
            <w:vAlign w:val="center"/>
            <w:hideMark/>
          </w:tcPr>
          <w:p w:rsidR="00E9008A" w:rsidRPr="00316249" w:rsidRDefault="00E9008A" w:rsidP="005B7D01">
            <w:pPr>
              <w:rPr>
                <w:color w:val="000000"/>
                <w:sz w:val="18"/>
                <w:szCs w:val="18"/>
              </w:rPr>
            </w:pPr>
          </w:p>
        </w:tc>
        <w:tc>
          <w:tcPr>
            <w:tcW w:w="73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1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7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65"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Serviços em Curso </w:t>
            </w:r>
            <w:r w:rsidRPr="005B5ADC">
              <w:rPr>
                <w:b/>
                <w:color w:val="000000"/>
                <w:sz w:val="18"/>
                <w:szCs w:val="18"/>
              </w:rPr>
              <w:t>(a)</w:t>
            </w:r>
          </w:p>
        </w:tc>
        <w:tc>
          <w:tcPr>
            <w:tcW w:w="73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28.386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26.530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Repactuação do Risco Hidrológico</w:t>
            </w:r>
          </w:p>
        </w:tc>
        <w:tc>
          <w:tcPr>
            <w:tcW w:w="73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19.057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21.116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Aportes da CDE – Decreto 7.945/2013 </w:t>
            </w:r>
            <w:r w:rsidRPr="005B5ADC">
              <w:rPr>
                <w:b/>
                <w:color w:val="000000"/>
                <w:sz w:val="18"/>
                <w:szCs w:val="18"/>
              </w:rPr>
              <w:t>(d)</w:t>
            </w:r>
          </w:p>
        </w:tc>
        <w:tc>
          <w:tcPr>
            <w:tcW w:w="73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50.953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9.680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Desativações em Curso </w:t>
            </w:r>
            <w:r w:rsidRPr="005B5ADC">
              <w:rPr>
                <w:b/>
                <w:color w:val="000000"/>
                <w:sz w:val="18"/>
                <w:szCs w:val="18"/>
              </w:rPr>
              <w:t>(b)</w:t>
            </w:r>
          </w:p>
        </w:tc>
        <w:tc>
          <w:tcPr>
            <w:tcW w:w="73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8.987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9.001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Previdência Privada dos Empregados</w:t>
            </w:r>
          </w:p>
        </w:tc>
        <w:tc>
          <w:tcPr>
            <w:tcW w:w="73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2.157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7.442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Dividendo/JSCP a Receber</w:t>
            </w:r>
          </w:p>
        </w:tc>
        <w:tc>
          <w:tcPr>
            <w:tcW w:w="7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7.518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9.090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8.586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6.612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Despesas Pagas Antecipadamente</w:t>
            </w:r>
          </w:p>
        </w:tc>
        <w:tc>
          <w:tcPr>
            <w:tcW w:w="7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4.194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4.775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Títulos de Crédito a Receber </w:t>
            </w:r>
            <w:r w:rsidRPr="005B5ADC">
              <w:rPr>
                <w:b/>
                <w:color w:val="000000"/>
                <w:sz w:val="18"/>
                <w:szCs w:val="18"/>
              </w:rPr>
              <w:t>(c)</w:t>
            </w:r>
          </w:p>
        </w:tc>
        <w:tc>
          <w:tcPr>
            <w:tcW w:w="7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shd w:val="clear" w:color="auto" w:fill="auto"/>
            <w:noWrap/>
            <w:vAlign w:val="center"/>
          </w:tcPr>
          <w:p w:rsidR="00E9008A" w:rsidRPr="00316249" w:rsidRDefault="00E9008A" w:rsidP="005B7D01">
            <w:pPr>
              <w:jc w:val="right"/>
              <w:rPr>
                <w:color w:val="000000"/>
                <w:sz w:val="18"/>
                <w:szCs w:val="18"/>
              </w:rPr>
            </w:pP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1.137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Crédito com Empregados</w:t>
            </w:r>
          </w:p>
        </w:tc>
        <w:tc>
          <w:tcPr>
            <w:tcW w:w="7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6.422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513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Coligadas e Controladas</w:t>
            </w:r>
          </w:p>
        </w:tc>
        <w:tc>
          <w:tcPr>
            <w:tcW w:w="7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4.086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285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4.797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Outros Créditos</w:t>
            </w:r>
          </w:p>
        </w:tc>
        <w:tc>
          <w:tcPr>
            <w:tcW w:w="7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2 </w:t>
            </w:r>
          </w:p>
        </w:tc>
        <w:tc>
          <w:tcPr>
            <w:tcW w:w="71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73 </w:t>
            </w:r>
          </w:p>
        </w:tc>
        <w:tc>
          <w:tcPr>
            <w:tcW w:w="67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6.024 </w:t>
            </w:r>
          </w:p>
        </w:tc>
        <w:tc>
          <w:tcPr>
            <w:tcW w:w="66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4.382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3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11.611 </w:t>
            </w:r>
          </w:p>
        </w:tc>
        <w:tc>
          <w:tcPr>
            <w:tcW w:w="71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9.457 </w:t>
            </w:r>
          </w:p>
        </w:tc>
        <w:tc>
          <w:tcPr>
            <w:tcW w:w="67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139.563 </w:t>
            </w:r>
          </w:p>
        </w:tc>
        <w:tc>
          <w:tcPr>
            <w:tcW w:w="66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91.188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73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7.525 </w:t>
            </w:r>
          </w:p>
        </w:tc>
        <w:tc>
          <w:tcPr>
            <w:tcW w:w="71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9.172 </w:t>
            </w:r>
          </w:p>
        </w:tc>
        <w:tc>
          <w:tcPr>
            <w:tcW w:w="67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117.477 </w:t>
            </w:r>
          </w:p>
        </w:tc>
        <w:tc>
          <w:tcPr>
            <w:tcW w:w="66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68.256 </w:t>
            </w:r>
          </w:p>
        </w:tc>
      </w:tr>
      <w:tr w:rsidR="00E9008A" w:rsidRPr="00316249" w:rsidTr="005B7D01">
        <w:trPr>
          <w:trHeight w:val="240"/>
        </w:trPr>
        <w:tc>
          <w:tcPr>
            <w:tcW w:w="2218"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73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4.086 </w:t>
            </w:r>
          </w:p>
        </w:tc>
        <w:tc>
          <w:tcPr>
            <w:tcW w:w="71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285 </w:t>
            </w:r>
          </w:p>
        </w:tc>
        <w:tc>
          <w:tcPr>
            <w:tcW w:w="67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22.086</w:t>
            </w:r>
          </w:p>
        </w:tc>
        <w:tc>
          <w:tcPr>
            <w:tcW w:w="66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22.932 </w:t>
            </w:r>
          </w:p>
        </w:tc>
      </w:tr>
    </w:tbl>
    <w:p w:rsidR="00E9008A" w:rsidRPr="00316249" w:rsidRDefault="00E9008A" w:rsidP="00E9008A">
      <w:pPr>
        <w:pStyle w:val="PargrafodaLista"/>
        <w:numPr>
          <w:ilvl w:val="0"/>
          <w:numId w:val="18"/>
        </w:numPr>
        <w:spacing w:before="240" w:line="240" w:lineRule="auto"/>
        <w:ind w:right="-1"/>
        <w:jc w:val="both"/>
        <w:rPr>
          <w:rFonts w:ascii="Times New Roman" w:hAnsi="Times New Roman" w:cs="Times New Roman"/>
          <w:lang w:val="pt-BR"/>
        </w:rPr>
      </w:pPr>
      <w:r w:rsidRPr="00316249">
        <w:rPr>
          <w:rFonts w:ascii="Times New Roman" w:hAnsi="Times New Roman" w:cs="Times New Roman"/>
          <w:lang w:val="pt-BR"/>
        </w:rPr>
        <w:t>Os serviços em curso são referentes aos Programas de Pesquisa e Desenvolvimento e Programa de Eficiência Energética os quais, após seus términos, são compensados com o respectivo passivo registrado para este fim, conforme legislação regulatória.</w:t>
      </w:r>
    </w:p>
    <w:p w:rsidR="00E9008A" w:rsidRPr="00316249" w:rsidRDefault="00E9008A" w:rsidP="00E9008A">
      <w:pPr>
        <w:pStyle w:val="PargrafodaLista"/>
        <w:numPr>
          <w:ilvl w:val="0"/>
          <w:numId w:val="18"/>
        </w:numPr>
        <w:autoSpaceDE w:val="0"/>
        <w:autoSpaceDN w:val="0"/>
        <w:adjustRightInd w:val="0"/>
        <w:spacing w:before="240" w:line="240" w:lineRule="auto"/>
        <w:jc w:val="both"/>
        <w:rPr>
          <w:rFonts w:ascii="Times New Roman" w:hAnsi="Times New Roman" w:cs="Times New Roman"/>
          <w:lang w:val="pt-BR"/>
        </w:rPr>
      </w:pPr>
      <w:r w:rsidRPr="00316249">
        <w:rPr>
          <w:rFonts w:ascii="Times New Roman" w:hAnsi="Times New Roman" w:cs="Times New Roman"/>
          <w:lang w:val="pt-BR" w:eastAsia="pt-BR"/>
        </w:rPr>
        <w:t>Refere-se ao valor das desativações dos bens anteriormente registrado em serviço na CEB-D, cujo valor dos itens, quando desativados, é classificado pelo seu valor residual nesta rubrica. Tais bens são classificados nesta conta até que sua destinação seja definida, conforme os critérios de desativação estabelecidos pelo Órgão Regulador.</w:t>
      </w:r>
    </w:p>
    <w:p w:rsidR="00E9008A" w:rsidRPr="00316249" w:rsidRDefault="00E9008A" w:rsidP="00E9008A">
      <w:pPr>
        <w:pStyle w:val="PargrafodaLista"/>
        <w:numPr>
          <w:ilvl w:val="0"/>
          <w:numId w:val="18"/>
        </w:numPr>
        <w:autoSpaceDE w:val="0"/>
        <w:autoSpaceDN w:val="0"/>
        <w:adjustRightInd w:val="0"/>
        <w:spacing w:before="240" w:line="240" w:lineRule="auto"/>
        <w:ind w:right="-1"/>
        <w:contextualSpacing/>
        <w:jc w:val="both"/>
        <w:rPr>
          <w:rFonts w:ascii="Times New Roman" w:hAnsi="Times New Roman" w:cs="Times New Roman"/>
          <w:lang w:val="pt-BR" w:eastAsia="pt-BR"/>
        </w:rPr>
      </w:pPr>
      <w:r w:rsidRPr="00316249">
        <w:rPr>
          <w:rFonts w:ascii="Times New Roman" w:hAnsi="Times New Roman" w:cs="Times New Roman"/>
          <w:color w:val="000000"/>
          <w:lang w:val="pt-BR"/>
        </w:rPr>
        <w:t xml:space="preserve">Títulos de crédito a receber: </w:t>
      </w:r>
      <w:r w:rsidRPr="00316249">
        <w:rPr>
          <w:rFonts w:ascii="Times New Roman" w:hAnsi="Times New Roman" w:cs="Times New Roman"/>
          <w:lang w:val="pt-BR"/>
        </w:rPr>
        <w:t xml:space="preserve">refere-se às ações preferenciais cumulativas e resgatáveis das classes A e B, emitidas pela </w:t>
      </w:r>
      <w:proofErr w:type="spellStart"/>
      <w:r w:rsidRPr="00316249">
        <w:rPr>
          <w:rFonts w:ascii="Times New Roman" w:hAnsi="Times New Roman" w:cs="Times New Roman"/>
          <w:lang w:val="pt-BR"/>
        </w:rPr>
        <w:t>Investco</w:t>
      </w:r>
      <w:proofErr w:type="spellEnd"/>
      <w:r w:rsidRPr="00316249">
        <w:rPr>
          <w:rFonts w:ascii="Times New Roman" w:hAnsi="Times New Roman" w:cs="Times New Roman"/>
          <w:lang w:val="pt-BR"/>
        </w:rPr>
        <w:t xml:space="preserve">, que são caracterizadas como instrumento financeiro na controlada CEB Lajeado </w:t>
      </w:r>
      <w:proofErr w:type="gramStart"/>
      <w:r w:rsidRPr="00316249">
        <w:rPr>
          <w:rFonts w:ascii="Times New Roman" w:hAnsi="Times New Roman" w:cs="Times New Roman"/>
          <w:lang w:val="pt-BR"/>
        </w:rPr>
        <w:t>S.A..</w:t>
      </w:r>
      <w:proofErr w:type="gramEnd"/>
    </w:p>
    <w:p w:rsidR="00E9008A" w:rsidRPr="00316249" w:rsidRDefault="00E9008A" w:rsidP="00E9008A">
      <w:pPr>
        <w:pStyle w:val="AParentesesNovo"/>
        <w:numPr>
          <w:ilvl w:val="0"/>
          <w:numId w:val="18"/>
        </w:numPr>
        <w:autoSpaceDE w:val="0"/>
        <w:autoSpaceDN w:val="0"/>
        <w:adjustRightInd w:val="0"/>
        <w:spacing w:before="240" w:after="100"/>
        <w:ind w:right="-1"/>
        <w:contextualSpacing/>
        <w:jc w:val="both"/>
      </w:pPr>
      <w:r w:rsidRPr="00316249">
        <w:rPr>
          <w:szCs w:val="22"/>
          <w:lang w:eastAsia="pt-BR"/>
        </w:rPr>
        <w:t xml:space="preserve">Refere-se à </w:t>
      </w:r>
      <w:r w:rsidRPr="00316249">
        <w:rPr>
          <w:color w:val="000000"/>
          <w:szCs w:val="22"/>
        </w:rPr>
        <w:t xml:space="preserve">diferença mensal de receita – DMR, no âmbito da aplicação da Tarifa Social de Energia Elétrica – TSEE às unidades consumidoras da subclasse residencial baixa renda; e à </w:t>
      </w:r>
      <w:r w:rsidRPr="00316249">
        <w:rPr>
          <w:szCs w:val="22"/>
        </w:rPr>
        <w:t>subvenção da CDE para custear descontos tarifários.</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DEPÓSITOS E BLOQUEIOS JUDICIAIS</w:t>
      </w:r>
    </w:p>
    <w:p w:rsidR="007F7D85" w:rsidRDefault="00E9008A" w:rsidP="00E9008A">
      <w:pPr>
        <w:spacing w:before="240" w:after="240"/>
        <w:jc w:val="both"/>
        <w:rPr>
          <w:color w:val="000000"/>
          <w:sz w:val="22"/>
          <w:szCs w:val="22"/>
        </w:rPr>
      </w:pPr>
      <w:r w:rsidRPr="00316249">
        <w:rPr>
          <w:color w:val="000000"/>
          <w:sz w:val="22"/>
          <w:szCs w:val="22"/>
        </w:rPr>
        <w:t xml:space="preserve">Estão classificadas neste grupo as penhoras judiciais </w:t>
      </w:r>
      <w:r w:rsidRPr="00316249">
        <w:rPr>
          <w:i/>
          <w:color w:val="000000"/>
          <w:sz w:val="22"/>
          <w:szCs w:val="22"/>
        </w:rPr>
        <w:t>on-line</w:t>
      </w:r>
      <w:r w:rsidRPr="00316249">
        <w:rPr>
          <w:color w:val="000000"/>
          <w:sz w:val="22"/>
          <w:szCs w:val="22"/>
        </w:rPr>
        <w:t xml:space="preserve"> efetuadas pelas instituições financeiras nas contas-correntes da Companhia Energética de Brasília – CEB e da controlada CEB D, em atendimento ao convênio de cooperação entre o Tribunal Superior do Trabalho e o Banco Central do Brasil; e cauções referentes a leilões de energia. Também estão registrados os depósitos recursais que são oriundos das demandas judiciais.</w:t>
      </w:r>
    </w:p>
    <w:p w:rsidR="007F7D85" w:rsidRDefault="007F7D85">
      <w:pPr>
        <w:rPr>
          <w:color w:val="000000"/>
          <w:sz w:val="22"/>
          <w:szCs w:val="22"/>
        </w:rPr>
      </w:pPr>
      <w:r>
        <w:rPr>
          <w:color w:val="000000"/>
          <w:sz w:val="22"/>
          <w:szCs w:val="22"/>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5"/>
        <w:gridCol w:w="1006"/>
        <w:gridCol w:w="1007"/>
        <w:gridCol w:w="1007"/>
        <w:gridCol w:w="1006"/>
      </w:tblGrid>
      <w:tr w:rsidR="00E9008A" w:rsidRPr="00316249" w:rsidTr="007F7D85">
        <w:trPr>
          <w:trHeight w:val="238"/>
          <w:tblHeader/>
        </w:trPr>
        <w:tc>
          <w:tcPr>
            <w:tcW w:w="2577" w:type="pct"/>
            <w:vMerge w:val="restart"/>
            <w:shd w:val="clear" w:color="000000" w:fill="D9D9D9"/>
            <w:vAlign w:val="center"/>
            <w:hideMark/>
          </w:tcPr>
          <w:p w:rsidR="00E9008A" w:rsidRPr="00316249" w:rsidRDefault="00E9008A" w:rsidP="005B7D01">
            <w:pPr>
              <w:rPr>
                <w:b/>
                <w:bCs/>
                <w:color w:val="000000"/>
                <w:sz w:val="18"/>
                <w:szCs w:val="18"/>
              </w:rPr>
            </w:pPr>
            <w:r w:rsidRPr="00316249">
              <w:rPr>
                <w:b/>
                <w:bCs/>
                <w:color w:val="000000"/>
                <w:sz w:val="18"/>
                <w:szCs w:val="18"/>
              </w:rPr>
              <w:lastRenderedPageBreak/>
              <w:t> </w:t>
            </w:r>
          </w:p>
        </w:tc>
        <w:tc>
          <w:tcPr>
            <w:tcW w:w="1212"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211"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7F7D85">
        <w:trPr>
          <w:trHeight w:val="238"/>
          <w:tblHeader/>
        </w:trPr>
        <w:tc>
          <w:tcPr>
            <w:tcW w:w="2577" w:type="pct"/>
            <w:vMerge/>
            <w:vAlign w:val="center"/>
            <w:hideMark/>
          </w:tcPr>
          <w:p w:rsidR="00E9008A" w:rsidRPr="00316249" w:rsidRDefault="00E9008A" w:rsidP="005B7D01">
            <w:pPr>
              <w:rPr>
                <w:b/>
                <w:bCs/>
                <w:color w:val="000000"/>
                <w:sz w:val="18"/>
                <w:szCs w:val="18"/>
              </w:rPr>
            </w:pPr>
          </w:p>
        </w:tc>
        <w:tc>
          <w:tcPr>
            <w:tcW w:w="60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0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0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05"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7F7D85">
        <w:trPr>
          <w:trHeight w:val="238"/>
        </w:trPr>
        <w:tc>
          <w:tcPr>
            <w:tcW w:w="2577"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Bloqueios Judiciais</w:t>
            </w:r>
          </w:p>
        </w:tc>
        <w:tc>
          <w:tcPr>
            <w:tcW w:w="606" w:type="pct"/>
            <w:shd w:val="clear" w:color="auto" w:fill="auto"/>
            <w:noWrap/>
            <w:vAlign w:val="center"/>
          </w:tcPr>
          <w:p w:rsidR="00E9008A" w:rsidRPr="00316249" w:rsidRDefault="00E9008A" w:rsidP="005B7D01">
            <w:pPr>
              <w:jc w:val="right"/>
              <w:rPr>
                <w:color w:val="000000"/>
                <w:sz w:val="18"/>
                <w:szCs w:val="18"/>
              </w:rPr>
            </w:pPr>
          </w:p>
        </w:tc>
        <w:tc>
          <w:tcPr>
            <w:tcW w:w="60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151 </w:t>
            </w:r>
          </w:p>
        </w:tc>
        <w:tc>
          <w:tcPr>
            <w:tcW w:w="60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5.921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2.349 </w:t>
            </w:r>
          </w:p>
        </w:tc>
      </w:tr>
      <w:tr w:rsidR="00E9008A" w:rsidRPr="00316249" w:rsidTr="007F7D85">
        <w:trPr>
          <w:trHeight w:val="238"/>
        </w:trPr>
        <w:tc>
          <w:tcPr>
            <w:tcW w:w="2577"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Cauções</w:t>
            </w:r>
          </w:p>
        </w:tc>
        <w:tc>
          <w:tcPr>
            <w:tcW w:w="60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731 </w:t>
            </w:r>
          </w:p>
        </w:tc>
        <w:tc>
          <w:tcPr>
            <w:tcW w:w="60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0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4.536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1.573 </w:t>
            </w:r>
          </w:p>
        </w:tc>
      </w:tr>
      <w:tr w:rsidR="00E9008A" w:rsidRPr="00316249" w:rsidTr="007F7D85">
        <w:trPr>
          <w:trHeight w:val="238"/>
        </w:trPr>
        <w:tc>
          <w:tcPr>
            <w:tcW w:w="2577"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Depósitos Recursais</w:t>
            </w:r>
          </w:p>
        </w:tc>
        <w:tc>
          <w:tcPr>
            <w:tcW w:w="60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150 </w:t>
            </w:r>
          </w:p>
        </w:tc>
        <w:tc>
          <w:tcPr>
            <w:tcW w:w="60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673 </w:t>
            </w:r>
          </w:p>
        </w:tc>
        <w:tc>
          <w:tcPr>
            <w:tcW w:w="60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2.176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6.151 </w:t>
            </w:r>
          </w:p>
        </w:tc>
      </w:tr>
      <w:tr w:rsidR="00E9008A" w:rsidRPr="00316249" w:rsidTr="007F7D85">
        <w:trPr>
          <w:trHeight w:val="238"/>
        </w:trPr>
        <w:tc>
          <w:tcPr>
            <w:tcW w:w="2577" w:type="pct"/>
            <w:shd w:val="clear" w:color="auto" w:fill="auto"/>
            <w:noWrap/>
            <w:vAlign w:val="center"/>
            <w:hideMark/>
          </w:tcPr>
          <w:p w:rsidR="00E9008A" w:rsidRPr="00316249" w:rsidRDefault="00E9008A" w:rsidP="005B7D01">
            <w:pPr>
              <w:rPr>
                <w:color w:val="000000"/>
                <w:sz w:val="18"/>
                <w:szCs w:val="18"/>
              </w:rPr>
            </w:pPr>
            <w:r w:rsidRPr="00FC4D50">
              <w:rPr>
                <w:color w:val="000000"/>
                <w:sz w:val="18"/>
                <w:szCs w:val="18"/>
              </w:rPr>
              <w:t xml:space="preserve">(-) Provisão </w:t>
            </w:r>
            <w:r>
              <w:rPr>
                <w:color w:val="000000"/>
                <w:sz w:val="18"/>
                <w:szCs w:val="18"/>
              </w:rPr>
              <w:t>P</w:t>
            </w:r>
            <w:r w:rsidRPr="00FC4D50">
              <w:rPr>
                <w:color w:val="000000"/>
                <w:sz w:val="18"/>
                <w:szCs w:val="18"/>
              </w:rPr>
              <w:t xml:space="preserve">ara Perdas de Depósitos </w:t>
            </w:r>
            <w:r w:rsidRPr="00747E73">
              <w:rPr>
                <w:color w:val="000000"/>
                <w:sz w:val="18"/>
                <w:szCs w:val="18"/>
              </w:rPr>
              <w:t>Recursais e Bloqueios Judiciais</w:t>
            </w:r>
          </w:p>
        </w:tc>
        <w:tc>
          <w:tcPr>
            <w:tcW w:w="60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w:t>
            </w:r>
          </w:p>
        </w:tc>
        <w:tc>
          <w:tcPr>
            <w:tcW w:w="606"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0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(5.921)</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(6.978)</w:t>
            </w:r>
          </w:p>
        </w:tc>
      </w:tr>
      <w:tr w:rsidR="00E9008A" w:rsidRPr="00316249" w:rsidTr="007F7D85">
        <w:trPr>
          <w:trHeight w:val="238"/>
        </w:trPr>
        <w:tc>
          <w:tcPr>
            <w:tcW w:w="2577"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60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881 </w:t>
            </w:r>
          </w:p>
        </w:tc>
        <w:tc>
          <w:tcPr>
            <w:tcW w:w="60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824 </w:t>
            </w:r>
          </w:p>
        </w:tc>
        <w:tc>
          <w:tcPr>
            <w:tcW w:w="60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6.712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3.095 </w:t>
            </w:r>
          </w:p>
        </w:tc>
      </w:tr>
      <w:tr w:rsidR="00E9008A" w:rsidRPr="00316249" w:rsidTr="007F7D85">
        <w:trPr>
          <w:trHeight w:val="238"/>
        </w:trPr>
        <w:tc>
          <w:tcPr>
            <w:tcW w:w="2577"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60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731 </w:t>
            </w:r>
          </w:p>
        </w:tc>
        <w:tc>
          <w:tcPr>
            <w:tcW w:w="60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60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4.536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r>
      <w:tr w:rsidR="00E9008A" w:rsidRPr="00316249" w:rsidTr="007F7D85">
        <w:trPr>
          <w:trHeight w:val="238"/>
        </w:trPr>
        <w:tc>
          <w:tcPr>
            <w:tcW w:w="2577"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60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150 </w:t>
            </w:r>
          </w:p>
        </w:tc>
        <w:tc>
          <w:tcPr>
            <w:tcW w:w="606"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824 </w:t>
            </w:r>
          </w:p>
        </w:tc>
        <w:tc>
          <w:tcPr>
            <w:tcW w:w="60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2.176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3.095 </w:t>
            </w:r>
          </w:p>
        </w:tc>
      </w:tr>
    </w:tbl>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ATIVO FINANCEIRO INDENIZÁVEL</w:t>
      </w:r>
    </w:p>
    <w:p w:rsidR="00E9008A" w:rsidRPr="00316249" w:rsidRDefault="00E9008A" w:rsidP="00E9008A">
      <w:pPr>
        <w:autoSpaceDE w:val="0"/>
        <w:autoSpaceDN w:val="0"/>
        <w:adjustRightInd w:val="0"/>
        <w:spacing w:before="240" w:after="240"/>
        <w:jc w:val="both"/>
      </w:pPr>
      <w:r w:rsidRPr="00316249">
        <w:rPr>
          <w:sz w:val="22"/>
          <w:szCs w:val="22"/>
        </w:rPr>
        <w:t>Os ativos da concessão (ativo financeiro indenizável e intangível da concessão)</w:t>
      </w:r>
      <w:r w:rsidRPr="00316249">
        <w:t xml:space="preserve"> </w:t>
      </w:r>
      <w:r w:rsidRPr="00316249">
        <w:rPr>
          <w:sz w:val="22"/>
          <w:szCs w:val="22"/>
        </w:rPr>
        <w:t>são remunerados por meio do WACC regulatório, que consiste nos juros remuneratórios incluídos na tarifa cobrada dos clientes da CEB D e seu</w:t>
      </w:r>
      <w:r w:rsidRPr="00316249">
        <w:t xml:space="preserve"> </w:t>
      </w:r>
      <w:r w:rsidRPr="00316249">
        <w:rPr>
          <w:sz w:val="22"/>
          <w:szCs w:val="22"/>
        </w:rPr>
        <w:t>montante está incluído na composição da receita de tarifa faturada aos</w:t>
      </w:r>
      <w:r w:rsidRPr="00316249">
        <w:t xml:space="preserve"> </w:t>
      </w:r>
      <w:r w:rsidRPr="00316249">
        <w:rPr>
          <w:sz w:val="22"/>
          <w:szCs w:val="22"/>
        </w:rPr>
        <w:t>consumidores e recebida mensalmente.</w:t>
      </w:r>
    </w:p>
    <w:p w:rsidR="00E9008A" w:rsidRPr="00316249" w:rsidRDefault="00E9008A" w:rsidP="00E9008A">
      <w:pPr>
        <w:autoSpaceDE w:val="0"/>
        <w:autoSpaceDN w:val="0"/>
        <w:adjustRightInd w:val="0"/>
        <w:spacing w:before="240" w:after="240"/>
        <w:jc w:val="both"/>
      </w:pPr>
      <w:r w:rsidRPr="00316249">
        <w:rPr>
          <w:sz w:val="22"/>
          <w:szCs w:val="22"/>
        </w:rPr>
        <w:t>O ativo financeiro da concessão corresponde à parcela estimada dos investimentos</w:t>
      </w:r>
      <w:r w:rsidRPr="00316249">
        <w:t xml:space="preserve"> </w:t>
      </w:r>
      <w:r w:rsidRPr="00316249">
        <w:rPr>
          <w:sz w:val="22"/>
          <w:szCs w:val="22"/>
        </w:rPr>
        <w:t>realizados na infraestrutura do serviço público que não será totalmente depreciada</w:t>
      </w:r>
      <w:r w:rsidRPr="00316249">
        <w:t xml:space="preserve"> </w:t>
      </w:r>
      <w:r w:rsidRPr="00316249">
        <w:rPr>
          <w:sz w:val="22"/>
          <w:szCs w:val="22"/>
        </w:rPr>
        <w:t>até o final da concessão. A concessionária possui o direito incondicional de receber</w:t>
      </w:r>
      <w:r w:rsidRPr="00316249">
        <w:t xml:space="preserve"> </w:t>
      </w:r>
      <w:r w:rsidRPr="00316249">
        <w:rPr>
          <w:sz w:val="22"/>
          <w:szCs w:val="22"/>
        </w:rPr>
        <w:t>dinheiro ou outro ativo financeiro do Poder Concedente, a título de indenização</w:t>
      </w:r>
      <w:r w:rsidRPr="00316249">
        <w:t xml:space="preserve"> </w:t>
      </w:r>
      <w:r w:rsidRPr="00316249">
        <w:rPr>
          <w:sz w:val="22"/>
          <w:szCs w:val="22"/>
        </w:rPr>
        <w:t>pela reversão da infraestrutura do serviço público. Os ativos financeiros</w:t>
      </w:r>
      <w:r w:rsidRPr="00316249">
        <w:t xml:space="preserve"> </w:t>
      </w:r>
      <w:r w:rsidRPr="00316249">
        <w:rPr>
          <w:sz w:val="22"/>
          <w:szCs w:val="22"/>
        </w:rPr>
        <w:t>relacionados ao contrato da concessão são classificados como disponíveis para</w:t>
      </w:r>
      <w:r w:rsidRPr="00316249">
        <w:t xml:space="preserve"> </w:t>
      </w:r>
      <w:r w:rsidRPr="00316249">
        <w:rPr>
          <w:sz w:val="22"/>
          <w:szCs w:val="22"/>
        </w:rPr>
        <w:t>venda e nos exercícios apresentados, foram valorizados com base na BRR – Base</w:t>
      </w:r>
      <w:r w:rsidRPr="00316249">
        <w:t xml:space="preserve"> </w:t>
      </w:r>
      <w:r w:rsidRPr="00316249">
        <w:rPr>
          <w:sz w:val="22"/>
          <w:szCs w:val="22"/>
        </w:rPr>
        <w:t>de Remuneração Regulatória, conceito de valor de reposição, que é o critério</w:t>
      </w:r>
      <w:r w:rsidRPr="00316249">
        <w:t xml:space="preserve"> </w:t>
      </w:r>
      <w:r w:rsidRPr="00316249">
        <w:rPr>
          <w:sz w:val="22"/>
          <w:szCs w:val="22"/>
        </w:rPr>
        <w:t>utilizado pela ANEEL para determinar a tarifa de energia das distribuidoras.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De acordo, ainda, com o pronunciamento técnico CPC 38, as alterações</w:t>
      </w:r>
      <w:r w:rsidRPr="00316249">
        <w:t xml:space="preserve"> </w:t>
      </w:r>
      <w:r w:rsidRPr="00316249">
        <w:rPr>
          <w:sz w:val="22"/>
          <w:szCs w:val="22"/>
        </w:rPr>
        <w:t>resultantes de mudanças nas condições de mercado (variações em taxas de juros)</w:t>
      </w:r>
      <w:r w:rsidRPr="00316249">
        <w:t xml:space="preserve"> </w:t>
      </w:r>
      <w:r w:rsidRPr="00316249">
        <w:rPr>
          <w:sz w:val="22"/>
          <w:szCs w:val="22"/>
        </w:rPr>
        <w:t>são registradas no patrimônio líquido em outros resultados abrangentes. Por não</w:t>
      </w:r>
      <w:r w:rsidRPr="00316249">
        <w:t xml:space="preserve"> </w:t>
      </w:r>
      <w:r w:rsidRPr="00316249">
        <w:rPr>
          <w:sz w:val="22"/>
          <w:szCs w:val="22"/>
        </w:rPr>
        <w:t>existir um mercado ativo para negociação deste ativo financeiro, a Companhia</w:t>
      </w:r>
      <w:r w:rsidRPr="00316249">
        <w:t xml:space="preserve"> </w:t>
      </w:r>
      <w:r w:rsidRPr="00316249">
        <w:rPr>
          <w:sz w:val="22"/>
          <w:szCs w:val="22"/>
        </w:rPr>
        <w:t>mensura seu valor justo utilizando os mesmos componentes da taxa de remuneração regulatória estabelecida pela ANEEL (WACC Regulatório). Caso a</w:t>
      </w:r>
      <w:r w:rsidRPr="00316249">
        <w:t xml:space="preserve"> </w:t>
      </w:r>
      <w:r w:rsidRPr="00316249">
        <w:rPr>
          <w:sz w:val="22"/>
          <w:szCs w:val="22"/>
        </w:rPr>
        <w:t>concessionária verifique uma mudança no WACC regulatório durante os períodos de</w:t>
      </w:r>
      <w:r w:rsidRPr="00316249">
        <w:t xml:space="preserve"> </w:t>
      </w:r>
      <w:r w:rsidRPr="00316249">
        <w:rPr>
          <w:sz w:val="22"/>
          <w:szCs w:val="22"/>
        </w:rPr>
        <w:t>revisão tarifária, essa nova taxa de juros é utilizada para trazer a</w:t>
      </w:r>
      <w:r w:rsidRPr="00316249">
        <w:t xml:space="preserve"> </w:t>
      </w:r>
      <w:r w:rsidRPr="00316249">
        <w:rPr>
          <w:sz w:val="22"/>
          <w:szCs w:val="22"/>
        </w:rPr>
        <w:t>valor presente os fluxos de caixa estimados. A CEB D entende que esta</w:t>
      </w:r>
      <w:r w:rsidRPr="00316249">
        <w:t xml:space="preserve"> </w:t>
      </w:r>
      <w:r w:rsidRPr="00316249">
        <w:rPr>
          <w:sz w:val="22"/>
          <w:szCs w:val="22"/>
        </w:rPr>
        <w:t>metodologia é a que melhor reflete o valor justo na visão dos participantes do</w:t>
      </w:r>
      <w:r w:rsidRPr="00316249">
        <w:t xml:space="preserve"> </w:t>
      </w:r>
      <w:r w:rsidRPr="00316249">
        <w:rPr>
          <w:sz w:val="22"/>
          <w:szCs w:val="22"/>
        </w:rPr>
        <w:t>mercado, uma vez que a taxa de retorno estabelecida pela ANEEL leva em</w:t>
      </w:r>
      <w:r w:rsidRPr="00316249">
        <w:t xml:space="preserve"> </w:t>
      </w:r>
      <w:r w:rsidRPr="00316249">
        <w:rPr>
          <w:sz w:val="22"/>
          <w:szCs w:val="22"/>
        </w:rPr>
        <w:t>consideração, além das taxas livres de riscos, os demais riscos inerentes ao setor.</w:t>
      </w:r>
    </w:p>
    <w:p w:rsidR="00E9008A" w:rsidRDefault="00E9008A" w:rsidP="007F7D85">
      <w:pPr>
        <w:autoSpaceDE w:val="0"/>
        <w:autoSpaceDN w:val="0"/>
        <w:adjustRightInd w:val="0"/>
        <w:spacing w:before="240" w:after="240"/>
        <w:jc w:val="both"/>
        <w:rPr>
          <w:sz w:val="22"/>
          <w:szCs w:val="22"/>
        </w:rPr>
      </w:pPr>
      <w:r w:rsidRPr="00316249">
        <w:rPr>
          <w:sz w:val="22"/>
          <w:szCs w:val="22"/>
        </w:rPr>
        <w:t>Portanto, os ajustes decorrentes da diferença entre o WACC de mercado e o WACC regulatório são reconhecidos no patrimônio líquido. Em 31 de dezembro de 2016, não há saldo registrado em outros resultados abrangentes, uma vez que a Companhia concluiu que naquela data não havia difer</w:t>
      </w:r>
      <w:r w:rsidR="007F7D85">
        <w:rPr>
          <w:sz w:val="22"/>
          <w:szCs w:val="22"/>
        </w:rPr>
        <w:t xml:space="preserve">ença entre essas taxas. </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A movimentação do saldo referente ao ativo financeiro indenizável (concessão) para o período de doze meses, mostrada no quadro seguinte: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5"/>
        <w:gridCol w:w="1286"/>
      </w:tblGrid>
      <w:tr w:rsidR="00E9008A" w:rsidRPr="00316249" w:rsidTr="005B7D01">
        <w:trPr>
          <w:trHeight w:val="238"/>
        </w:trPr>
        <w:tc>
          <w:tcPr>
            <w:tcW w:w="4302"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Saldos em 31 de dezembro de 2014 </w:t>
            </w:r>
          </w:p>
        </w:tc>
        <w:tc>
          <w:tcPr>
            <w:tcW w:w="69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841.273 </w:t>
            </w:r>
          </w:p>
        </w:tc>
      </w:tr>
      <w:tr w:rsidR="00E9008A" w:rsidRPr="00316249" w:rsidTr="005B7D01">
        <w:trPr>
          <w:trHeight w:val="238"/>
        </w:trPr>
        <w:tc>
          <w:tcPr>
            <w:tcW w:w="430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Adições </w:t>
            </w:r>
          </w:p>
        </w:tc>
        <w:tc>
          <w:tcPr>
            <w:tcW w:w="69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55.160 </w:t>
            </w:r>
          </w:p>
        </w:tc>
      </w:tr>
      <w:tr w:rsidR="00E9008A" w:rsidRPr="00316249" w:rsidTr="005B7D01">
        <w:trPr>
          <w:trHeight w:val="238"/>
        </w:trPr>
        <w:tc>
          <w:tcPr>
            <w:tcW w:w="430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Transferência Para Realização no Intangível </w:t>
            </w:r>
          </w:p>
        </w:tc>
        <w:tc>
          <w:tcPr>
            <w:tcW w:w="698"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(874.590)</w:t>
            </w:r>
          </w:p>
        </w:tc>
      </w:tr>
      <w:tr w:rsidR="00E9008A" w:rsidRPr="00316249" w:rsidTr="005B7D01">
        <w:trPr>
          <w:trHeight w:val="238"/>
        </w:trPr>
        <w:tc>
          <w:tcPr>
            <w:tcW w:w="4302" w:type="pct"/>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Transferência do Intangível </w:t>
            </w:r>
            <w:r>
              <w:rPr>
                <w:color w:val="000000"/>
                <w:sz w:val="18"/>
                <w:szCs w:val="18"/>
              </w:rPr>
              <w:t>–</w:t>
            </w:r>
            <w:r w:rsidRPr="00316249">
              <w:rPr>
                <w:color w:val="000000"/>
                <w:sz w:val="18"/>
                <w:szCs w:val="18"/>
              </w:rPr>
              <w:t xml:space="preserve"> VNR Terrenos</w:t>
            </w:r>
          </w:p>
        </w:tc>
        <w:tc>
          <w:tcPr>
            <w:tcW w:w="698"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70.407 </w:t>
            </w:r>
          </w:p>
        </w:tc>
      </w:tr>
      <w:tr w:rsidR="00E9008A" w:rsidRPr="00316249" w:rsidTr="005B7D01">
        <w:trPr>
          <w:trHeight w:val="238"/>
        </w:trPr>
        <w:tc>
          <w:tcPr>
            <w:tcW w:w="4302" w:type="pct"/>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Ajuste do Ativo Financeiro de Concessão a VNR</w:t>
            </w:r>
          </w:p>
        </w:tc>
        <w:tc>
          <w:tcPr>
            <w:tcW w:w="698"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5.808 </w:t>
            </w:r>
          </w:p>
        </w:tc>
      </w:tr>
      <w:tr w:rsidR="00E9008A" w:rsidRPr="00316249" w:rsidTr="005B7D01">
        <w:trPr>
          <w:trHeight w:val="238"/>
        </w:trPr>
        <w:tc>
          <w:tcPr>
            <w:tcW w:w="4302"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Saldos em 31 de dezembro de 2015 (Reapresentado)</w:t>
            </w:r>
          </w:p>
        </w:tc>
        <w:tc>
          <w:tcPr>
            <w:tcW w:w="698" w:type="pct"/>
            <w:shd w:val="clear" w:color="auto" w:fill="auto"/>
            <w:noWrap/>
            <w:vAlign w:val="bottom"/>
            <w:hideMark/>
          </w:tcPr>
          <w:p w:rsidR="00E9008A" w:rsidRPr="00316249" w:rsidRDefault="00E9008A" w:rsidP="005B7D01">
            <w:pPr>
              <w:jc w:val="right"/>
              <w:rPr>
                <w:b/>
                <w:color w:val="000000"/>
                <w:sz w:val="18"/>
                <w:szCs w:val="18"/>
              </w:rPr>
            </w:pPr>
            <w:r w:rsidRPr="00316249">
              <w:rPr>
                <w:b/>
                <w:color w:val="000000"/>
                <w:sz w:val="18"/>
                <w:szCs w:val="18"/>
              </w:rPr>
              <w:t xml:space="preserve">95.372 </w:t>
            </w:r>
          </w:p>
        </w:tc>
      </w:tr>
      <w:tr w:rsidR="00E9008A" w:rsidRPr="00316249" w:rsidTr="005B7D01">
        <w:trPr>
          <w:trHeight w:val="238"/>
        </w:trPr>
        <w:tc>
          <w:tcPr>
            <w:tcW w:w="430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lastRenderedPageBreak/>
              <w:t xml:space="preserve"> Adições </w:t>
            </w:r>
          </w:p>
        </w:tc>
        <w:tc>
          <w:tcPr>
            <w:tcW w:w="698"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3.886</w:t>
            </w:r>
          </w:p>
        </w:tc>
      </w:tr>
      <w:tr w:rsidR="00E9008A" w:rsidRPr="00316249" w:rsidTr="005B7D01">
        <w:trPr>
          <w:trHeight w:val="238"/>
        </w:trPr>
        <w:tc>
          <w:tcPr>
            <w:tcW w:w="430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Ajuste do Ativo Financeiro de Concessão a VNR</w:t>
            </w:r>
          </w:p>
        </w:tc>
        <w:tc>
          <w:tcPr>
            <w:tcW w:w="698"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29.931</w:t>
            </w:r>
          </w:p>
        </w:tc>
      </w:tr>
      <w:tr w:rsidR="00E9008A" w:rsidRPr="00316249" w:rsidTr="005B7D01">
        <w:trPr>
          <w:trHeight w:val="238"/>
        </w:trPr>
        <w:tc>
          <w:tcPr>
            <w:tcW w:w="4302"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Saldos em 31 de dezembro de 2016</w:t>
            </w:r>
          </w:p>
        </w:tc>
        <w:tc>
          <w:tcPr>
            <w:tcW w:w="698"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129.189      </w:t>
            </w:r>
          </w:p>
        </w:tc>
      </w:tr>
    </w:tbl>
    <w:p w:rsidR="00E9008A" w:rsidRDefault="00E9008A" w:rsidP="00E9008A">
      <w:pPr>
        <w:autoSpaceDE w:val="0"/>
        <w:autoSpaceDN w:val="0"/>
        <w:adjustRightInd w:val="0"/>
        <w:spacing w:before="240" w:after="240"/>
        <w:jc w:val="both"/>
        <w:rPr>
          <w:sz w:val="22"/>
          <w:szCs w:val="22"/>
        </w:rPr>
      </w:pPr>
      <w:r w:rsidRPr="00316249">
        <w:rPr>
          <w:sz w:val="22"/>
          <w:szCs w:val="22"/>
        </w:rPr>
        <w:t>O valor recuperável destes ativos supera seu valor contábil e, portanto, não há perdas por desvalorização a serem reconhecidas. Não houve indícios de perda no valor recuperável desses ativos na data das demonstrações financeiras</w:t>
      </w:r>
      <w:r>
        <w:rPr>
          <w:sz w:val="22"/>
          <w:szCs w:val="22"/>
        </w:rPr>
        <w:t>.</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APLICAÇÕES FINANCEIRAS</w:t>
      </w:r>
    </w:p>
    <w:tbl>
      <w:tblPr>
        <w:tblW w:w="5000" w:type="pct"/>
        <w:tblCellMar>
          <w:left w:w="70" w:type="dxa"/>
          <w:right w:w="70" w:type="dxa"/>
        </w:tblCellMar>
        <w:tblLook w:val="04A0" w:firstRow="1" w:lastRow="0" w:firstColumn="1" w:lastColumn="0" w:noHBand="0" w:noVBand="1"/>
      </w:tblPr>
      <w:tblGrid>
        <w:gridCol w:w="5861"/>
        <w:gridCol w:w="1675"/>
        <w:gridCol w:w="1675"/>
      </w:tblGrid>
      <w:tr w:rsidR="00E9008A" w:rsidRPr="00316249" w:rsidTr="005B7D01">
        <w:trPr>
          <w:trHeight w:val="240"/>
          <w:tblHeader/>
        </w:trPr>
        <w:tc>
          <w:tcPr>
            <w:tcW w:w="31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rPr>
                <w:color w:val="000000"/>
                <w:sz w:val="18"/>
                <w:szCs w:val="18"/>
              </w:rPr>
            </w:pPr>
            <w:r w:rsidRPr="00316249">
              <w:rPr>
                <w:color w:val="000000"/>
                <w:sz w:val="18"/>
                <w:szCs w:val="18"/>
              </w:rPr>
              <w:t> </w:t>
            </w:r>
          </w:p>
        </w:tc>
        <w:tc>
          <w:tcPr>
            <w:tcW w:w="1818" w:type="pct"/>
            <w:gridSpan w:val="2"/>
            <w:tcBorders>
              <w:top w:val="single" w:sz="4" w:space="0" w:color="auto"/>
              <w:left w:val="nil"/>
              <w:bottom w:val="single" w:sz="4" w:space="0" w:color="auto"/>
              <w:right w:val="single" w:sz="4" w:space="0" w:color="auto"/>
            </w:tcBorders>
          </w:tcPr>
          <w:p w:rsidR="00E9008A" w:rsidRPr="00316249" w:rsidRDefault="00E9008A" w:rsidP="005B7D01">
            <w:pPr>
              <w:jc w:val="center"/>
              <w:rPr>
                <w:b/>
                <w:bCs/>
                <w:color w:val="000000"/>
                <w:sz w:val="18"/>
                <w:szCs w:val="18"/>
              </w:rPr>
            </w:pPr>
            <w:r w:rsidRPr="00316249">
              <w:rPr>
                <w:b/>
                <w:bCs/>
                <w:color w:val="000000"/>
                <w:sz w:val="18"/>
                <w:szCs w:val="18"/>
              </w:rPr>
              <w:t xml:space="preserve"> Consolidado </w:t>
            </w:r>
          </w:p>
        </w:tc>
      </w:tr>
      <w:tr w:rsidR="00E9008A" w:rsidRPr="00316249" w:rsidTr="005B7D01">
        <w:trPr>
          <w:trHeight w:val="240"/>
          <w:tblHeader/>
        </w:trPr>
        <w:tc>
          <w:tcPr>
            <w:tcW w:w="318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8"/>
                <w:szCs w:val="18"/>
              </w:rPr>
            </w:pPr>
          </w:p>
        </w:tc>
        <w:tc>
          <w:tcPr>
            <w:tcW w:w="909" w:type="pct"/>
            <w:tcBorders>
              <w:top w:val="single" w:sz="4" w:space="0" w:color="auto"/>
              <w:left w:val="nil"/>
              <w:bottom w:val="single" w:sz="4" w:space="0" w:color="auto"/>
              <w:right w:val="single" w:sz="4" w:space="0" w:color="auto"/>
            </w:tcBorders>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40"/>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Principal – Banco </w:t>
            </w:r>
            <w:proofErr w:type="spellStart"/>
            <w:r w:rsidRPr="00316249">
              <w:rPr>
                <w:i/>
                <w:color w:val="000000"/>
                <w:sz w:val="18"/>
                <w:szCs w:val="18"/>
              </w:rPr>
              <w:t>Credit</w:t>
            </w:r>
            <w:proofErr w:type="spellEnd"/>
            <w:r w:rsidRPr="00316249">
              <w:rPr>
                <w:i/>
                <w:color w:val="000000"/>
                <w:sz w:val="18"/>
                <w:szCs w:val="18"/>
              </w:rPr>
              <w:t xml:space="preserve"> </w:t>
            </w:r>
            <w:proofErr w:type="spellStart"/>
            <w:r w:rsidRPr="00316249">
              <w:rPr>
                <w:i/>
                <w:color w:val="000000"/>
                <w:sz w:val="18"/>
                <w:szCs w:val="18"/>
              </w:rPr>
              <w:t>Suisse</w:t>
            </w:r>
            <w:proofErr w:type="spellEnd"/>
            <w:r w:rsidRPr="00316249">
              <w:rPr>
                <w:color w:val="000000"/>
                <w:sz w:val="18"/>
                <w:szCs w:val="18"/>
              </w:rPr>
              <w:t xml:space="preserve"> </w:t>
            </w:r>
            <w:r w:rsidRPr="00876E50">
              <w:rPr>
                <w:b/>
                <w:color w:val="000000"/>
                <w:sz w:val="18"/>
                <w:szCs w:val="18"/>
              </w:rPr>
              <w:t>(a)</w:t>
            </w:r>
            <w:r w:rsidRPr="00316249">
              <w:rPr>
                <w:color w:val="000000"/>
                <w:sz w:val="18"/>
                <w:szCs w:val="18"/>
              </w:rPr>
              <w:t xml:space="preserve"> </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r w:rsidRPr="00316249">
              <w:rPr>
                <w:color w:val="000000"/>
                <w:sz w:val="18"/>
                <w:szCs w:val="18"/>
              </w:rPr>
              <w:t xml:space="preserve">                           6.000 </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6.000 </w:t>
            </w:r>
          </w:p>
        </w:tc>
      </w:tr>
      <w:tr w:rsidR="00E9008A" w:rsidRPr="00316249" w:rsidTr="005B7D01">
        <w:trPr>
          <w:trHeight w:val="240"/>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Rentabilidade – Banco </w:t>
            </w:r>
            <w:proofErr w:type="spellStart"/>
            <w:r w:rsidRPr="00316249">
              <w:rPr>
                <w:i/>
                <w:color w:val="000000"/>
                <w:sz w:val="18"/>
                <w:szCs w:val="18"/>
              </w:rPr>
              <w:t>Credit</w:t>
            </w:r>
            <w:proofErr w:type="spellEnd"/>
            <w:r w:rsidRPr="00316249">
              <w:rPr>
                <w:i/>
                <w:color w:val="000000"/>
                <w:sz w:val="18"/>
                <w:szCs w:val="18"/>
              </w:rPr>
              <w:t xml:space="preserve"> </w:t>
            </w:r>
            <w:proofErr w:type="spellStart"/>
            <w:r w:rsidRPr="00316249">
              <w:rPr>
                <w:i/>
                <w:color w:val="000000"/>
                <w:sz w:val="18"/>
                <w:szCs w:val="18"/>
              </w:rPr>
              <w:t>Suisse</w:t>
            </w:r>
            <w:proofErr w:type="spellEnd"/>
            <w:r w:rsidRPr="00316249">
              <w:rPr>
                <w:color w:val="000000"/>
                <w:sz w:val="18"/>
                <w:szCs w:val="18"/>
              </w:rPr>
              <w:t xml:space="preserve"> </w:t>
            </w:r>
            <w:r w:rsidRPr="00876E50">
              <w:rPr>
                <w:b/>
                <w:color w:val="000000"/>
                <w:sz w:val="18"/>
                <w:szCs w:val="18"/>
              </w:rPr>
              <w:t>(a)</w:t>
            </w:r>
            <w:r w:rsidRPr="00316249">
              <w:rPr>
                <w:color w:val="000000"/>
                <w:sz w:val="18"/>
                <w:szCs w:val="18"/>
              </w:rPr>
              <w:t xml:space="preserve"> </w:t>
            </w:r>
          </w:p>
        </w:tc>
        <w:tc>
          <w:tcPr>
            <w:tcW w:w="909" w:type="pct"/>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r w:rsidRPr="00316249">
              <w:rPr>
                <w:color w:val="000000"/>
                <w:sz w:val="18"/>
                <w:szCs w:val="18"/>
              </w:rPr>
              <w:t xml:space="preserve">                               414 </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415 </w:t>
            </w:r>
          </w:p>
        </w:tc>
      </w:tr>
      <w:tr w:rsidR="00E9008A" w:rsidRPr="00316249" w:rsidTr="005B7D01">
        <w:trPr>
          <w:trHeight w:val="240"/>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Principal – Banco </w:t>
            </w:r>
            <w:proofErr w:type="spellStart"/>
            <w:r w:rsidRPr="00316249">
              <w:rPr>
                <w:color w:val="000000"/>
                <w:sz w:val="18"/>
                <w:szCs w:val="18"/>
              </w:rPr>
              <w:t>Panamericano</w:t>
            </w:r>
            <w:proofErr w:type="spellEnd"/>
            <w:r w:rsidRPr="00316249">
              <w:rPr>
                <w:color w:val="000000"/>
                <w:sz w:val="18"/>
                <w:szCs w:val="18"/>
              </w:rPr>
              <w:t xml:space="preserve"> – CDB 006026GS </w:t>
            </w:r>
            <w:r w:rsidRPr="00876E50">
              <w:rPr>
                <w:b/>
                <w:color w:val="000000"/>
                <w:sz w:val="18"/>
                <w:szCs w:val="18"/>
              </w:rPr>
              <w:t>(b)</w:t>
            </w:r>
            <w:r w:rsidRPr="00316249">
              <w:rPr>
                <w:color w:val="000000"/>
                <w:sz w:val="18"/>
                <w:szCs w:val="18"/>
              </w:rPr>
              <w:t xml:space="preserve"> </w:t>
            </w:r>
          </w:p>
        </w:tc>
        <w:tc>
          <w:tcPr>
            <w:tcW w:w="909" w:type="pct"/>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r w:rsidRPr="00316249">
              <w:rPr>
                <w:color w:val="000000"/>
                <w:sz w:val="18"/>
                <w:szCs w:val="18"/>
              </w:rPr>
              <w:t xml:space="preserve">                               219 </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19 </w:t>
            </w:r>
          </w:p>
        </w:tc>
      </w:tr>
      <w:tr w:rsidR="00E9008A" w:rsidRPr="00316249" w:rsidTr="005B7D01">
        <w:trPr>
          <w:trHeight w:val="240"/>
        </w:trPr>
        <w:tc>
          <w:tcPr>
            <w:tcW w:w="3182"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Cs/>
                <w:color w:val="000000"/>
                <w:sz w:val="18"/>
                <w:szCs w:val="18"/>
              </w:rPr>
            </w:pPr>
            <w:r w:rsidRPr="00316249">
              <w:rPr>
                <w:bCs/>
                <w:color w:val="000000"/>
                <w:sz w:val="18"/>
                <w:szCs w:val="18"/>
              </w:rPr>
              <w:t xml:space="preserve"> Títulos Mobiliários</w:t>
            </w:r>
          </w:p>
        </w:tc>
        <w:tc>
          <w:tcPr>
            <w:tcW w:w="909" w:type="pct"/>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r w:rsidRPr="00316249">
              <w:rPr>
                <w:color w:val="000000"/>
                <w:sz w:val="18"/>
                <w:szCs w:val="18"/>
              </w:rPr>
              <w:t xml:space="preserve">                           1.134 </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40"/>
        </w:trPr>
        <w:tc>
          <w:tcPr>
            <w:tcW w:w="318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909" w:type="pct"/>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7.767 </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6.434 </w:t>
            </w:r>
          </w:p>
        </w:tc>
      </w:tr>
      <w:tr w:rsidR="00E9008A" w:rsidRPr="00316249" w:rsidTr="005B7D01">
        <w:trPr>
          <w:trHeight w:val="240"/>
        </w:trPr>
        <w:tc>
          <w:tcPr>
            <w:tcW w:w="318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909" w:type="pct"/>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7.767 </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jc w:val="right"/>
              <w:rPr>
                <w:b/>
                <w:bCs/>
                <w:color w:val="000000"/>
                <w:sz w:val="18"/>
                <w:szCs w:val="18"/>
              </w:rPr>
            </w:pPr>
            <w:r w:rsidRPr="00316249">
              <w:rPr>
                <w:b/>
                <w:bCs/>
                <w:color w:val="000000"/>
                <w:sz w:val="18"/>
                <w:szCs w:val="18"/>
              </w:rPr>
              <w:t xml:space="preserve">               6.434 </w:t>
            </w:r>
          </w:p>
        </w:tc>
      </w:tr>
    </w:tbl>
    <w:p w:rsidR="00E9008A" w:rsidRPr="00316249" w:rsidRDefault="00E9008A" w:rsidP="00E9008A">
      <w:pPr>
        <w:spacing w:before="240"/>
        <w:ind w:left="1134" w:hanging="1134"/>
        <w:jc w:val="both"/>
        <w:rPr>
          <w:sz w:val="22"/>
          <w:szCs w:val="22"/>
        </w:rPr>
      </w:pPr>
      <w:r w:rsidRPr="00316249">
        <w:rPr>
          <w:b/>
          <w:sz w:val="22"/>
          <w:szCs w:val="22"/>
        </w:rPr>
        <w:t>(a)</w:t>
      </w:r>
      <w:r w:rsidRPr="00316249">
        <w:rPr>
          <w:sz w:val="22"/>
          <w:szCs w:val="22"/>
        </w:rPr>
        <w:t xml:space="preserve"> </w:t>
      </w:r>
      <w:r w:rsidRPr="00316249">
        <w:rPr>
          <w:sz w:val="22"/>
          <w:szCs w:val="22"/>
        </w:rPr>
        <w:tab/>
        <w:t xml:space="preserve">Conforme Contrato de Cessão Fiduciária, formalizado entre a CEB Distribuição S.A. e o </w:t>
      </w:r>
      <w:proofErr w:type="spellStart"/>
      <w:r w:rsidRPr="00316249">
        <w:rPr>
          <w:i/>
          <w:sz w:val="22"/>
          <w:szCs w:val="22"/>
        </w:rPr>
        <w:t>Credit</w:t>
      </w:r>
      <w:proofErr w:type="spellEnd"/>
      <w:r w:rsidRPr="00316249">
        <w:rPr>
          <w:i/>
          <w:sz w:val="22"/>
          <w:szCs w:val="22"/>
        </w:rPr>
        <w:t xml:space="preserve"> </w:t>
      </w:r>
      <w:proofErr w:type="spellStart"/>
      <w:r w:rsidRPr="00316249">
        <w:rPr>
          <w:i/>
          <w:sz w:val="22"/>
          <w:szCs w:val="22"/>
        </w:rPr>
        <w:t>Suisse</w:t>
      </w:r>
      <w:proofErr w:type="spellEnd"/>
      <w:r w:rsidRPr="00316249">
        <w:rPr>
          <w:sz w:val="22"/>
          <w:szCs w:val="22"/>
        </w:rPr>
        <w:t xml:space="preserve">, ficou estabelecido que fosse constituída reserva para garantir o pagamento da Remuneração de Descontinuidade por meio de certificados de depósito bancário, no montante de emissão equivalente a R$ 6.000. Este valor está mantido em aplicação financeira com renda fixa </w:t>
      </w:r>
      <w:r w:rsidRPr="00316249">
        <w:rPr>
          <w:color w:val="000000"/>
          <w:sz w:val="22"/>
          <w:szCs w:val="22"/>
        </w:rPr>
        <w:t>–</w:t>
      </w:r>
      <w:r w:rsidRPr="00316249">
        <w:rPr>
          <w:sz w:val="22"/>
          <w:szCs w:val="22"/>
        </w:rPr>
        <w:t xml:space="preserve"> CDB, no </w:t>
      </w:r>
      <w:proofErr w:type="spellStart"/>
      <w:r w:rsidRPr="00316249">
        <w:rPr>
          <w:i/>
          <w:sz w:val="22"/>
          <w:szCs w:val="22"/>
        </w:rPr>
        <w:t>Credit</w:t>
      </w:r>
      <w:proofErr w:type="spellEnd"/>
      <w:r w:rsidRPr="00316249">
        <w:rPr>
          <w:i/>
          <w:sz w:val="22"/>
          <w:szCs w:val="22"/>
        </w:rPr>
        <w:t xml:space="preserve"> </w:t>
      </w:r>
      <w:proofErr w:type="spellStart"/>
      <w:r w:rsidRPr="00316249">
        <w:rPr>
          <w:i/>
          <w:sz w:val="22"/>
          <w:szCs w:val="22"/>
        </w:rPr>
        <w:t>Suisse</w:t>
      </w:r>
      <w:proofErr w:type="spellEnd"/>
      <w:r w:rsidRPr="00316249">
        <w:rPr>
          <w:sz w:val="22"/>
          <w:szCs w:val="22"/>
        </w:rPr>
        <w:t>, cuja rentabilidade está afixada em 100% do CDI; e</w:t>
      </w:r>
    </w:p>
    <w:p w:rsidR="00E9008A" w:rsidRPr="00316249" w:rsidRDefault="00E9008A" w:rsidP="00E9008A">
      <w:pPr>
        <w:spacing w:before="240"/>
        <w:ind w:left="1134" w:hanging="1134"/>
        <w:jc w:val="both"/>
        <w:rPr>
          <w:bCs/>
          <w:sz w:val="22"/>
          <w:szCs w:val="22"/>
        </w:rPr>
      </w:pPr>
      <w:r w:rsidRPr="00316249">
        <w:rPr>
          <w:b/>
          <w:sz w:val="22"/>
          <w:szCs w:val="22"/>
        </w:rPr>
        <w:t>(b)</w:t>
      </w:r>
      <w:r w:rsidRPr="00316249">
        <w:rPr>
          <w:sz w:val="22"/>
          <w:szCs w:val="22"/>
        </w:rPr>
        <w:tab/>
      </w:r>
      <w:r w:rsidRPr="00316249">
        <w:rPr>
          <w:bCs/>
          <w:sz w:val="22"/>
          <w:szCs w:val="22"/>
        </w:rPr>
        <w:t xml:space="preserve">A CEB Participações S.A. juntamente com os demais participantes do extinto Fundo de Investimento em Participação Corumbá – FIP possuem aplicação financeira em fundo de investimento do Banco </w:t>
      </w:r>
      <w:proofErr w:type="spellStart"/>
      <w:r w:rsidRPr="00316249">
        <w:rPr>
          <w:bCs/>
          <w:sz w:val="22"/>
          <w:szCs w:val="22"/>
        </w:rPr>
        <w:t>Panamericano</w:t>
      </w:r>
      <w:proofErr w:type="spellEnd"/>
      <w:r w:rsidRPr="00316249">
        <w:rPr>
          <w:bCs/>
          <w:sz w:val="22"/>
          <w:szCs w:val="22"/>
        </w:rPr>
        <w:t>, CDB 006026GS, cujo montante total, em 31 de dezembro de 2015, é de R$ 391. A participação da Companhia neste fundo é de 5%, que representa um valor de R$ 19. A remuneração deste fundo foi prefixada em 30,52% no período, conforme registro junto à CETIP. A intenção dos participantes do fundo é que a aplicação financeira seja resgatada somente por ocasião do seu vencimento, em 18 de dezembro de 2020.</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ATIVO NÃO CIRCULANTE MANTIDO PARA VENDA</w:t>
      </w:r>
    </w:p>
    <w:tbl>
      <w:tblPr>
        <w:tblW w:w="5000" w:type="pct"/>
        <w:tblCellMar>
          <w:left w:w="70" w:type="dxa"/>
          <w:right w:w="70" w:type="dxa"/>
        </w:tblCellMar>
        <w:tblLook w:val="04A0" w:firstRow="1" w:lastRow="0" w:firstColumn="1" w:lastColumn="0" w:noHBand="0" w:noVBand="1"/>
      </w:tblPr>
      <w:tblGrid>
        <w:gridCol w:w="740"/>
        <w:gridCol w:w="4549"/>
        <w:gridCol w:w="830"/>
        <w:gridCol w:w="964"/>
        <w:gridCol w:w="1065"/>
        <w:gridCol w:w="1063"/>
      </w:tblGrid>
      <w:tr w:rsidR="00E9008A" w:rsidRPr="00316249" w:rsidTr="005B7D01">
        <w:trPr>
          <w:trHeight w:val="238"/>
        </w:trPr>
        <w:tc>
          <w:tcPr>
            <w:tcW w:w="39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b/>
                <w:bCs/>
                <w:color w:val="000000"/>
                <w:sz w:val="18"/>
                <w:szCs w:val="18"/>
              </w:rPr>
            </w:pPr>
            <w:r w:rsidRPr="00316249">
              <w:rPr>
                <w:b/>
                <w:bCs/>
                <w:color w:val="000000"/>
                <w:sz w:val="18"/>
                <w:szCs w:val="18"/>
              </w:rPr>
              <w:t>Imóveis</w:t>
            </w:r>
          </w:p>
        </w:tc>
        <w:tc>
          <w:tcPr>
            <w:tcW w:w="2476" w:type="pct"/>
            <w:tcBorders>
              <w:top w:val="single" w:sz="4" w:space="0" w:color="auto"/>
              <w:left w:val="nil"/>
              <w:bottom w:val="single" w:sz="4" w:space="0" w:color="auto"/>
              <w:right w:val="single" w:sz="4" w:space="0" w:color="auto"/>
            </w:tcBorders>
            <w:shd w:val="clear" w:color="000000" w:fill="D9D9D9"/>
            <w:vAlign w:val="center"/>
            <w:hideMark/>
          </w:tcPr>
          <w:p w:rsidR="00E9008A" w:rsidRPr="00316249" w:rsidRDefault="00E9008A" w:rsidP="005B7D01">
            <w:pPr>
              <w:rPr>
                <w:b/>
                <w:bCs/>
                <w:color w:val="000000"/>
                <w:sz w:val="18"/>
                <w:szCs w:val="18"/>
              </w:rPr>
            </w:pPr>
            <w:r w:rsidRPr="00316249">
              <w:rPr>
                <w:b/>
                <w:bCs/>
                <w:color w:val="000000"/>
                <w:sz w:val="18"/>
                <w:szCs w:val="18"/>
              </w:rPr>
              <w:t>Localidade</w:t>
            </w:r>
          </w:p>
        </w:tc>
        <w:tc>
          <w:tcPr>
            <w:tcW w:w="445" w:type="pct"/>
            <w:tcBorders>
              <w:top w:val="single" w:sz="4" w:space="0" w:color="auto"/>
              <w:left w:val="nil"/>
              <w:bottom w:val="single" w:sz="4" w:space="0" w:color="auto"/>
              <w:right w:val="single" w:sz="4" w:space="0" w:color="auto"/>
            </w:tcBorders>
            <w:shd w:val="clear" w:color="000000" w:fill="D9D9D9"/>
          </w:tcPr>
          <w:p w:rsidR="00E9008A" w:rsidRPr="00316249" w:rsidRDefault="00E9008A" w:rsidP="005B7D01">
            <w:pPr>
              <w:rPr>
                <w:b/>
                <w:bCs/>
                <w:color w:val="000000"/>
                <w:sz w:val="18"/>
                <w:szCs w:val="18"/>
              </w:rPr>
            </w:pPr>
            <w:r w:rsidRPr="00316249">
              <w:rPr>
                <w:b/>
                <w:bCs/>
                <w:color w:val="000000"/>
                <w:sz w:val="18"/>
                <w:szCs w:val="18"/>
              </w:rPr>
              <w:t>Empresa</w:t>
            </w:r>
          </w:p>
        </w:tc>
        <w:tc>
          <w:tcPr>
            <w:tcW w:w="51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jc w:val="center"/>
              <w:rPr>
                <w:b/>
                <w:bCs/>
                <w:color w:val="000000"/>
                <w:sz w:val="18"/>
                <w:szCs w:val="18"/>
              </w:rPr>
            </w:pPr>
            <w:r>
              <w:rPr>
                <w:b/>
                <w:bCs/>
                <w:color w:val="000000"/>
                <w:sz w:val="18"/>
                <w:szCs w:val="18"/>
              </w:rPr>
              <w:t>Área</w:t>
            </w:r>
          </w:p>
        </w:tc>
        <w:tc>
          <w:tcPr>
            <w:tcW w:w="584" w:type="pct"/>
            <w:tcBorders>
              <w:top w:val="single" w:sz="4" w:space="0" w:color="auto"/>
              <w:left w:val="nil"/>
              <w:bottom w:val="single" w:sz="4" w:space="0" w:color="auto"/>
              <w:right w:val="single" w:sz="4" w:space="0" w:color="auto"/>
            </w:tcBorders>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Terreno</w:t>
            </w:r>
          </w:p>
        </w:tc>
        <w:tc>
          <w:tcPr>
            <w:tcW w:w="24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Setor Noroeste – Plano Piloto</w:t>
            </w:r>
          </w:p>
        </w:tc>
        <w:tc>
          <w:tcPr>
            <w:tcW w:w="445" w:type="pct"/>
            <w:tcBorders>
              <w:top w:val="single" w:sz="4" w:space="0" w:color="auto"/>
              <w:left w:val="nil"/>
              <w:bottom w:val="single" w:sz="4" w:space="0" w:color="auto"/>
              <w:right w:val="single" w:sz="4" w:space="0" w:color="auto"/>
            </w:tcBorders>
          </w:tcPr>
          <w:p w:rsidR="00E9008A" w:rsidRPr="00316249" w:rsidRDefault="00E9008A" w:rsidP="005B7D01">
            <w:pPr>
              <w:jc w:val="center"/>
              <w:rPr>
                <w:color w:val="000000"/>
                <w:sz w:val="18"/>
                <w:szCs w:val="18"/>
              </w:rPr>
            </w:pPr>
            <w:r w:rsidRPr="00316249">
              <w:rPr>
                <w:color w:val="000000"/>
                <w:sz w:val="18"/>
                <w:szCs w:val="18"/>
              </w:rPr>
              <w:t>CEB D</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284.160 m²</w:t>
            </w:r>
          </w:p>
        </w:tc>
        <w:tc>
          <w:tcPr>
            <w:tcW w:w="584" w:type="pct"/>
            <w:tcBorders>
              <w:top w:val="single" w:sz="4" w:space="0" w:color="auto"/>
              <w:left w:val="nil"/>
              <w:bottom w:val="single" w:sz="4" w:space="0" w:color="auto"/>
              <w:right w:val="single" w:sz="4" w:space="0" w:color="auto"/>
            </w:tcBorders>
            <w:vAlign w:val="center"/>
          </w:tcPr>
          <w:p w:rsidR="00E9008A" w:rsidRPr="00316249" w:rsidRDefault="00E9008A" w:rsidP="005B7D01">
            <w:pPr>
              <w:jc w:val="right"/>
              <w:rPr>
                <w:color w:val="000000"/>
                <w:sz w:val="18"/>
                <w:szCs w:val="18"/>
              </w:rPr>
            </w:pP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274.400</w:t>
            </w:r>
          </w:p>
        </w:tc>
      </w:tr>
      <w:tr w:rsidR="00E9008A" w:rsidRPr="00316249" w:rsidTr="005B7D01">
        <w:trPr>
          <w:trHeight w:val="238"/>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Terreno</w:t>
            </w:r>
          </w:p>
        </w:tc>
        <w:tc>
          <w:tcPr>
            <w:tcW w:w="24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Setor Industrial – Taguatinga</w:t>
            </w:r>
          </w:p>
        </w:tc>
        <w:tc>
          <w:tcPr>
            <w:tcW w:w="445" w:type="pct"/>
            <w:tcBorders>
              <w:top w:val="single" w:sz="4" w:space="0" w:color="auto"/>
              <w:left w:val="nil"/>
              <w:bottom w:val="single" w:sz="4" w:space="0" w:color="auto"/>
              <w:right w:val="single" w:sz="4" w:space="0" w:color="auto"/>
            </w:tcBorders>
          </w:tcPr>
          <w:p w:rsidR="00E9008A" w:rsidRPr="00316249" w:rsidRDefault="00E9008A" w:rsidP="005B7D01">
            <w:pPr>
              <w:jc w:val="center"/>
              <w:rPr>
                <w:color w:val="000000"/>
                <w:sz w:val="18"/>
                <w:szCs w:val="18"/>
              </w:rPr>
            </w:pPr>
            <w:r w:rsidRPr="00316249">
              <w:rPr>
                <w:color w:val="000000"/>
                <w:sz w:val="18"/>
                <w:szCs w:val="18"/>
              </w:rPr>
              <w:t>CEB D</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10.500 m²</w:t>
            </w:r>
          </w:p>
        </w:tc>
        <w:tc>
          <w:tcPr>
            <w:tcW w:w="584" w:type="pct"/>
            <w:tcBorders>
              <w:top w:val="single" w:sz="4" w:space="0" w:color="auto"/>
              <w:left w:val="nil"/>
              <w:bottom w:val="single" w:sz="4" w:space="0" w:color="auto"/>
              <w:right w:val="single" w:sz="4" w:space="0" w:color="auto"/>
            </w:tcBorders>
            <w:vAlign w:val="center"/>
          </w:tcPr>
          <w:p w:rsidR="00E9008A" w:rsidRPr="00316249" w:rsidRDefault="00E9008A" w:rsidP="005B7D01">
            <w:pPr>
              <w:jc w:val="right"/>
              <w:rPr>
                <w:color w:val="000000"/>
                <w:sz w:val="18"/>
                <w:szCs w:val="18"/>
              </w:rPr>
            </w:pPr>
            <w:r w:rsidRPr="00316249">
              <w:rPr>
                <w:color w:val="000000"/>
                <w:sz w:val="18"/>
                <w:szCs w:val="18"/>
              </w:rPr>
              <w:t>896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896</w:t>
            </w:r>
          </w:p>
        </w:tc>
      </w:tr>
      <w:tr w:rsidR="00E9008A" w:rsidRPr="00316249" w:rsidTr="005B7D01">
        <w:trPr>
          <w:trHeight w:val="238"/>
        </w:trPr>
        <w:tc>
          <w:tcPr>
            <w:tcW w:w="396"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Terreno</w:t>
            </w:r>
          </w:p>
        </w:tc>
        <w:tc>
          <w:tcPr>
            <w:tcW w:w="247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Planaltina, </w:t>
            </w:r>
            <w:proofErr w:type="spellStart"/>
            <w:r w:rsidRPr="00316249">
              <w:rPr>
                <w:color w:val="000000"/>
                <w:sz w:val="18"/>
                <w:szCs w:val="18"/>
              </w:rPr>
              <w:t>Brazlândia</w:t>
            </w:r>
            <w:proofErr w:type="spellEnd"/>
            <w:r w:rsidRPr="00316249">
              <w:rPr>
                <w:color w:val="000000"/>
                <w:sz w:val="18"/>
                <w:szCs w:val="18"/>
              </w:rPr>
              <w:t xml:space="preserve"> e Sobradinho – Distrito Federal</w:t>
            </w:r>
          </w:p>
        </w:tc>
        <w:tc>
          <w:tcPr>
            <w:tcW w:w="445" w:type="pct"/>
            <w:tcBorders>
              <w:top w:val="single" w:sz="4" w:space="0" w:color="auto"/>
              <w:left w:val="nil"/>
              <w:bottom w:val="single" w:sz="4" w:space="0" w:color="auto"/>
              <w:right w:val="single" w:sz="4" w:space="0" w:color="auto"/>
            </w:tcBorders>
          </w:tcPr>
          <w:p w:rsidR="00E9008A" w:rsidRPr="00316249" w:rsidRDefault="00E9008A" w:rsidP="005B7D01">
            <w:pPr>
              <w:jc w:val="center"/>
              <w:rPr>
                <w:color w:val="000000"/>
                <w:sz w:val="18"/>
                <w:szCs w:val="18"/>
              </w:rPr>
            </w:pPr>
            <w:r>
              <w:rPr>
                <w:color w:val="000000"/>
                <w:sz w:val="18"/>
                <w:szCs w:val="18"/>
              </w:rPr>
              <w:t>CEB</w:t>
            </w:r>
          </w:p>
        </w:tc>
        <w:tc>
          <w:tcPr>
            <w:tcW w:w="516"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Diversos</w:t>
            </w:r>
          </w:p>
        </w:tc>
        <w:tc>
          <w:tcPr>
            <w:tcW w:w="584" w:type="pct"/>
            <w:tcBorders>
              <w:top w:val="single" w:sz="4" w:space="0" w:color="auto"/>
              <w:left w:val="nil"/>
              <w:bottom w:val="single" w:sz="4" w:space="0" w:color="auto"/>
              <w:right w:val="single" w:sz="4" w:space="0" w:color="auto"/>
            </w:tcBorders>
            <w:vAlign w:val="center"/>
          </w:tcPr>
          <w:p w:rsidR="00E9008A" w:rsidRPr="00316249" w:rsidRDefault="00E9008A" w:rsidP="005B7D01">
            <w:pPr>
              <w:jc w:val="right"/>
              <w:rPr>
                <w:color w:val="000000"/>
                <w:sz w:val="18"/>
                <w:szCs w:val="18"/>
              </w:rPr>
            </w:pPr>
            <w:r w:rsidRPr="00316249">
              <w:rPr>
                <w:color w:val="000000"/>
                <w:sz w:val="18"/>
                <w:szCs w:val="18"/>
              </w:rPr>
              <w:t>2.094</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Prédio</w:t>
            </w:r>
          </w:p>
        </w:tc>
        <w:tc>
          <w:tcPr>
            <w:tcW w:w="247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Edificações no Setor Industrial </w:t>
            </w:r>
            <w:r>
              <w:rPr>
                <w:color w:val="000000"/>
                <w:sz w:val="18"/>
                <w:szCs w:val="18"/>
              </w:rPr>
              <w:t>–</w:t>
            </w:r>
            <w:r w:rsidRPr="00316249">
              <w:rPr>
                <w:color w:val="000000"/>
                <w:sz w:val="18"/>
                <w:szCs w:val="18"/>
              </w:rPr>
              <w:t xml:space="preserve"> Taguatinga</w:t>
            </w:r>
          </w:p>
        </w:tc>
        <w:tc>
          <w:tcPr>
            <w:tcW w:w="445" w:type="pct"/>
            <w:tcBorders>
              <w:top w:val="single" w:sz="4" w:space="0" w:color="auto"/>
              <w:left w:val="nil"/>
              <w:bottom w:val="single" w:sz="4" w:space="0" w:color="auto"/>
              <w:right w:val="single" w:sz="4" w:space="0" w:color="auto"/>
            </w:tcBorders>
          </w:tcPr>
          <w:p w:rsidR="00E9008A" w:rsidRPr="00316249" w:rsidRDefault="00E9008A" w:rsidP="005B7D01">
            <w:pPr>
              <w:jc w:val="center"/>
              <w:rPr>
                <w:color w:val="000000"/>
                <w:sz w:val="18"/>
                <w:szCs w:val="18"/>
              </w:rPr>
            </w:pPr>
            <w:r w:rsidRPr="00316249">
              <w:rPr>
                <w:color w:val="000000"/>
                <w:sz w:val="18"/>
                <w:szCs w:val="18"/>
              </w:rPr>
              <w:t>CEB D</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1.040 m² </w:t>
            </w:r>
          </w:p>
        </w:tc>
        <w:tc>
          <w:tcPr>
            <w:tcW w:w="584" w:type="pct"/>
            <w:tcBorders>
              <w:top w:val="single" w:sz="4" w:space="0" w:color="auto"/>
              <w:left w:val="nil"/>
              <w:bottom w:val="single" w:sz="4" w:space="0" w:color="auto"/>
              <w:right w:val="single" w:sz="4" w:space="0" w:color="auto"/>
            </w:tcBorders>
            <w:vAlign w:val="center"/>
          </w:tcPr>
          <w:p w:rsidR="00E9008A" w:rsidRPr="00316249" w:rsidRDefault="00E9008A" w:rsidP="005B7D01">
            <w:pPr>
              <w:jc w:val="right"/>
              <w:rPr>
                <w:color w:val="000000"/>
                <w:sz w:val="18"/>
                <w:szCs w:val="18"/>
              </w:rPr>
            </w:pPr>
            <w:r w:rsidRPr="00316249">
              <w:rPr>
                <w:color w:val="000000"/>
                <w:sz w:val="18"/>
                <w:szCs w:val="18"/>
              </w:rPr>
              <w:t>673</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673</w:t>
            </w:r>
          </w:p>
        </w:tc>
      </w:tr>
      <w:tr w:rsidR="00E9008A" w:rsidRPr="00316249" w:rsidTr="005B7D01">
        <w:trPr>
          <w:trHeight w:val="238"/>
        </w:trPr>
        <w:tc>
          <w:tcPr>
            <w:tcW w:w="396" w:type="pc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2476"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445" w:type="pct"/>
            <w:tcBorders>
              <w:top w:val="single" w:sz="4" w:space="0" w:color="auto"/>
              <w:left w:val="nil"/>
              <w:bottom w:val="single" w:sz="4" w:space="0" w:color="auto"/>
              <w:right w:val="single" w:sz="4" w:space="0" w:color="auto"/>
            </w:tcBorders>
            <w:shd w:val="clear" w:color="000000" w:fill="D9D9D9"/>
          </w:tcPr>
          <w:p w:rsidR="00E9008A" w:rsidRPr="00316249" w:rsidRDefault="00E9008A" w:rsidP="005B7D01">
            <w:pPr>
              <w:rPr>
                <w:color w:val="000000"/>
                <w:sz w:val="18"/>
                <w:szCs w:val="18"/>
              </w:rPr>
            </w:pPr>
          </w:p>
        </w:tc>
        <w:tc>
          <w:tcPr>
            <w:tcW w:w="516" w:type="pc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4" w:type="pct"/>
            <w:tcBorders>
              <w:top w:val="single" w:sz="4" w:space="0" w:color="auto"/>
              <w:left w:val="nil"/>
              <w:bottom w:val="single" w:sz="4" w:space="0" w:color="auto"/>
              <w:right w:val="single" w:sz="4" w:space="0" w:color="auto"/>
            </w:tcBorders>
            <w:vAlign w:val="center"/>
          </w:tcPr>
          <w:p w:rsidR="00E9008A" w:rsidRPr="00316249" w:rsidRDefault="00E9008A" w:rsidP="005B7D01">
            <w:pPr>
              <w:jc w:val="right"/>
              <w:rPr>
                <w:b/>
                <w:bCs/>
                <w:color w:val="000000"/>
                <w:sz w:val="18"/>
                <w:szCs w:val="18"/>
              </w:rPr>
            </w:pPr>
            <w:r w:rsidRPr="00316249">
              <w:rPr>
                <w:b/>
                <w:bCs/>
                <w:color w:val="000000"/>
                <w:sz w:val="18"/>
                <w:szCs w:val="18"/>
              </w:rPr>
              <w:t>3.663</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275.969</w:t>
            </w:r>
          </w:p>
        </w:tc>
      </w:tr>
    </w:tbl>
    <w:p w:rsidR="00E9008A" w:rsidRPr="00316249" w:rsidRDefault="00E9008A" w:rsidP="00E9008A">
      <w:pPr>
        <w:spacing w:before="240" w:after="240"/>
        <w:jc w:val="both"/>
        <w:rPr>
          <w:snapToGrid w:val="0"/>
          <w:color w:val="000000"/>
          <w:sz w:val="22"/>
          <w:szCs w:val="22"/>
        </w:rPr>
      </w:pPr>
      <w:r w:rsidRPr="00316249">
        <w:rPr>
          <w:snapToGrid w:val="0"/>
          <w:color w:val="000000"/>
          <w:sz w:val="22"/>
          <w:szCs w:val="22"/>
        </w:rPr>
        <w:t>Os ativos estão reconhecidos pelo menor valor entre o contábil e o valor justo, menos as despesas de venda.</w:t>
      </w:r>
    </w:p>
    <w:p w:rsidR="00E9008A" w:rsidRPr="00316249" w:rsidRDefault="00E9008A" w:rsidP="00E9008A">
      <w:pPr>
        <w:spacing w:before="240" w:after="240"/>
        <w:jc w:val="both"/>
        <w:rPr>
          <w:snapToGrid w:val="0"/>
          <w:color w:val="000000"/>
          <w:sz w:val="22"/>
          <w:szCs w:val="22"/>
        </w:rPr>
      </w:pPr>
      <w:r w:rsidRPr="00316249">
        <w:rPr>
          <w:snapToGrid w:val="0"/>
          <w:color w:val="000000"/>
          <w:sz w:val="22"/>
          <w:szCs w:val="22"/>
        </w:rPr>
        <w:lastRenderedPageBreak/>
        <w:t>A CEB Distribuição S.A. fez duas tentativas de vendas de terrenos, mediante licitações, em 17 e 18 de agosto e 14 de outubro de 2015. Não compareceram proponentes, restando desertos os certames licitatórios. Desta forma, o terreno do Setor Noroeste retornou o seu registro para o grupo de propriedade para investimentos.</w:t>
      </w:r>
    </w:p>
    <w:p w:rsidR="007F7D85" w:rsidRDefault="007F7D85">
      <w:pPr>
        <w:rPr>
          <w:b/>
          <w:caps/>
          <w:sz w:val="22"/>
          <w:szCs w:val="22"/>
        </w:rPr>
      </w:pPr>
      <w:r>
        <w:rPr>
          <w:sz w:val="22"/>
          <w:szCs w:val="22"/>
        </w:rPr>
        <w:br w:type="page"/>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lastRenderedPageBreak/>
        <w:t>INVESTIMENTOS</w:t>
      </w:r>
    </w:p>
    <w:p w:rsidR="00E9008A" w:rsidRPr="007527F1" w:rsidRDefault="007527F1"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Pr>
          <w:rFonts w:ascii="Times New Roman" w:eastAsia="Arial Unicode MS" w:hAnsi="Times New Roman" w:cs="Times New Roman"/>
          <w:b/>
          <w:bCs/>
          <w:iCs/>
          <w:lang w:val="pt-BR"/>
        </w:rPr>
        <w:t>C</w:t>
      </w:r>
      <w:r w:rsidR="00E9008A" w:rsidRPr="007527F1">
        <w:rPr>
          <w:rFonts w:ascii="Times New Roman" w:eastAsia="Arial Unicode MS" w:hAnsi="Times New Roman" w:cs="Times New Roman"/>
          <w:b/>
          <w:bCs/>
          <w:iCs/>
          <w:lang w:val="pt-BR"/>
        </w:rPr>
        <w:t>omposição dos Investimentos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2"/>
        <w:gridCol w:w="1326"/>
        <w:gridCol w:w="1326"/>
        <w:gridCol w:w="1267"/>
        <w:gridCol w:w="1290"/>
      </w:tblGrid>
      <w:tr w:rsidR="00E9008A" w:rsidRPr="00316249" w:rsidTr="005B7D01">
        <w:trPr>
          <w:trHeight w:val="238"/>
          <w:tblHeader/>
        </w:trPr>
        <w:tc>
          <w:tcPr>
            <w:tcW w:w="2175" w:type="pct"/>
            <w:vMerge w:val="restart"/>
            <w:shd w:val="clear" w:color="000000" w:fill="D9D9D9"/>
            <w:vAlign w:val="center"/>
            <w:hideMark/>
          </w:tcPr>
          <w:p w:rsidR="00E9008A" w:rsidRPr="00316249" w:rsidRDefault="00E9008A" w:rsidP="005B7D01">
            <w:pPr>
              <w:rPr>
                <w:color w:val="000000"/>
                <w:sz w:val="18"/>
                <w:szCs w:val="18"/>
              </w:rPr>
            </w:pPr>
            <w:r w:rsidRPr="00316249">
              <w:rPr>
                <w:color w:val="000000"/>
                <w:sz w:val="18"/>
                <w:szCs w:val="18"/>
              </w:rPr>
              <w:t> </w:t>
            </w:r>
          </w:p>
        </w:tc>
        <w:tc>
          <w:tcPr>
            <w:tcW w:w="1444"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381"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175" w:type="pct"/>
            <w:vMerge/>
            <w:vAlign w:val="center"/>
            <w:hideMark/>
          </w:tcPr>
          <w:p w:rsidR="00E9008A" w:rsidRPr="00316249" w:rsidRDefault="00E9008A" w:rsidP="005B7D01">
            <w:pPr>
              <w:rPr>
                <w:color w:val="000000"/>
                <w:sz w:val="18"/>
                <w:szCs w:val="18"/>
              </w:rPr>
            </w:pPr>
          </w:p>
        </w:tc>
        <w:tc>
          <w:tcPr>
            <w:tcW w:w="722"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22"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c>
          <w:tcPr>
            <w:tcW w:w="690"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9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238"/>
        </w:trPr>
        <w:tc>
          <w:tcPr>
            <w:tcW w:w="2175" w:type="pct"/>
            <w:shd w:val="clear" w:color="000000" w:fill="D9D9D9"/>
            <w:vAlign w:val="center"/>
            <w:hideMark/>
          </w:tcPr>
          <w:p w:rsidR="00E9008A" w:rsidRPr="00316249" w:rsidRDefault="00E9008A" w:rsidP="005B7D01">
            <w:pPr>
              <w:rPr>
                <w:color w:val="000000"/>
                <w:sz w:val="18"/>
                <w:szCs w:val="18"/>
              </w:rPr>
            </w:pPr>
            <w:r w:rsidRPr="00316249">
              <w:rPr>
                <w:color w:val="000000"/>
                <w:sz w:val="18"/>
                <w:szCs w:val="18"/>
              </w:rPr>
              <w:t> </w:t>
            </w:r>
          </w:p>
        </w:tc>
        <w:tc>
          <w:tcPr>
            <w:tcW w:w="722" w:type="pct"/>
            <w:shd w:val="clear" w:color="auto" w:fill="auto"/>
            <w:noWrap/>
            <w:vAlign w:val="center"/>
          </w:tcPr>
          <w:p w:rsidR="00E9008A" w:rsidRPr="00316249" w:rsidRDefault="00E9008A" w:rsidP="005B7D01">
            <w:pPr>
              <w:jc w:val="center"/>
              <w:rPr>
                <w:b/>
                <w:bCs/>
                <w:color w:val="000000"/>
                <w:sz w:val="18"/>
                <w:szCs w:val="18"/>
              </w:rPr>
            </w:pPr>
          </w:p>
        </w:tc>
        <w:tc>
          <w:tcPr>
            <w:tcW w:w="722" w:type="pct"/>
            <w:shd w:val="clear" w:color="auto" w:fill="auto"/>
            <w:noWrap/>
            <w:vAlign w:val="center"/>
            <w:hideMark/>
          </w:tcPr>
          <w:p w:rsidR="00E9008A" w:rsidRPr="00316249" w:rsidRDefault="00E9008A" w:rsidP="005B7D01">
            <w:pPr>
              <w:jc w:val="center"/>
              <w:rPr>
                <w:b/>
                <w:bCs/>
                <w:color w:val="000000"/>
                <w:sz w:val="18"/>
                <w:szCs w:val="18"/>
              </w:rPr>
            </w:pPr>
          </w:p>
        </w:tc>
        <w:tc>
          <w:tcPr>
            <w:tcW w:w="690" w:type="pct"/>
            <w:shd w:val="clear" w:color="auto" w:fill="auto"/>
            <w:noWrap/>
            <w:vAlign w:val="center"/>
          </w:tcPr>
          <w:p w:rsidR="00E9008A" w:rsidRPr="00316249" w:rsidRDefault="00E9008A" w:rsidP="005B7D01">
            <w:pPr>
              <w:jc w:val="center"/>
              <w:rPr>
                <w:b/>
                <w:bCs/>
                <w:color w:val="000000"/>
                <w:sz w:val="18"/>
                <w:szCs w:val="18"/>
              </w:rPr>
            </w:pPr>
          </w:p>
        </w:tc>
        <w:tc>
          <w:tcPr>
            <w:tcW w:w="691" w:type="pct"/>
            <w:shd w:val="clear" w:color="auto" w:fill="auto"/>
            <w:noWrap/>
            <w:vAlign w:val="center"/>
            <w:hideMark/>
          </w:tcPr>
          <w:p w:rsidR="00E9008A" w:rsidRPr="00316249" w:rsidRDefault="00E9008A" w:rsidP="005B7D01">
            <w:pPr>
              <w:jc w:val="center"/>
              <w:rPr>
                <w:b/>
                <w:bCs/>
                <w:color w:val="000000"/>
                <w:sz w:val="18"/>
                <w:szCs w:val="18"/>
              </w:rPr>
            </w:pPr>
          </w:p>
        </w:tc>
      </w:tr>
      <w:tr w:rsidR="00E9008A" w:rsidRPr="00316249" w:rsidTr="005B7D01">
        <w:trPr>
          <w:trHeight w:val="238"/>
        </w:trPr>
        <w:tc>
          <w:tcPr>
            <w:tcW w:w="2175"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Avaliados por Equivalência Patrimonial </w:t>
            </w:r>
          </w:p>
        </w:tc>
        <w:tc>
          <w:tcPr>
            <w:tcW w:w="722"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656.256</w:t>
            </w:r>
          </w:p>
        </w:tc>
        <w:tc>
          <w:tcPr>
            <w:tcW w:w="722"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613.932</w:t>
            </w:r>
          </w:p>
        </w:tc>
        <w:tc>
          <w:tcPr>
            <w:tcW w:w="69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340.712</w:t>
            </w:r>
          </w:p>
        </w:tc>
        <w:tc>
          <w:tcPr>
            <w:tcW w:w="69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348.612 </w:t>
            </w:r>
          </w:p>
        </w:tc>
      </w:tr>
      <w:tr w:rsidR="00E9008A" w:rsidRPr="00316249" w:rsidTr="005B7D01">
        <w:trPr>
          <w:trHeight w:val="238"/>
        </w:trPr>
        <w:tc>
          <w:tcPr>
            <w:tcW w:w="2175"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Propriedade Para Investimento </w:t>
            </w:r>
          </w:p>
        </w:tc>
        <w:tc>
          <w:tcPr>
            <w:tcW w:w="722" w:type="pct"/>
            <w:shd w:val="clear" w:color="auto" w:fill="auto"/>
            <w:noWrap/>
            <w:vAlign w:val="center"/>
          </w:tcPr>
          <w:p w:rsidR="00E9008A" w:rsidRPr="00316249" w:rsidRDefault="00E9008A" w:rsidP="005B7D01">
            <w:pPr>
              <w:jc w:val="right"/>
              <w:rPr>
                <w:color w:val="000000"/>
                <w:sz w:val="18"/>
                <w:szCs w:val="18"/>
              </w:rPr>
            </w:pPr>
          </w:p>
        </w:tc>
        <w:tc>
          <w:tcPr>
            <w:tcW w:w="722"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274.545</w:t>
            </w:r>
          </w:p>
        </w:tc>
        <w:tc>
          <w:tcPr>
            <w:tcW w:w="69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145 </w:t>
            </w:r>
          </w:p>
        </w:tc>
      </w:tr>
      <w:tr w:rsidR="00E9008A" w:rsidRPr="00316249" w:rsidTr="005B7D01">
        <w:trPr>
          <w:trHeight w:val="238"/>
        </w:trPr>
        <w:tc>
          <w:tcPr>
            <w:tcW w:w="2175"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Adiantamento Para Futuro Aumento de Capital </w:t>
            </w:r>
          </w:p>
        </w:tc>
        <w:tc>
          <w:tcPr>
            <w:tcW w:w="722" w:type="pct"/>
            <w:shd w:val="clear" w:color="auto" w:fill="auto"/>
            <w:noWrap/>
            <w:vAlign w:val="center"/>
          </w:tcPr>
          <w:p w:rsidR="00E9008A" w:rsidRPr="00F72D57" w:rsidRDefault="00E9008A" w:rsidP="005B7D01">
            <w:pPr>
              <w:jc w:val="right"/>
              <w:rPr>
                <w:color w:val="000000"/>
                <w:sz w:val="18"/>
                <w:szCs w:val="18"/>
              </w:rPr>
            </w:pPr>
            <w:r w:rsidRPr="00F72D57">
              <w:rPr>
                <w:color w:val="000000"/>
                <w:sz w:val="18"/>
                <w:szCs w:val="18"/>
              </w:rPr>
              <w:t>4.630</w:t>
            </w:r>
          </w:p>
        </w:tc>
        <w:tc>
          <w:tcPr>
            <w:tcW w:w="722" w:type="pct"/>
            <w:shd w:val="clear" w:color="auto" w:fill="auto"/>
            <w:noWrap/>
            <w:vAlign w:val="center"/>
            <w:hideMark/>
          </w:tcPr>
          <w:p w:rsidR="00E9008A" w:rsidRPr="00F72D57" w:rsidRDefault="00E9008A" w:rsidP="005B7D01">
            <w:pPr>
              <w:jc w:val="right"/>
              <w:rPr>
                <w:color w:val="000000"/>
                <w:sz w:val="18"/>
                <w:szCs w:val="18"/>
              </w:rPr>
            </w:pPr>
            <w:r w:rsidRPr="00F72D57">
              <w:rPr>
                <w:color w:val="000000"/>
                <w:sz w:val="18"/>
                <w:szCs w:val="18"/>
              </w:rPr>
              <w:t>3.232</w:t>
            </w:r>
          </w:p>
        </w:tc>
        <w:tc>
          <w:tcPr>
            <w:tcW w:w="690" w:type="pct"/>
            <w:shd w:val="clear" w:color="auto" w:fill="auto"/>
            <w:noWrap/>
            <w:vAlign w:val="center"/>
          </w:tcPr>
          <w:p w:rsidR="00E9008A" w:rsidRPr="00F72D57" w:rsidRDefault="00E9008A" w:rsidP="005B7D01">
            <w:pPr>
              <w:jc w:val="right"/>
              <w:rPr>
                <w:color w:val="000000"/>
                <w:sz w:val="18"/>
                <w:szCs w:val="18"/>
              </w:rPr>
            </w:pPr>
            <w:r w:rsidRPr="00F72D57">
              <w:rPr>
                <w:color w:val="000000"/>
                <w:sz w:val="18"/>
                <w:szCs w:val="18"/>
              </w:rPr>
              <w:t>4.630</w:t>
            </w:r>
          </w:p>
        </w:tc>
        <w:tc>
          <w:tcPr>
            <w:tcW w:w="691" w:type="pct"/>
            <w:shd w:val="clear" w:color="auto" w:fill="auto"/>
            <w:noWrap/>
            <w:vAlign w:val="center"/>
            <w:hideMark/>
          </w:tcPr>
          <w:p w:rsidR="00E9008A" w:rsidRPr="00F72D57" w:rsidRDefault="00E9008A" w:rsidP="005B7D01">
            <w:pPr>
              <w:jc w:val="right"/>
              <w:rPr>
                <w:color w:val="000000"/>
                <w:sz w:val="18"/>
                <w:szCs w:val="18"/>
              </w:rPr>
            </w:pPr>
            <w:r w:rsidRPr="00F72D57">
              <w:rPr>
                <w:color w:val="000000"/>
                <w:sz w:val="18"/>
                <w:szCs w:val="18"/>
              </w:rPr>
              <w:t xml:space="preserve">             3.232 </w:t>
            </w:r>
          </w:p>
        </w:tc>
      </w:tr>
      <w:tr w:rsidR="00E9008A" w:rsidRPr="00316249" w:rsidTr="005B7D01">
        <w:trPr>
          <w:trHeight w:val="238"/>
        </w:trPr>
        <w:tc>
          <w:tcPr>
            <w:tcW w:w="2175"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Outros</w:t>
            </w:r>
          </w:p>
        </w:tc>
        <w:tc>
          <w:tcPr>
            <w:tcW w:w="722"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365</w:t>
            </w:r>
          </w:p>
        </w:tc>
        <w:tc>
          <w:tcPr>
            <w:tcW w:w="722"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1.761</w:t>
            </w:r>
          </w:p>
        </w:tc>
        <w:tc>
          <w:tcPr>
            <w:tcW w:w="69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365</w:t>
            </w:r>
          </w:p>
        </w:tc>
        <w:tc>
          <w:tcPr>
            <w:tcW w:w="69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1.761 </w:t>
            </w:r>
          </w:p>
        </w:tc>
      </w:tr>
      <w:tr w:rsidR="00E9008A" w:rsidRPr="00316249" w:rsidTr="005B7D01">
        <w:trPr>
          <w:trHeight w:val="238"/>
        </w:trPr>
        <w:tc>
          <w:tcPr>
            <w:tcW w:w="2175"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22"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661.252</w:t>
            </w:r>
          </w:p>
        </w:tc>
        <w:tc>
          <w:tcPr>
            <w:tcW w:w="722"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618.925</w:t>
            </w:r>
          </w:p>
        </w:tc>
        <w:tc>
          <w:tcPr>
            <w:tcW w:w="690"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620.252</w:t>
            </w:r>
          </w:p>
        </w:tc>
        <w:tc>
          <w:tcPr>
            <w:tcW w:w="691"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353.750 </w:t>
            </w:r>
          </w:p>
        </w:tc>
      </w:tr>
    </w:tbl>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Investimentos Avaliados por Equivalência Patrimonial</w:t>
      </w:r>
    </w:p>
    <w:tbl>
      <w:tblPr>
        <w:tblW w:w="5000" w:type="pct"/>
        <w:tblCellMar>
          <w:left w:w="70" w:type="dxa"/>
          <w:right w:w="70" w:type="dxa"/>
        </w:tblCellMar>
        <w:tblLook w:val="04A0" w:firstRow="1" w:lastRow="0" w:firstColumn="1" w:lastColumn="0" w:noHBand="0" w:noVBand="1"/>
      </w:tblPr>
      <w:tblGrid>
        <w:gridCol w:w="2255"/>
        <w:gridCol w:w="1029"/>
        <w:gridCol w:w="917"/>
        <w:gridCol w:w="974"/>
        <w:gridCol w:w="1017"/>
        <w:gridCol w:w="1017"/>
        <w:gridCol w:w="967"/>
        <w:gridCol w:w="1035"/>
      </w:tblGrid>
      <w:tr w:rsidR="00E9008A" w:rsidRPr="00316249" w:rsidTr="005B7D01">
        <w:trPr>
          <w:trHeight w:val="238"/>
          <w:tblHeader/>
        </w:trPr>
        <w:tc>
          <w:tcPr>
            <w:tcW w:w="12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b/>
                <w:bCs/>
                <w:color w:val="000000"/>
                <w:sz w:val="14"/>
                <w:szCs w:val="16"/>
              </w:rPr>
            </w:pPr>
            <w:r w:rsidRPr="00316249">
              <w:rPr>
                <w:b/>
                <w:bCs/>
                <w:color w:val="000000"/>
                <w:sz w:val="14"/>
                <w:szCs w:val="16"/>
              </w:rPr>
              <w:t>Investidas</w:t>
            </w:r>
          </w:p>
        </w:tc>
        <w:tc>
          <w:tcPr>
            <w:tcW w:w="3773" w:type="pct"/>
            <w:gridSpan w:val="7"/>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6"/>
              </w:rPr>
            </w:pPr>
            <w:r w:rsidRPr="00316249">
              <w:rPr>
                <w:b/>
                <w:bCs/>
                <w:color w:val="000000"/>
                <w:sz w:val="14"/>
                <w:szCs w:val="16"/>
              </w:rPr>
              <w:t>Controladora</w:t>
            </w:r>
          </w:p>
        </w:tc>
      </w:tr>
      <w:tr w:rsidR="00E9008A" w:rsidRPr="00316249" w:rsidTr="005B7D01">
        <w:trPr>
          <w:trHeight w:val="238"/>
          <w:tblHeader/>
        </w:trPr>
        <w:tc>
          <w:tcPr>
            <w:tcW w:w="1227"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6"/>
              </w:rPr>
            </w:pP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9008A" w:rsidRPr="00316249" w:rsidRDefault="00E9008A" w:rsidP="005B7D01">
            <w:pPr>
              <w:jc w:val="center"/>
              <w:rPr>
                <w:b/>
                <w:bCs/>
                <w:color w:val="000000"/>
                <w:sz w:val="14"/>
                <w:szCs w:val="16"/>
              </w:rPr>
            </w:pPr>
            <w:r w:rsidRPr="00316249">
              <w:rPr>
                <w:b/>
                <w:bCs/>
                <w:color w:val="000000"/>
                <w:sz w:val="14"/>
                <w:szCs w:val="16"/>
              </w:rPr>
              <w:t xml:space="preserve"> Capital Social Integralizado </w:t>
            </w:r>
          </w:p>
        </w:tc>
        <w:tc>
          <w:tcPr>
            <w:tcW w:w="500" w:type="pct"/>
            <w:vMerge w:val="restart"/>
            <w:tcBorders>
              <w:top w:val="nil"/>
              <w:left w:val="single" w:sz="4" w:space="0" w:color="auto"/>
              <w:bottom w:val="single" w:sz="4" w:space="0" w:color="000000"/>
              <w:right w:val="single" w:sz="4" w:space="0" w:color="auto"/>
            </w:tcBorders>
            <w:shd w:val="clear" w:color="auto" w:fill="auto"/>
            <w:vAlign w:val="center"/>
            <w:hideMark/>
          </w:tcPr>
          <w:p w:rsidR="00E9008A" w:rsidRPr="00316249" w:rsidRDefault="00E9008A" w:rsidP="005B7D01">
            <w:pPr>
              <w:jc w:val="center"/>
              <w:rPr>
                <w:b/>
                <w:bCs/>
                <w:color w:val="000000"/>
                <w:sz w:val="14"/>
                <w:szCs w:val="16"/>
              </w:rPr>
            </w:pPr>
            <w:r w:rsidRPr="00316249">
              <w:rPr>
                <w:b/>
                <w:bCs/>
                <w:color w:val="000000"/>
                <w:sz w:val="14"/>
                <w:szCs w:val="16"/>
              </w:rPr>
              <w:t xml:space="preserve"> Patrimônio Líquido </w:t>
            </w:r>
          </w:p>
        </w:tc>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rsidR="00E9008A" w:rsidRPr="00316249" w:rsidRDefault="00E9008A" w:rsidP="005B7D01">
            <w:pPr>
              <w:jc w:val="center"/>
              <w:rPr>
                <w:b/>
                <w:bCs/>
                <w:color w:val="000000"/>
                <w:sz w:val="14"/>
                <w:szCs w:val="16"/>
              </w:rPr>
            </w:pPr>
            <w:r w:rsidRPr="00316249">
              <w:rPr>
                <w:b/>
                <w:bCs/>
                <w:color w:val="000000"/>
                <w:sz w:val="14"/>
                <w:szCs w:val="16"/>
              </w:rPr>
              <w:t xml:space="preserve"> Participação no Capital Social (%) </w:t>
            </w:r>
          </w:p>
        </w:tc>
        <w:tc>
          <w:tcPr>
            <w:tcW w:w="554" w:type="pct"/>
            <w:vMerge w:val="restart"/>
            <w:tcBorders>
              <w:top w:val="nil"/>
              <w:left w:val="single" w:sz="4" w:space="0" w:color="auto"/>
              <w:bottom w:val="single" w:sz="4" w:space="0" w:color="000000"/>
              <w:right w:val="single" w:sz="4" w:space="0" w:color="auto"/>
            </w:tcBorders>
            <w:shd w:val="clear" w:color="auto" w:fill="auto"/>
            <w:vAlign w:val="center"/>
            <w:hideMark/>
          </w:tcPr>
          <w:p w:rsidR="00E9008A" w:rsidRPr="00316249" w:rsidRDefault="00E9008A" w:rsidP="005B7D01">
            <w:pPr>
              <w:jc w:val="center"/>
              <w:rPr>
                <w:b/>
                <w:bCs/>
                <w:color w:val="000000"/>
                <w:sz w:val="14"/>
                <w:szCs w:val="16"/>
              </w:rPr>
            </w:pPr>
            <w:r w:rsidRPr="00316249">
              <w:rPr>
                <w:b/>
                <w:bCs/>
                <w:color w:val="000000"/>
                <w:sz w:val="14"/>
                <w:szCs w:val="16"/>
              </w:rPr>
              <w:t xml:space="preserve"> Participação nas Ações Ordinárias (%) </w:t>
            </w:r>
          </w:p>
        </w:tc>
        <w:tc>
          <w:tcPr>
            <w:tcW w:w="554" w:type="pct"/>
            <w:vMerge w:val="restart"/>
            <w:tcBorders>
              <w:top w:val="nil"/>
              <w:left w:val="single" w:sz="4" w:space="0" w:color="auto"/>
              <w:bottom w:val="single" w:sz="4" w:space="0" w:color="000000"/>
              <w:right w:val="single" w:sz="4" w:space="0" w:color="auto"/>
            </w:tcBorders>
            <w:shd w:val="clear" w:color="auto" w:fill="auto"/>
            <w:vAlign w:val="center"/>
            <w:hideMark/>
          </w:tcPr>
          <w:p w:rsidR="00E9008A" w:rsidRPr="00316249" w:rsidRDefault="00E9008A" w:rsidP="005B7D01">
            <w:pPr>
              <w:jc w:val="center"/>
              <w:rPr>
                <w:b/>
                <w:bCs/>
                <w:color w:val="000000"/>
                <w:sz w:val="14"/>
                <w:szCs w:val="16"/>
              </w:rPr>
            </w:pPr>
            <w:r w:rsidRPr="00316249">
              <w:rPr>
                <w:b/>
                <w:bCs/>
                <w:color w:val="000000"/>
                <w:sz w:val="14"/>
                <w:szCs w:val="16"/>
              </w:rPr>
              <w:t xml:space="preserve"> Número de Ações Detidas </w:t>
            </w:r>
            <w:r>
              <w:rPr>
                <w:b/>
                <w:bCs/>
                <w:color w:val="000000"/>
                <w:sz w:val="14"/>
                <w:szCs w:val="16"/>
              </w:rPr>
              <w:t>P</w:t>
            </w:r>
            <w:r w:rsidRPr="00316249">
              <w:rPr>
                <w:b/>
                <w:bCs/>
                <w:color w:val="000000"/>
                <w:sz w:val="14"/>
                <w:szCs w:val="16"/>
              </w:rPr>
              <w:t>ela CEB</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6"/>
              </w:rPr>
            </w:pPr>
            <w:r w:rsidRPr="00316249">
              <w:rPr>
                <w:b/>
                <w:bCs/>
                <w:color w:val="000000"/>
                <w:sz w:val="14"/>
                <w:szCs w:val="16"/>
              </w:rPr>
              <w:t>Valor Contábil</w:t>
            </w:r>
          </w:p>
        </w:tc>
      </w:tr>
      <w:tr w:rsidR="00E9008A" w:rsidRPr="00316249" w:rsidTr="005B7D01">
        <w:trPr>
          <w:trHeight w:val="238"/>
          <w:tblHeader/>
        </w:trPr>
        <w:tc>
          <w:tcPr>
            <w:tcW w:w="1227"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6"/>
              </w:rPr>
            </w:pPr>
          </w:p>
        </w:tc>
        <w:tc>
          <w:tcPr>
            <w:tcW w:w="561"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00"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31"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54"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54"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6"/>
              </w:rPr>
            </w:pPr>
            <w:r w:rsidRPr="00316249">
              <w:rPr>
                <w:b/>
                <w:bCs/>
                <w:color w:val="000000"/>
                <w:sz w:val="14"/>
                <w:szCs w:val="16"/>
              </w:rPr>
              <w:t>31/12/2016</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6"/>
              </w:rPr>
            </w:pPr>
            <w:r w:rsidRPr="00316249">
              <w:rPr>
                <w:b/>
                <w:bCs/>
                <w:color w:val="000000"/>
                <w:sz w:val="14"/>
                <w:szCs w:val="16"/>
              </w:rPr>
              <w:t>31/12/2015</w:t>
            </w:r>
          </w:p>
        </w:tc>
      </w:tr>
      <w:tr w:rsidR="00E9008A" w:rsidRPr="00316249" w:rsidTr="005B7D01">
        <w:trPr>
          <w:trHeight w:val="238"/>
          <w:tblHeader/>
        </w:trPr>
        <w:tc>
          <w:tcPr>
            <w:tcW w:w="1227"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6"/>
              </w:rPr>
            </w:pPr>
          </w:p>
        </w:tc>
        <w:tc>
          <w:tcPr>
            <w:tcW w:w="561"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00"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31"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54"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54" w:type="pct"/>
            <w:vMerge/>
            <w:tcBorders>
              <w:top w:val="nil"/>
              <w:left w:val="single" w:sz="4" w:space="0" w:color="auto"/>
              <w:bottom w:val="single" w:sz="4" w:space="0" w:color="000000"/>
              <w:right w:val="single" w:sz="4" w:space="0" w:color="auto"/>
            </w:tcBorders>
            <w:vAlign w:val="center"/>
            <w:hideMark/>
          </w:tcPr>
          <w:p w:rsidR="00E9008A" w:rsidRPr="00316249" w:rsidRDefault="00E9008A" w:rsidP="005B7D01">
            <w:pPr>
              <w:rPr>
                <w:b/>
                <w:bCs/>
                <w:color w:val="000000"/>
                <w:sz w:val="14"/>
                <w:szCs w:val="16"/>
              </w:rPr>
            </w:pP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4"/>
                <w:szCs w:val="16"/>
              </w:rPr>
            </w:pP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6"/>
              </w:rPr>
            </w:pPr>
            <w:r w:rsidRPr="00316249">
              <w:rPr>
                <w:b/>
                <w:bCs/>
                <w:color w:val="000000"/>
                <w:sz w:val="14"/>
                <w:szCs w:val="16"/>
              </w:rPr>
              <w:t>Reapresentado</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6"/>
              </w:rPr>
            </w:pPr>
            <w:r w:rsidRPr="00316249">
              <w:rPr>
                <w:color w:val="000000"/>
                <w:sz w:val="14"/>
                <w:szCs w:val="16"/>
              </w:rPr>
              <w:t>CEB Distribuição S.A.</w:t>
            </w:r>
          </w:p>
        </w:tc>
        <w:tc>
          <w:tcPr>
            <w:tcW w:w="5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580.532 </w:t>
            </w:r>
          </w:p>
        </w:tc>
        <w:tc>
          <w:tcPr>
            <w:tcW w:w="5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highlight w:val="yellow"/>
              </w:rPr>
            </w:pPr>
            <w:r w:rsidRPr="00316249">
              <w:rPr>
                <w:color w:val="000000"/>
                <w:sz w:val="14"/>
                <w:szCs w:val="16"/>
              </w:rPr>
              <w:t>359.180</w:t>
            </w:r>
          </w:p>
        </w:tc>
        <w:tc>
          <w:tcPr>
            <w:tcW w:w="53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100,00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100,00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350.532.450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359.181</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308.875</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6"/>
              </w:rPr>
            </w:pPr>
            <w:r w:rsidRPr="00316249">
              <w:rPr>
                <w:color w:val="000000"/>
                <w:sz w:val="14"/>
                <w:szCs w:val="16"/>
              </w:rPr>
              <w:t>CEB Lajeado S.A.</w:t>
            </w:r>
          </w:p>
        </w:tc>
        <w:tc>
          <w:tcPr>
            <w:tcW w:w="5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145.656 </w:t>
            </w:r>
          </w:p>
        </w:tc>
        <w:tc>
          <w:tcPr>
            <w:tcW w:w="5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highlight w:val="yellow"/>
              </w:rPr>
            </w:pPr>
            <w:r w:rsidRPr="00316249">
              <w:rPr>
                <w:color w:val="000000"/>
                <w:sz w:val="14"/>
                <w:szCs w:val="16"/>
              </w:rPr>
              <w:t>333.377</w:t>
            </w:r>
          </w:p>
        </w:tc>
        <w:tc>
          <w:tcPr>
            <w:tcW w:w="53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59,93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59,93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82.013.911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108.076</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118.354</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6"/>
              </w:rPr>
            </w:pPr>
            <w:r w:rsidRPr="00316249">
              <w:rPr>
                <w:color w:val="000000"/>
                <w:sz w:val="14"/>
                <w:szCs w:val="16"/>
              </w:rPr>
              <w:t>Corumbá Concessões S.A.</w:t>
            </w:r>
          </w:p>
        </w:tc>
        <w:tc>
          <w:tcPr>
            <w:tcW w:w="5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235.259 </w:t>
            </w:r>
          </w:p>
        </w:tc>
        <w:tc>
          <w:tcPr>
            <w:tcW w:w="5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highlight w:val="yellow"/>
              </w:rPr>
            </w:pPr>
            <w:r w:rsidRPr="00316249">
              <w:rPr>
                <w:color w:val="000000"/>
                <w:sz w:val="14"/>
                <w:szCs w:val="16"/>
              </w:rPr>
              <w:t>157.773</w:t>
            </w:r>
          </w:p>
        </w:tc>
        <w:tc>
          <w:tcPr>
            <w:tcW w:w="53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45,20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9,30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256.009.911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71.331</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70.697</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6"/>
              </w:rPr>
            </w:pPr>
            <w:r w:rsidRPr="00316249">
              <w:rPr>
                <w:color w:val="000000"/>
                <w:sz w:val="14"/>
                <w:szCs w:val="16"/>
              </w:rPr>
              <w:t>Energética Corumbá III S.A.</w:t>
            </w:r>
          </w:p>
        </w:tc>
        <w:tc>
          <w:tcPr>
            <w:tcW w:w="5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119.373 </w:t>
            </w:r>
          </w:p>
        </w:tc>
        <w:tc>
          <w:tcPr>
            <w:tcW w:w="5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highlight w:val="yellow"/>
              </w:rPr>
            </w:pPr>
            <w:r w:rsidRPr="00316249">
              <w:rPr>
                <w:color w:val="000000"/>
                <w:sz w:val="14"/>
                <w:szCs w:val="16"/>
              </w:rPr>
              <w:t>170.692</w:t>
            </w:r>
          </w:p>
        </w:tc>
        <w:tc>
          <w:tcPr>
            <w:tcW w:w="53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37,50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25,00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45.594.783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64.010</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58.429</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6"/>
              </w:rPr>
            </w:pPr>
            <w:r w:rsidRPr="00316249">
              <w:rPr>
                <w:color w:val="000000"/>
                <w:sz w:val="14"/>
                <w:szCs w:val="16"/>
              </w:rPr>
              <w:t>CEB Participações S.A.</w:t>
            </w:r>
          </w:p>
        </w:tc>
        <w:tc>
          <w:tcPr>
            <w:tcW w:w="5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41.271 </w:t>
            </w:r>
          </w:p>
        </w:tc>
        <w:tc>
          <w:tcPr>
            <w:tcW w:w="5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highlight w:val="yellow"/>
              </w:rPr>
            </w:pPr>
            <w:r w:rsidRPr="00316249">
              <w:rPr>
                <w:color w:val="000000"/>
                <w:sz w:val="14"/>
                <w:szCs w:val="16"/>
              </w:rPr>
              <w:t>39.457</w:t>
            </w:r>
          </w:p>
        </w:tc>
        <w:tc>
          <w:tcPr>
            <w:tcW w:w="53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100,00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100,00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41.270.415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39.457</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43.813</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6"/>
              </w:rPr>
            </w:pPr>
            <w:r w:rsidRPr="00316249">
              <w:rPr>
                <w:color w:val="000000"/>
                <w:sz w:val="14"/>
                <w:szCs w:val="16"/>
              </w:rPr>
              <w:t>CEB Geração S.A.</w:t>
            </w:r>
          </w:p>
        </w:tc>
        <w:tc>
          <w:tcPr>
            <w:tcW w:w="5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7.575 </w:t>
            </w:r>
          </w:p>
        </w:tc>
        <w:tc>
          <w:tcPr>
            <w:tcW w:w="5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14.035</w:t>
            </w:r>
          </w:p>
        </w:tc>
        <w:tc>
          <w:tcPr>
            <w:tcW w:w="53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100,00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100,00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7.575.212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14.035</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13.604</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6"/>
              </w:rPr>
            </w:pPr>
            <w:r w:rsidRPr="00316249">
              <w:rPr>
                <w:color w:val="000000"/>
                <w:sz w:val="14"/>
                <w:szCs w:val="16"/>
              </w:rPr>
              <w:t xml:space="preserve">Companhia Brasiliense de Gás S.A. </w:t>
            </w:r>
          </w:p>
        </w:tc>
        <w:tc>
          <w:tcPr>
            <w:tcW w:w="5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4.921 </w:t>
            </w:r>
          </w:p>
        </w:tc>
        <w:tc>
          <w:tcPr>
            <w:tcW w:w="5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979</w:t>
            </w:r>
          </w:p>
        </w:tc>
        <w:tc>
          <w:tcPr>
            <w:tcW w:w="53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17,00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51,00 </w:t>
            </w:r>
          </w:p>
        </w:tc>
        <w:tc>
          <w:tcPr>
            <w:tcW w:w="55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 xml:space="preserve">           30.600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6"/>
              </w:rPr>
            </w:pPr>
            <w:r w:rsidRPr="00316249">
              <w:rPr>
                <w:color w:val="000000"/>
                <w:sz w:val="14"/>
                <w:szCs w:val="16"/>
              </w:rPr>
              <w:t>166</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6"/>
              </w:rPr>
            </w:pPr>
            <w:r w:rsidRPr="00316249">
              <w:rPr>
                <w:color w:val="000000"/>
                <w:sz w:val="14"/>
                <w:szCs w:val="16"/>
              </w:rPr>
              <w:t>160</w:t>
            </w:r>
          </w:p>
        </w:tc>
      </w:tr>
      <w:tr w:rsidR="00E9008A" w:rsidRPr="00316249" w:rsidTr="005B7D01">
        <w:trPr>
          <w:trHeight w:val="238"/>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6"/>
              </w:rPr>
            </w:pPr>
            <w:r w:rsidRPr="00316249">
              <w:rPr>
                <w:b/>
                <w:bCs/>
                <w:color w:val="000000"/>
                <w:sz w:val="14"/>
                <w:szCs w:val="16"/>
              </w:rPr>
              <w:t>Total</w:t>
            </w:r>
          </w:p>
        </w:tc>
        <w:tc>
          <w:tcPr>
            <w:tcW w:w="561"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jc w:val="right"/>
              <w:rPr>
                <w:color w:val="000000"/>
                <w:sz w:val="14"/>
                <w:szCs w:val="16"/>
              </w:rPr>
            </w:pPr>
            <w:r w:rsidRPr="00316249">
              <w:rPr>
                <w:color w:val="000000"/>
                <w:sz w:val="14"/>
                <w:szCs w:val="16"/>
              </w:rPr>
              <w:t> </w:t>
            </w:r>
          </w:p>
        </w:tc>
        <w:tc>
          <w:tcPr>
            <w:tcW w:w="500"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jc w:val="right"/>
              <w:rPr>
                <w:color w:val="000000"/>
                <w:sz w:val="14"/>
                <w:szCs w:val="16"/>
              </w:rPr>
            </w:pPr>
            <w:r w:rsidRPr="00316249">
              <w:rPr>
                <w:color w:val="000000"/>
                <w:sz w:val="14"/>
                <w:szCs w:val="16"/>
              </w:rPr>
              <w:t> </w:t>
            </w:r>
          </w:p>
        </w:tc>
        <w:tc>
          <w:tcPr>
            <w:tcW w:w="531"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jc w:val="right"/>
              <w:rPr>
                <w:color w:val="000000"/>
                <w:sz w:val="14"/>
                <w:szCs w:val="16"/>
              </w:rPr>
            </w:pPr>
            <w:r w:rsidRPr="00316249">
              <w:rPr>
                <w:color w:val="000000"/>
                <w:sz w:val="14"/>
                <w:szCs w:val="16"/>
              </w:rPr>
              <w:t> </w:t>
            </w:r>
          </w:p>
        </w:tc>
        <w:tc>
          <w:tcPr>
            <w:tcW w:w="554"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jc w:val="right"/>
              <w:rPr>
                <w:color w:val="000000"/>
                <w:sz w:val="14"/>
                <w:szCs w:val="16"/>
              </w:rPr>
            </w:pPr>
            <w:r w:rsidRPr="00316249">
              <w:rPr>
                <w:color w:val="000000"/>
                <w:sz w:val="14"/>
                <w:szCs w:val="16"/>
              </w:rPr>
              <w:t> </w:t>
            </w:r>
          </w:p>
        </w:tc>
        <w:tc>
          <w:tcPr>
            <w:tcW w:w="554"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jc w:val="right"/>
              <w:rPr>
                <w:color w:val="000000"/>
                <w:sz w:val="14"/>
                <w:szCs w:val="16"/>
              </w:rPr>
            </w:pPr>
            <w:r w:rsidRPr="00316249">
              <w:rPr>
                <w:color w:val="000000"/>
                <w:sz w:val="14"/>
                <w:szCs w:val="16"/>
              </w:rPr>
              <w:t> </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6"/>
              </w:rPr>
            </w:pPr>
            <w:r w:rsidRPr="00316249">
              <w:rPr>
                <w:b/>
                <w:bCs/>
                <w:color w:val="000000"/>
                <w:sz w:val="14"/>
                <w:szCs w:val="16"/>
              </w:rPr>
              <w:t>656.256</w:t>
            </w:r>
          </w:p>
        </w:tc>
        <w:tc>
          <w:tcPr>
            <w:tcW w:w="54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6"/>
              </w:rPr>
            </w:pPr>
            <w:r w:rsidRPr="00316249">
              <w:rPr>
                <w:b/>
                <w:bCs/>
                <w:color w:val="000000"/>
                <w:sz w:val="14"/>
                <w:szCs w:val="16"/>
              </w:rPr>
              <w:t>613.932</w:t>
            </w:r>
          </w:p>
        </w:tc>
      </w:tr>
    </w:tbl>
    <w:p w:rsidR="00E9008A" w:rsidRDefault="00E9008A" w:rsidP="00E9008A">
      <w:pPr>
        <w:autoSpaceDE w:val="0"/>
        <w:autoSpaceDN w:val="0"/>
        <w:adjustRightInd w:val="0"/>
        <w:spacing w:before="240"/>
        <w:jc w:val="both"/>
        <w:rPr>
          <w:sz w:val="22"/>
          <w:szCs w:val="22"/>
        </w:rPr>
      </w:pPr>
      <w:r w:rsidRPr="00316249">
        <w:rPr>
          <w:bCs/>
          <w:snapToGrid w:val="0"/>
          <w:sz w:val="22"/>
          <w:szCs w:val="22"/>
        </w:rPr>
        <w:t xml:space="preserve">A diferença do investimento registrado na Companhia e o resultado da aplicação do percentual de 59,93% sobre o patrimônio líquido da CEB Lajeado S.A. é devido ao registro, no patrimônio líquido da Empresa, de partes beneficiárias no valor de R$ 151.225, emitidas a favor da Eletrobrás S.A., que integrou a negociação da reestruturação societária da </w:t>
      </w:r>
      <w:proofErr w:type="spellStart"/>
      <w:r w:rsidRPr="00316249">
        <w:rPr>
          <w:bCs/>
          <w:snapToGrid w:val="0"/>
          <w:sz w:val="22"/>
          <w:szCs w:val="22"/>
        </w:rPr>
        <w:t>Investco</w:t>
      </w:r>
      <w:proofErr w:type="spellEnd"/>
      <w:r w:rsidRPr="00316249">
        <w:rPr>
          <w:bCs/>
          <w:snapToGrid w:val="0"/>
          <w:sz w:val="22"/>
          <w:szCs w:val="22"/>
        </w:rPr>
        <w:t xml:space="preserve"> </w:t>
      </w:r>
      <w:proofErr w:type="gramStart"/>
      <w:r w:rsidRPr="00316249">
        <w:rPr>
          <w:bCs/>
          <w:snapToGrid w:val="0"/>
          <w:sz w:val="22"/>
          <w:szCs w:val="22"/>
        </w:rPr>
        <w:t>S.A..</w:t>
      </w:r>
      <w:proofErr w:type="gramEnd"/>
      <w:r w:rsidRPr="00316249">
        <w:rPr>
          <w:bCs/>
          <w:snapToGrid w:val="0"/>
          <w:sz w:val="22"/>
          <w:szCs w:val="22"/>
        </w:rPr>
        <w:t xml:space="preserve"> </w:t>
      </w:r>
      <w:r w:rsidRPr="00316249">
        <w:rPr>
          <w:sz w:val="22"/>
          <w:szCs w:val="22"/>
        </w:rPr>
        <w:t>As partes beneficiárias deverão ser convertidas em ações preferenciais ao final do período de concessão.</w:t>
      </w:r>
    </w:p>
    <w:p w:rsidR="00E9008A" w:rsidRPr="00316249" w:rsidRDefault="00E9008A" w:rsidP="00E9008A">
      <w:pPr>
        <w:autoSpaceDE w:val="0"/>
        <w:autoSpaceDN w:val="0"/>
        <w:adjustRightInd w:val="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1056"/>
        <w:gridCol w:w="914"/>
        <w:gridCol w:w="1300"/>
        <w:gridCol w:w="1220"/>
        <w:gridCol w:w="985"/>
        <w:gridCol w:w="883"/>
        <w:gridCol w:w="869"/>
      </w:tblGrid>
      <w:tr w:rsidR="00E9008A" w:rsidRPr="00316249" w:rsidTr="005B7D01">
        <w:trPr>
          <w:trHeight w:val="238"/>
          <w:tblHeader/>
        </w:trPr>
        <w:tc>
          <w:tcPr>
            <w:tcW w:w="996" w:type="pct"/>
            <w:vMerge w:val="restart"/>
            <w:shd w:val="clear" w:color="000000" w:fill="D9D9D9"/>
            <w:vAlign w:val="center"/>
            <w:hideMark/>
          </w:tcPr>
          <w:p w:rsidR="00E9008A" w:rsidRPr="00316249" w:rsidRDefault="00E9008A" w:rsidP="005B7D01">
            <w:pPr>
              <w:rPr>
                <w:b/>
                <w:bCs/>
                <w:color w:val="000000"/>
                <w:sz w:val="16"/>
                <w:szCs w:val="16"/>
              </w:rPr>
            </w:pPr>
            <w:r w:rsidRPr="00316249">
              <w:rPr>
                <w:b/>
                <w:bCs/>
                <w:color w:val="000000"/>
                <w:sz w:val="16"/>
                <w:szCs w:val="16"/>
              </w:rPr>
              <w:t>Investidas</w:t>
            </w:r>
          </w:p>
        </w:tc>
        <w:tc>
          <w:tcPr>
            <w:tcW w:w="4004" w:type="pct"/>
            <w:gridSpan w:val="7"/>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Consolidado</w:t>
            </w:r>
          </w:p>
        </w:tc>
      </w:tr>
      <w:tr w:rsidR="00E9008A" w:rsidRPr="00316249" w:rsidTr="005B7D01">
        <w:trPr>
          <w:trHeight w:val="238"/>
          <w:tblHeader/>
        </w:trPr>
        <w:tc>
          <w:tcPr>
            <w:tcW w:w="996" w:type="pct"/>
            <w:vMerge/>
            <w:vAlign w:val="center"/>
            <w:hideMark/>
          </w:tcPr>
          <w:p w:rsidR="00E9008A" w:rsidRPr="00316249" w:rsidRDefault="00E9008A" w:rsidP="005B7D01">
            <w:pPr>
              <w:rPr>
                <w:b/>
                <w:bCs/>
                <w:color w:val="000000"/>
                <w:sz w:val="16"/>
                <w:szCs w:val="16"/>
              </w:rPr>
            </w:pPr>
          </w:p>
        </w:tc>
        <w:tc>
          <w:tcPr>
            <w:tcW w:w="561" w:type="pct"/>
            <w:vMerge w:val="restart"/>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 xml:space="preserve"> Capital Social Integralizado </w:t>
            </w:r>
          </w:p>
        </w:tc>
        <w:tc>
          <w:tcPr>
            <w:tcW w:w="486" w:type="pct"/>
            <w:vMerge w:val="restart"/>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 xml:space="preserve"> Patrimônio Líquido </w:t>
            </w:r>
          </w:p>
        </w:tc>
        <w:tc>
          <w:tcPr>
            <w:tcW w:w="616" w:type="pct"/>
            <w:vMerge w:val="restart"/>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 xml:space="preserve"> Participação no Capital Social (%) </w:t>
            </w:r>
          </w:p>
        </w:tc>
        <w:tc>
          <w:tcPr>
            <w:tcW w:w="585" w:type="pct"/>
            <w:vMerge w:val="restart"/>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 xml:space="preserve"> Participação nas Ações Ordinárias (%) </w:t>
            </w:r>
          </w:p>
        </w:tc>
        <w:tc>
          <w:tcPr>
            <w:tcW w:w="513" w:type="pct"/>
            <w:vMerge w:val="restart"/>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 xml:space="preserve"> Número de Ações Detidas </w:t>
            </w:r>
            <w:r>
              <w:rPr>
                <w:b/>
                <w:bCs/>
                <w:color w:val="000000"/>
                <w:sz w:val="16"/>
                <w:szCs w:val="16"/>
              </w:rPr>
              <w:t>P</w:t>
            </w:r>
            <w:r w:rsidRPr="00316249">
              <w:rPr>
                <w:b/>
                <w:bCs/>
                <w:color w:val="000000"/>
                <w:sz w:val="16"/>
                <w:szCs w:val="16"/>
              </w:rPr>
              <w:t>ela CEB e Controladas</w:t>
            </w:r>
          </w:p>
        </w:tc>
        <w:tc>
          <w:tcPr>
            <w:tcW w:w="1243" w:type="pct"/>
            <w:gridSpan w:val="2"/>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Valor Contábil</w:t>
            </w:r>
          </w:p>
        </w:tc>
      </w:tr>
      <w:tr w:rsidR="00E9008A" w:rsidRPr="00316249" w:rsidTr="005B7D01">
        <w:trPr>
          <w:trHeight w:val="238"/>
          <w:tblHeader/>
        </w:trPr>
        <w:tc>
          <w:tcPr>
            <w:tcW w:w="996" w:type="pct"/>
            <w:vMerge/>
            <w:vAlign w:val="center"/>
            <w:hideMark/>
          </w:tcPr>
          <w:p w:rsidR="00E9008A" w:rsidRPr="00316249" w:rsidRDefault="00E9008A" w:rsidP="005B7D01">
            <w:pPr>
              <w:rPr>
                <w:b/>
                <w:bCs/>
                <w:color w:val="000000"/>
                <w:sz w:val="16"/>
                <w:szCs w:val="16"/>
              </w:rPr>
            </w:pPr>
          </w:p>
        </w:tc>
        <w:tc>
          <w:tcPr>
            <w:tcW w:w="561" w:type="pct"/>
            <w:vMerge/>
            <w:vAlign w:val="center"/>
            <w:hideMark/>
          </w:tcPr>
          <w:p w:rsidR="00E9008A" w:rsidRPr="00316249" w:rsidRDefault="00E9008A" w:rsidP="005B7D01">
            <w:pPr>
              <w:rPr>
                <w:b/>
                <w:bCs/>
                <w:color w:val="000000"/>
                <w:sz w:val="16"/>
                <w:szCs w:val="16"/>
              </w:rPr>
            </w:pPr>
          </w:p>
        </w:tc>
        <w:tc>
          <w:tcPr>
            <w:tcW w:w="486" w:type="pct"/>
            <w:vMerge/>
            <w:vAlign w:val="center"/>
            <w:hideMark/>
          </w:tcPr>
          <w:p w:rsidR="00E9008A" w:rsidRPr="00316249" w:rsidRDefault="00E9008A" w:rsidP="005B7D01">
            <w:pPr>
              <w:rPr>
                <w:b/>
                <w:bCs/>
                <w:color w:val="000000"/>
                <w:sz w:val="16"/>
                <w:szCs w:val="16"/>
              </w:rPr>
            </w:pPr>
          </w:p>
        </w:tc>
        <w:tc>
          <w:tcPr>
            <w:tcW w:w="616" w:type="pct"/>
            <w:vMerge/>
            <w:vAlign w:val="center"/>
            <w:hideMark/>
          </w:tcPr>
          <w:p w:rsidR="00E9008A" w:rsidRPr="00316249" w:rsidRDefault="00E9008A" w:rsidP="005B7D01">
            <w:pPr>
              <w:rPr>
                <w:b/>
                <w:bCs/>
                <w:color w:val="000000"/>
                <w:sz w:val="16"/>
                <w:szCs w:val="16"/>
              </w:rPr>
            </w:pPr>
          </w:p>
        </w:tc>
        <w:tc>
          <w:tcPr>
            <w:tcW w:w="585" w:type="pct"/>
            <w:vMerge/>
            <w:vAlign w:val="center"/>
            <w:hideMark/>
          </w:tcPr>
          <w:p w:rsidR="00E9008A" w:rsidRPr="00316249" w:rsidRDefault="00E9008A" w:rsidP="005B7D01">
            <w:pPr>
              <w:rPr>
                <w:b/>
                <w:bCs/>
                <w:color w:val="000000"/>
                <w:sz w:val="16"/>
                <w:szCs w:val="16"/>
              </w:rPr>
            </w:pPr>
          </w:p>
        </w:tc>
        <w:tc>
          <w:tcPr>
            <w:tcW w:w="513" w:type="pct"/>
            <w:vMerge/>
            <w:vAlign w:val="center"/>
            <w:hideMark/>
          </w:tcPr>
          <w:p w:rsidR="00E9008A" w:rsidRPr="00316249" w:rsidRDefault="00E9008A" w:rsidP="005B7D01">
            <w:pPr>
              <w:rPr>
                <w:b/>
                <w:bCs/>
                <w:color w:val="000000"/>
                <w:sz w:val="16"/>
                <w:szCs w:val="16"/>
              </w:rPr>
            </w:pPr>
          </w:p>
        </w:tc>
        <w:tc>
          <w:tcPr>
            <w:tcW w:w="648"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31/12/2016</w:t>
            </w:r>
          </w:p>
        </w:tc>
        <w:tc>
          <w:tcPr>
            <w:tcW w:w="595"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31/12/2015</w:t>
            </w:r>
          </w:p>
        </w:tc>
      </w:tr>
      <w:tr w:rsidR="00E9008A" w:rsidRPr="00316249" w:rsidTr="005B7D01">
        <w:trPr>
          <w:trHeight w:val="238"/>
        </w:trPr>
        <w:tc>
          <w:tcPr>
            <w:tcW w:w="996" w:type="pct"/>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Corumbá Concessões S.A.</w:t>
            </w:r>
          </w:p>
        </w:tc>
        <w:tc>
          <w:tcPr>
            <w:tcW w:w="561"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235.259 </w:t>
            </w:r>
          </w:p>
        </w:tc>
        <w:tc>
          <w:tcPr>
            <w:tcW w:w="486" w:type="pct"/>
            <w:shd w:val="clear" w:color="auto" w:fill="auto"/>
            <w:noWrap/>
            <w:vAlign w:val="center"/>
          </w:tcPr>
          <w:p w:rsidR="00E9008A" w:rsidRPr="00316249" w:rsidRDefault="00E9008A" w:rsidP="005B7D01">
            <w:pPr>
              <w:jc w:val="right"/>
              <w:rPr>
                <w:color w:val="000000"/>
                <w:sz w:val="16"/>
                <w:szCs w:val="16"/>
                <w:highlight w:val="yellow"/>
              </w:rPr>
            </w:pPr>
            <w:r w:rsidRPr="00316249">
              <w:rPr>
                <w:color w:val="000000"/>
                <w:sz w:val="16"/>
                <w:szCs w:val="16"/>
              </w:rPr>
              <w:t>157.773</w:t>
            </w:r>
          </w:p>
        </w:tc>
        <w:tc>
          <w:tcPr>
            <w:tcW w:w="616"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47,55 </w:t>
            </w:r>
          </w:p>
        </w:tc>
        <w:tc>
          <w:tcPr>
            <w:tcW w:w="585"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9,30 </w:t>
            </w:r>
          </w:p>
        </w:tc>
        <w:tc>
          <w:tcPr>
            <w:tcW w:w="513"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269.294.911</w:t>
            </w:r>
          </w:p>
        </w:tc>
        <w:tc>
          <w:tcPr>
            <w:tcW w:w="648"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75.044</w:t>
            </w:r>
          </w:p>
        </w:tc>
        <w:tc>
          <w:tcPr>
            <w:tcW w:w="595"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74.366 </w:t>
            </w:r>
          </w:p>
        </w:tc>
      </w:tr>
      <w:tr w:rsidR="00E9008A" w:rsidRPr="00316249" w:rsidTr="005B7D01">
        <w:trPr>
          <w:trHeight w:val="238"/>
        </w:trPr>
        <w:tc>
          <w:tcPr>
            <w:tcW w:w="996" w:type="pct"/>
            <w:shd w:val="clear" w:color="auto" w:fill="auto"/>
            <w:noWrap/>
            <w:vAlign w:val="center"/>
            <w:hideMark/>
          </w:tcPr>
          <w:p w:rsidR="00E9008A" w:rsidRPr="00316249" w:rsidRDefault="00E9008A" w:rsidP="005B7D01">
            <w:pPr>
              <w:rPr>
                <w:color w:val="000000"/>
                <w:sz w:val="16"/>
                <w:szCs w:val="16"/>
              </w:rPr>
            </w:pPr>
            <w:proofErr w:type="spellStart"/>
            <w:r w:rsidRPr="00316249">
              <w:rPr>
                <w:color w:val="000000"/>
                <w:sz w:val="16"/>
                <w:szCs w:val="16"/>
              </w:rPr>
              <w:t>Investco</w:t>
            </w:r>
            <w:proofErr w:type="spellEnd"/>
            <w:r w:rsidRPr="00316249">
              <w:rPr>
                <w:color w:val="000000"/>
                <w:sz w:val="16"/>
                <w:szCs w:val="16"/>
              </w:rPr>
              <w:t xml:space="preserve"> S.A.</w:t>
            </w:r>
          </w:p>
        </w:tc>
        <w:tc>
          <w:tcPr>
            <w:tcW w:w="561" w:type="pct"/>
            <w:shd w:val="clear" w:color="auto" w:fill="auto"/>
            <w:noWrap/>
            <w:vAlign w:val="center"/>
            <w:hideMark/>
          </w:tcPr>
          <w:p w:rsidR="00E9008A" w:rsidRPr="00316249" w:rsidRDefault="00E9008A" w:rsidP="005B7D01">
            <w:pPr>
              <w:jc w:val="right"/>
              <w:rPr>
                <w:color w:val="000000"/>
                <w:sz w:val="16"/>
                <w:szCs w:val="16"/>
                <w:highlight w:val="yellow"/>
              </w:rPr>
            </w:pPr>
            <w:r w:rsidRPr="00316249">
              <w:rPr>
                <w:color w:val="000000"/>
                <w:sz w:val="16"/>
                <w:szCs w:val="16"/>
              </w:rPr>
              <w:t>891.343</w:t>
            </w:r>
          </w:p>
        </w:tc>
        <w:tc>
          <w:tcPr>
            <w:tcW w:w="486" w:type="pct"/>
            <w:shd w:val="clear" w:color="auto" w:fill="auto"/>
            <w:noWrap/>
            <w:vAlign w:val="center"/>
          </w:tcPr>
          <w:p w:rsidR="00E9008A" w:rsidRPr="00316249" w:rsidRDefault="00E9008A" w:rsidP="005B7D01">
            <w:pPr>
              <w:jc w:val="right"/>
              <w:rPr>
                <w:color w:val="000000"/>
                <w:sz w:val="16"/>
                <w:szCs w:val="16"/>
                <w:highlight w:val="yellow"/>
              </w:rPr>
            </w:pPr>
            <w:r w:rsidRPr="00316249">
              <w:rPr>
                <w:sz w:val="16"/>
                <w:szCs w:val="16"/>
              </w:rPr>
              <w:t>1.008.289</w:t>
            </w:r>
          </w:p>
        </w:tc>
        <w:tc>
          <w:tcPr>
            <w:tcW w:w="616"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20,00 </w:t>
            </w:r>
          </w:p>
        </w:tc>
        <w:tc>
          <w:tcPr>
            <w:tcW w:w="585"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20,00 </w:t>
            </w:r>
          </w:p>
        </w:tc>
        <w:tc>
          <w:tcPr>
            <w:tcW w:w="513"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133.563.595</w:t>
            </w:r>
          </w:p>
        </w:tc>
        <w:tc>
          <w:tcPr>
            <w:tcW w:w="648"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201.658</w:t>
            </w:r>
          </w:p>
        </w:tc>
        <w:tc>
          <w:tcPr>
            <w:tcW w:w="595"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215.817 </w:t>
            </w:r>
          </w:p>
        </w:tc>
      </w:tr>
      <w:tr w:rsidR="00E9008A" w:rsidRPr="00316249" w:rsidTr="005B7D01">
        <w:trPr>
          <w:trHeight w:val="238"/>
        </w:trPr>
        <w:tc>
          <w:tcPr>
            <w:tcW w:w="996" w:type="pct"/>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Energética Corumbá III S.A.</w:t>
            </w:r>
          </w:p>
        </w:tc>
        <w:tc>
          <w:tcPr>
            <w:tcW w:w="561"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119.373 </w:t>
            </w:r>
          </w:p>
        </w:tc>
        <w:tc>
          <w:tcPr>
            <w:tcW w:w="486" w:type="pct"/>
            <w:shd w:val="clear" w:color="auto" w:fill="auto"/>
            <w:noWrap/>
            <w:vAlign w:val="center"/>
          </w:tcPr>
          <w:p w:rsidR="00E9008A" w:rsidRPr="00316249" w:rsidRDefault="00E9008A" w:rsidP="005B7D01">
            <w:pPr>
              <w:jc w:val="right"/>
              <w:rPr>
                <w:color w:val="000000"/>
                <w:sz w:val="16"/>
                <w:szCs w:val="16"/>
                <w:highlight w:val="yellow"/>
              </w:rPr>
            </w:pPr>
            <w:r w:rsidRPr="00316249">
              <w:rPr>
                <w:color w:val="000000"/>
                <w:sz w:val="16"/>
                <w:szCs w:val="16"/>
              </w:rPr>
              <w:t>170.692</w:t>
            </w:r>
          </w:p>
        </w:tc>
        <w:tc>
          <w:tcPr>
            <w:tcW w:w="616"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37,50 </w:t>
            </w:r>
          </w:p>
        </w:tc>
        <w:tc>
          <w:tcPr>
            <w:tcW w:w="585"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25,00 </w:t>
            </w:r>
          </w:p>
        </w:tc>
        <w:tc>
          <w:tcPr>
            <w:tcW w:w="513"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45.594.783</w:t>
            </w:r>
          </w:p>
        </w:tc>
        <w:tc>
          <w:tcPr>
            <w:tcW w:w="648"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64.010</w:t>
            </w:r>
          </w:p>
        </w:tc>
        <w:tc>
          <w:tcPr>
            <w:tcW w:w="595"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58.429 </w:t>
            </w:r>
          </w:p>
        </w:tc>
      </w:tr>
      <w:tr w:rsidR="00E9008A" w:rsidRPr="00316249" w:rsidTr="005B7D01">
        <w:trPr>
          <w:trHeight w:val="238"/>
        </w:trPr>
        <w:tc>
          <w:tcPr>
            <w:tcW w:w="996" w:type="pct"/>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Total</w:t>
            </w:r>
          </w:p>
        </w:tc>
        <w:tc>
          <w:tcPr>
            <w:tcW w:w="561" w:type="pct"/>
            <w:shd w:val="clear" w:color="000000" w:fill="D9D9D9"/>
            <w:noWrap/>
            <w:hideMark/>
          </w:tcPr>
          <w:p w:rsidR="00E9008A" w:rsidRPr="00316249" w:rsidRDefault="00E9008A" w:rsidP="005B7D01">
            <w:pPr>
              <w:jc w:val="center"/>
              <w:rPr>
                <w:color w:val="000000"/>
                <w:sz w:val="16"/>
                <w:szCs w:val="16"/>
              </w:rPr>
            </w:pPr>
          </w:p>
        </w:tc>
        <w:tc>
          <w:tcPr>
            <w:tcW w:w="486" w:type="pct"/>
            <w:shd w:val="clear" w:color="000000" w:fill="D9D9D9"/>
            <w:noWrap/>
            <w:hideMark/>
          </w:tcPr>
          <w:p w:rsidR="00E9008A" w:rsidRPr="00316249" w:rsidRDefault="00E9008A" w:rsidP="005B7D01">
            <w:pPr>
              <w:jc w:val="center"/>
              <w:rPr>
                <w:color w:val="000000"/>
                <w:sz w:val="16"/>
                <w:szCs w:val="16"/>
              </w:rPr>
            </w:pPr>
          </w:p>
        </w:tc>
        <w:tc>
          <w:tcPr>
            <w:tcW w:w="616" w:type="pct"/>
            <w:shd w:val="clear" w:color="000000" w:fill="D9D9D9"/>
            <w:noWrap/>
            <w:hideMark/>
          </w:tcPr>
          <w:p w:rsidR="00E9008A" w:rsidRPr="00316249" w:rsidRDefault="00E9008A" w:rsidP="005B7D01">
            <w:pPr>
              <w:jc w:val="center"/>
              <w:rPr>
                <w:color w:val="000000"/>
                <w:sz w:val="16"/>
                <w:szCs w:val="16"/>
              </w:rPr>
            </w:pPr>
          </w:p>
        </w:tc>
        <w:tc>
          <w:tcPr>
            <w:tcW w:w="585" w:type="pct"/>
            <w:shd w:val="clear" w:color="000000" w:fill="D9D9D9"/>
            <w:noWrap/>
            <w:hideMark/>
          </w:tcPr>
          <w:p w:rsidR="00E9008A" w:rsidRPr="00316249" w:rsidRDefault="00E9008A" w:rsidP="005B7D01">
            <w:pPr>
              <w:jc w:val="center"/>
              <w:rPr>
                <w:color w:val="000000"/>
                <w:sz w:val="16"/>
                <w:szCs w:val="16"/>
              </w:rPr>
            </w:pPr>
          </w:p>
        </w:tc>
        <w:tc>
          <w:tcPr>
            <w:tcW w:w="513" w:type="pct"/>
            <w:shd w:val="clear" w:color="000000" w:fill="D9D9D9"/>
            <w:noWrap/>
            <w:hideMark/>
          </w:tcPr>
          <w:p w:rsidR="00E9008A" w:rsidRPr="00316249" w:rsidRDefault="00E9008A" w:rsidP="005B7D01">
            <w:pPr>
              <w:jc w:val="center"/>
              <w:rPr>
                <w:color w:val="000000"/>
                <w:sz w:val="16"/>
                <w:szCs w:val="16"/>
              </w:rPr>
            </w:pPr>
          </w:p>
        </w:tc>
        <w:tc>
          <w:tcPr>
            <w:tcW w:w="648"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340.712</w:t>
            </w:r>
          </w:p>
        </w:tc>
        <w:tc>
          <w:tcPr>
            <w:tcW w:w="595"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348.612</w:t>
            </w:r>
          </w:p>
        </w:tc>
      </w:tr>
    </w:tbl>
    <w:p w:rsidR="007F7D85" w:rsidRDefault="007F7D85">
      <w:pPr>
        <w:rPr>
          <w:b/>
          <w:sz w:val="22"/>
          <w:szCs w:val="22"/>
          <w:lang w:eastAsia="en-US"/>
        </w:rPr>
      </w:pPr>
      <w:r>
        <w:rPr>
          <w:b/>
        </w:rPr>
        <w:br w:type="page"/>
      </w:r>
    </w:p>
    <w:p w:rsidR="00E9008A" w:rsidRPr="007527F1" w:rsidRDefault="00E9008A" w:rsidP="007527F1">
      <w:pPr>
        <w:pStyle w:val="PargrafodaLista"/>
        <w:numPr>
          <w:ilvl w:val="2"/>
          <w:numId w:val="23"/>
        </w:numPr>
        <w:spacing w:before="240" w:after="240"/>
        <w:ind w:left="851" w:hanging="851"/>
        <w:jc w:val="both"/>
        <w:rPr>
          <w:rFonts w:ascii="Times New Roman" w:hAnsi="Times New Roman" w:cs="Times New Roman"/>
          <w:b/>
          <w:lang w:val="pt-BR"/>
        </w:rPr>
      </w:pPr>
      <w:r w:rsidRPr="007527F1">
        <w:rPr>
          <w:rFonts w:ascii="Times New Roman" w:hAnsi="Times New Roman" w:cs="Times New Roman"/>
          <w:b/>
          <w:lang w:val="pt-BR"/>
        </w:rPr>
        <w:lastRenderedPageBreak/>
        <w:t>Informações financeiras resumidas</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4"/>
        <w:gridCol w:w="912"/>
        <w:gridCol w:w="912"/>
        <w:gridCol w:w="912"/>
        <w:gridCol w:w="1374"/>
        <w:gridCol w:w="1418"/>
        <w:gridCol w:w="1417"/>
      </w:tblGrid>
      <w:tr w:rsidR="00E9008A" w:rsidRPr="00316249" w:rsidTr="005B7D01">
        <w:trPr>
          <w:trHeight w:val="232"/>
          <w:tblHeader/>
        </w:trPr>
        <w:tc>
          <w:tcPr>
            <w:tcW w:w="2764" w:type="dxa"/>
            <w:vMerge w:val="restart"/>
            <w:shd w:val="clear" w:color="000000" w:fill="D9D9D9"/>
            <w:vAlign w:val="center"/>
            <w:hideMark/>
          </w:tcPr>
          <w:p w:rsidR="00E9008A" w:rsidRPr="00316249" w:rsidRDefault="00E9008A" w:rsidP="005B7D01">
            <w:pPr>
              <w:rPr>
                <w:b/>
                <w:bCs/>
                <w:color w:val="000000"/>
                <w:sz w:val="18"/>
                <w:szCs w:val="18"/>
              </w:rPr>
            </w:pPr>
            <w:r w:rsidRPr="00316249">
              <w:rPr>
                <w:b/>
                <w:bCs/>
                <w:color w:val="000000"/>
                <w:sz w:val="18"/>
                <w:szCs w:val="18"/>
              </w:rPr>
              <w:t>Investidas</w:t>
            </w:r>
          </w:p>
        </w:tc>
        <w:tc>
          <w:tcPr>
            <w:tcW w:w="2736" w:type="dxa"/>
            <w:gridSpan w:val="3"/>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4209" w:type="dxa"/>
            <w:gridSpan w:val="3"/>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232"/>
          <w:tblHeader/>
        </w:trPr>
        <w:tc>
          <w:tcPr>
            <w:tcW w:w="2764" w:type="dxa"/>
            <w:vMerge/>
            <w:vAlign w:val="center"/>
            <w:hideMark/>
          </w:tcPr>
          <w:p w:rsidR="00E9008A" w:rsidRPr="00316249" w:rsidRDefault="00E9008A" w:rsidP="005B7D01">
            <w:pPr>
              <w:rPr>
                <w:b/>
                <w:bCs/>
                <w:color w:val="000000"/>
                <w:sz w:val="18"/>
                <w:szCs w:val="18"/>
              </w:rPr>
            </w:pPr>
          </w:p>
        </w:tc>
        <w:tc>
          <w:tcPr>
            <w:tcW w:w="912" w:type="dxa"/>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Ativos</w:t>
            </w:r>
          </w:p>
        </w:tc>
        <w:tc>
          <w:tcPr>
            <w:tcW w:w="912" w:type="dxa"/>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Passivos</w:t>
            </w:r>
          </w:p>
        </w:tc>
        <w:tc>
          <w:tcPr>
            <w:tcW w:w="912" w:type="dxa"/>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Receita Líquida</w:t>
            </w:r>
          </w:p>
        </w:tc>
        <w:tc>
          <w:tcPr>
            <w:tcW w:w="1374" w:type="dxa"/>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Ativos</w:t>
            </w:r>
          </w:p>
        </w:tc>
        <w:tc>
          <w:tcPr>
            <w:tcW w:w="1418" w:type="dxa"/>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Passivos</w:t>
            </w:r>
          </w:p>
        </w:tc>
        <w:tc>
          <w:tcPr>
            <w:tcW w:w="1417" w:type="dxa"/>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Receita Líquida</w:t>
            </w:r>
          </w:p>
        </w:tc>
      </w:tr>
      <w:tr w:rsidR="00E9008A" w:rsidRPr="00316249" w:rsidTr="005B7D01">
        <w:trPr>
          <w:trHeight w:val="232"/>
        </w:trPr>
        <w:tc>
          <w:tcPr>
            <w:tcW w:w="2764"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Distribuição S.A.</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2.543.248</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2.184.067</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2.057.006</w:t>
            </w:r>
          </w:p>
        </w:tc>
        <w:tc>
          <w:tcPr>
            <w:tcW w:w="1374"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2.543.248</w:t>
            </w:r>
          </w:p>
        </w:tc>
        <w:tc>
          <w:tcPr>
            <w:tcW w:w="1418"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2.184.068</w:t>
            </w:r>
          </w:p>
        </w:tc>
        <w:tc>
          <w:tcPr>
            <w:tcW w:w="1417"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2.348.022</w:t>
            </w:r>
          </w:p>
        </w:tc>
      </w:tr>
      <w:tr w:rsidR="00E9008A" w:rsidRPr="00316249" w:rsidTr="005B7D01">
        <w:trPr>
          <w:trHeight w:val="232"/>
        </w:trPr>
        <w:tc>
          <w:tcPr>
            <w:tcW w:w="2764"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Corumbá Concessões S.A.</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717.193</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559.420</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170.328</w:t>
            </w:r>
          </w:p>
        </w:tc>
        <w:tc>
          <w:tcPr>
            <w:tcW w:w="1374"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732.330</w:t>
            </w:r>
          </w:p>
        </w:tc>
        <w:tc>
          <w:tcPr>
            <w:tcW w:w="1418"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569.361</w:t>
            </w:r>
          </w:p>
        </w:tc>
        <w:tc>
          <w:tcPr>
            <w:tcW w:w="1417"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104.103</w:t>
            </w:r>
          </w:p>
        </w:tc>
      </w:tr>
      <w:tr w:rsidR="00E9008A" w:rsidRPr="00316249" w:rsidTr="005B7D01">
        <w:trPr>
          <w:trHeight w:val="232"/>
        </w:trPr>
        <w:tc>
          <w:tcPr>
            <w:tcW w:w="2764"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Lajeado S.A.</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369.830</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36.453</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118.756</w:t>
            </w:r>
          </w:p>
        </w:tc>
        <w:tc>
          <w:tcPr>
            <w:tcW w:w="1374"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397.619 </w:t>
            </w:r>
          </w:p>
        </w:tc>
        <w:tc>
          <w:tcPr>
            <w:tcW w:w="1418"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43.731</w:t>
            </w:r>
          </w:p>
        </w:tc>
        <w:tc>
          <w:tcPr>
            <w:tcW w:w="1417"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117.966</w:t>
            </w:r>
          </w:p>
        </w:tc>
      </w:tr>
      <w:tr w:rsidR="00E9008A" w:rsidRPr="00316249" w:rsidTr="005B7D01">
        <w:trPr>
          <w:trHeight w:val="232"/>
        </w:trPr>
        <w:tc>
          <w:tcPr>
            <w:tcW w:w="2764"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Energética Corumbá III S.A.</w:t>
            </w:r>
          </w:p>
        </w:tc>
        <w:tc>
          <w:tcPr>
            <w:tcW w:w="912" w:type="dxa"/>
            <w:shd w:val="clear" w:color="auto" w:fill="auto"/>
            <w:noWrap/>
            <w:vAlign w:val="center"/>
          </w:tcPr>
          <w:p w:rsidR="00E9008A" w:rsidRPr="00316249" w:rsidRDefault="00E9008A" w:rsidP="005B7D01">
            <w:pPr>
              <w:jc w:val="right"/>
              <w:rPr>
                <w:sz w:val="18"/>
                <w:szCs w:val="18"/>
              </w:rPr>
            </w:pPr>
            <w:r w:rsidRPr="00316249">
              <w:rPr>
                <w:sz w:val="18"/>
                <w:szCs w:val="18"/>
              </w:rPr>
              <w:t>231.747</w:t>
            </w:r>
          </w:p>
        </w:tc>
        <w:tc>
          <w:tcPr>
            <w:tcW w:w="912" w:type="dxa"/>
            <w:shd w:val="clear" w:color="auto" w:fill="auto"/>
            <w:noWrap/>
            <w:vAlign w:val="center"/>
          </w:tcPr>
          <w:p w:rsidR="00E9008A" w:rsidRPr="00316249" w:rsidRDefault="00E9008A" w:rsidP="005B7D01">
            <w:pPr>
              <w:jc w:val="right"/>
              <w:rPr>
                <w:sz w:val="18"/>
                <w:szCs w:val="18"/>
              </w:rPr>
            </w:pPr>
            <w:r w:rsidRPr="00316249">
              <w:rPr>
                <w:sz w:val="18"/>
                <w:szCs w:val="18"/>
              </w:rPr>
              <w:t>61.055</w:t>
            </w:r>
          </w:p>
        </w:tc>
        <w:tc>
          <w:tcPr>
            <w:tcW w:w="912" w:type="dxa"/>
            <w:shd w:val="clear" w:color="auto" w:fill="auto"/>
            <w:noWrap/>
            <w:vAlign w:val="center"/>
          </w:tcPr>
          <w:p w:rsidR="00E9008A" w:rsidRPr="00316249" w:rsidRDefault="00E9008A" w:rsidP="005B7D01">
            <w:pPr>
              <w:jc w:val="right"/>
              <w:rPr>
                <w:sz w:val="18"/>
                <w:szCs w:val="18"/>
              </w:rPr>
            </w:pPr>
            <w:r w:rsidRPr="00316249">
              <w:rPr>
                <w:sz w:val="18"/>
                <w:szCs w:val="18"/>
              </w:rPr>
              <w:t>39.228</w:t>
            </w:r>
          </w:p>
        </w:tc>
        <w:tc>
          <w:tcPr>
            <w:tcW w:w="1374" w:type="dxa"/>
            <w:shd w:val="clear" w:color="auto" w:fill="auto"/>
            <w:noWrap/>
            <w:vAlign w:val="center"/>
            <w:hideMark/>
          </w:tcPr>
          <w:p w:rsidR="00E9008A" w:rsidRPr="00316249" w:rsidRDefault="00E9008A" w:rsidP="005B7D01">
            <w:pPr>
              <w:jc w:val="right"/>
              <w:rPr>
                <w:sz w:val="18"/>
                <w:szCs w:val="18"/>
              </w:rPr>
            </w:pPr>
            <w:r w:rsidRPr="00316249">
              <w:rPr>
                <w:sz w:val="18"/>
                <w:szCs w:val="18"/>
              </w:rPr>
              <w:t xml:space="preserve">           230.966 </w:t>
            </w:r>
          </w:p>
        </w:tc>
        <w:tc>
          <w:tcPr>
            <w:tcW w:w="1418"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82.734</w:t>
            </w:r>
          </w:p>
        </w:tc>
        <w:tc>
          <w:tcPr>
            <w:tcW w:w="1417"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35.387</w:t>
            </w:r>
          </w:p>
        </w:tc>
      </w:tr>
      <w:tr w:rsidR="00E9008A" w:rsidRPr="00316249" w:rsidTr="005B7D01">
        <w:trPr>
          <w:trHeight w:val="232"/>
        </w:trPr>
        <w:tc>
          <w:tcPr>
            <w:tcW w:w="2764"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Participações S.A.</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40.664</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1.207</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16.407</w:t>
            </w:r>
          </w:p>
        </w:tc>
        <w:tc>
          <w:tcPr>
            <w:tcW w:w="1374"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45.802 </w:t>
            </w:r>
          </w:p>
        </w:tc>
        <w:tc>
          <w:tcPr>
            <w:tcW w:w="1418"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954</w:t>
            </w:r>
          </w:p>
        </w:tc>
        <w:tc>
          <w:tcPr>
            <w:tcW w:w="1417"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13.726</w:t>
            </w:r>
          </w:p>
        </w:tc>
      </w:tr>
      <w:tr w:rsidR="00E9008A" w:rsidRPr="00316249" w:rsidTr="005B7D01">
        <w:trPr>
          <w:trHeight w:val="232"/>
        </w:trPr>
        <w:tc>
          <w:tcPr>
            <w:tcW w:w="2764"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Geração S.A.</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17.930</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3.895</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15.101</w:t>
            </w:r>
          </w:p>
        </w:tc>
        <w:tc>
          <w:tcPr>
            <w:tcW w:w="1374"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17.311 </w:t>
            </w:r>
          </w:p>
        </w:tc>
        <w:tc>
          <w:tcPr>
            <w:tcW w:w="1418"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2.361</w:t>
            </w:r>
          </w:p>
        </w:tc>
        <w:tc>
          <w:tcPr>
            <w:tcW w:w="1417"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17.713</w:t>
            </w:r>
          </w:p>
        </w:tc>
      </w:tr>
      <w:tr w:rsidR="00E9008A" w:rsidRPr="00316249" w:rsidTr="005B7D01">
        <w:trPr>
          <w:trHeight w:val="232"/>
        </w:trPr>
        <w:tc>
          <w:tcPr>
            <w:tcW w:w="2764"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Companhia Brasiliense de Gás S.A.</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1.252</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273</w:t>
            </w:r>
          </w:p>
        </w:tc>
        <w:tc>
          <w:tcPr>
            <w:tcW w:w="912" w:type="dxa"/>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3.679</w:t>
            </w:r>
          </w:p>
        </w:tc>
        <w:tc>
          <w:tcPr>
            <w:tcW w:w="1374"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1.217 </w:t>
            </w:r>
          </w:p>
        </w:tc>
        <w:tc>
          <w:tcPr>
            <w:tcW w:w="1418"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276</w:t>
            </w:r>
          </w:p>
        </w:tc>
        <w:tc>
          <w:tcPr>
            <w:tcW w:w="1417" w:type="dxa"/>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3.629</w:t>
            </w:r>
          </w:p>
        </w:tc>
      </w:tr>
    </w:tbl>
    <w:p w:rsidR="00E9008A" w:rsidRPr="007527F1" w:rsidRDefault="00E9008A" w:rsidP="007527F1">
      <w:pPr>
        <w:pStyle w:val="PargrafodaLista"/>
        <w:numPr>
          <w:ilvl w:val="2"/>
          <w:numId w:val="23"/>
        </w:numPr>
        <w:spacing w:before="240" w:after="240"/>
        <w:ind w:left="851" w:hanging="851"/>
        <w:jc w:val="both"/>
        <w:rPr>
          <w:rFonts w:ascii="Times New Roman" w:hAnsi="Times New Roman" w:cs="Times New Roman"/>
          <w:b/>
          <w:lang w:val="pt-BR"/>
        </w:rPr>
      </w:pPr>
      <w:r w:rsidRPr="007527F1">
        <w:rPr>
          <w:rFonts w:ascii="Times New Roman" w:hAnsi="Times New Roman" w:cs="Times New Roman"/>
          <w:b/>
          <w:lang w:val="pt-BR"/>
        </w:rPr>
        <w:t>Resultado dos investimentos avaliados por equivalência patrimonial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3"/>
        <w:gridCol w:w="1595"/>
        <w:gridCol w:w="1595"/>
        <w:gridCol w:w="1595"/>
        <w:gridCol w:w="1603"/>
      </w:tblGrid>
      <w:tr w:rsidR="00E9008A" w:rsidRPr="00316249" w:rsidTr="005B7D01">
        <w:trPr>
          <w:trHeight w:val="238"/>
          <w:tblHeader/>
        </w:trPr>
        <w:tc>
          <w:tcPr>
            <w:tcW w:w="1532" w:type="pct"/>
            <w:vMerge w:val="restart"/>
            <w:shd w:val="clear" w:color="000000" w:fill="D8D8D8"/>
            <w:vAlign w:val="center"/>
            <w:hideMark/>
          </w:tcPr>
          <w:p w:rsidR="00E9008A" w:rsidRPr="00316249" w:rsidRDefault="00E9008A" w:rsidP="005B7D01">
            <w:pPr>
              <w:spacing w:before="240"/>
              <w:rPr>
                <w:b/>
                <w:bCs/>
                <w:color w:val="000000"/>
                <w:sz w:val="18"/>
                <w:szCs w:val="18"/>
              </w:rPr>
            </w:pPr>
            <w:r w:rsidRPr="00316249">
              <w:rPr>
                <w:b/>
                <w:bCs/>
                <w:color w:val="000000"/>
                <w:sz w:val="18"/>
                <w:szCs w:val="18"/>
              </w:rPr>
              <w:t xml:space="preserve">Investidas </w:t>
            </w:r>
          </w:p>
        </w:tc>
        <w:tc>
          <w:tcPr>
            <w:tcW w:w="3468" w:type="pct"/>
            <w:gridSpan w:val="4"/>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r>
      <w:tr w:rsidR="00E9008A" w:rsidRPr="00316249" w:rsidTr="005B7D01">
        <w:trPr>
          <w:trHeight w:val="238"/>
          <w:tblHeader/>
        </w:trPr>
        <w:tc>
          <w:tcPr>
            <w:tcW w:w="1532" w:type="pct"/>
            <w:vMerge/>
            <w:vAlign w:val="center"/>
            <w:hideMark/>
          </w:tcPr>
          <w:p w:rsidR="00E9008A" w:rsidRPr="00316249" w:rsidRDefault="00E9008A" w:rsidP="005B7D01">
            <w:pPr>
              <w:rPr>
                <w:b/>
                <w:bCs/>
                <w:color w:val="000000"/>
                <w:sz w:val="18"/>
                <w:szCs w:val="18"/>
              </w:rPr>
            </w:pPr>
          </w:p>
        </w:tc>
        <w:tc>
          <w:tcPr>
            <w:tcW w:w="866"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Lucro Líquido / (Prejuízo) do Período</w:t>
            </w:r>
          </w:p>
        </w:tc>
        <w:tc>
          <w:tcPr>
            <w:tcW w:w="866"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Resultado de Equivalência Patrimonial </w:t>
            </w:r>
          </w:p>
        </w:tc>
        <w:tc>
          <w:tcPr>
            <w:tcW w:w="866"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Lucro Líquido / (Prejuízo) do Período</w:t>
            </w:r>
          </w:p>
        </w:tc>
        <w:tc>
          <w:tcPr>
            <w:tcW w:w="870" w:type="pct"/>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Resultado de Equivalência Patrimonial </w:t>
            </w:r>
          </w:p>
        </w:tc>
      </w:tr>
      <w:tr w:rsidR="00E9008A" w:rsidRPr="00316249" w:rsidTr="005B7D01">
        <w:trPr>
          <w:trHeight w:val="238"/>
          <w:tblHeader/>
        </w:trPr>
        <w:tc>
          <w:tcPr>
            <w:tcW w:w="1532" w:type="pct"/>
            <w:vMerge/>
            <w:vAlign w:val="center"/>
            <w:hideMark/>
          </w:tcPr>
          <w:p w:rsidR="00E9008A" w:rsidRPr="00316249" w:rsidRDefault="00E9008A" w:rsidP="005B7D01">
            <w:pPr>
              <w:rPr>
                <w:b/>
                <w:bCs/>
                <w:color w:val="000000"/>
                <w:sz w:val="18"/>
                <w:szCs w:val="18"/>
              </w:rPr>
            </w:pPr>
          </w:p>
        </w:tc>
        <w:tc>
          <w:tcPr>
            <w:tcW w:w="86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86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86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c>
          <w:tcPr>
            <w:tcW w:w="870"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CEB Distribuição S.A.</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50.271</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50.271</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36.446</w:t>
            </w:r>
          </w:p>
        </w:tc>
        <w:tc>
          <w:tcPr>
            <w:tcW w:w="87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36.446</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CEB Lajeado S.A.</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35.283</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19.731</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43.888 </w:t>
            </w:r>
          </w:p>
        </w:tc>
        <w:tc>
          <w:tcPr>
            <w:tcW w:w="87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24.544 </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Energética Corumbá III S.A. </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12.918</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4.783</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5.773 </w:t>
            </w:r>
          </w:p>
        </w:tc>
        <w:tc>
          <w:tcPr>
            <w:tcW w:w="87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2.164 </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CEB Geração S.A. </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8.324</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8.324</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7.458 </w:t>
            </w:r>
          </w:p>
        </w:tc>
        <w:tc>
          <w:tcPr>
            <w:tcW w:w="87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7.459 </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Corumbá Concessões S.A. </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4.764</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2.154</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(38.628)</w:t>
            </w:r>
          </w:p>
        </w:tc>
        <w:tc>
          <w:tcPr>
            <w:tcW w:w="87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(17.465)</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CEB Participações S.A. </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10.187</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10.187</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779 </w:t>
            </w:r>
          </w:p>
        </w:tc>
        <w:tc>
          <w:tcPr>
            <w:tcW w:w="87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779 </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Companhia Brasiliense de Gás S.A.</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(464)</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(79)</w:t>
            </w:r>
          </w:p>
        </w:tc>
        <w:tc>
          <w:tcPr>
            <w:tcW w:w="86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(443)</w:t>
            </w:r>
          </w:p>
        </w:tc>
        <w:tc>
          <w:tcPr>
            <w:tcW w:w="870"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(76)</w:t>
            </w:r>
          </w:p>
        </w:tc>
      </w:tr>
      <w:tr w:rsidR="00E9008A" w:rsidRPr="00316249" w:rsidTr="005B7D01">
        <w:trPr>
          <w:trHeight w:val="238"/>
        </w:trPr>
        <w:tc>
          <w:tcPr>
            <w:tcW w:w="1532"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Total </w:t>
            </w:r>
          </w:p>
        </w:tc>
        <w:tc>
          <w:tcPr>
            <w:tcW w:w="86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121.283</w:t>
            </w:r>
          </w:p>
        </w:tc>
        <w:tc>
          <w:tcPr>
            <w:tcW w:w="86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95.371</w:t>
            </w:r>
          </w:p>
        </w:tc>
        <w:tc>
          <w:tcPr>
            <w:tcW w:w="86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55.273</w:t>
            </w:r>
          </w:p>
        </w:tc>
        <w:tc>
          <w:tcPr>
            <w:tcW w:w="870"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53.851</w:t>
            </w:r>
          </w:p>
        </w:tc>
      </w:tr>
    </w:tbl>
    <w:p w:rsidR="00E9008A" w:rsidRPr="00316249" w:rsidRDefault="00E9008A" w:rsidP="00E9008A">
      <w:pPr>
        <w:tabs>
          <w:tab w:val="left" w:pos="0"/>
        </w:tabs>
        <w:spacing w:before="240" w:after="240"/>
        <w:jc w:val="both"/>
        <w:rPr>
          <w:bCs/>
          <w:snapToGrid w:val="0"/>
          <w:sz w:val="22"/>
          <w:szCs w:val="22"/>
        </w:rPr>
      </w:pPr>
      <w:r w:rsidRPr="00316249">
        <w:rPr>
          <w:bCs/>
          <w:snapToGrid w:val="0"/>
          <w:sz w:val="22"/>
          <w:szCs w:val="22"/>
        </w:rPr>
        <w:t xml:space="preserve">O cálculo da equivalência patrimonial sobre o resultado do exercício da CEB Lajeado S.A. é realizado aplicando o percentual de 55,923% sobre o resultado obtido no exercício. Este percentual é fruto do acordo de acionistas, que garantiu à Eletrobrás S.A. rendimentos equivalentes a 49,67% do resultado de cada exercício. O percentual de 49,67% inclui o percentual de participação societária de 44,077% e 10% de partes beneficiárias. </w:t>
      </w:r>
    </w:p>
    <w:p w:rsidR="00E9008A" w:rsidRDefault="00E9008A" w:rsidP="00E9008A">
      <w:pPr>
        <w:rPr>
          <w:b/>
          <w:bCs/>
          <w:snapToGrid w:val="0"/>
          <w:sz w:val="22"/>
          <w:szCs w:val="22"/>
          <w:lang w:eastAsia="en-US"/>
        </w:rPr>
      </w:pPr>
      <w:r>
        <w:rPr>
          <w:b/>
          <w:bCs/>
          <w:snapToGrid w:val="0"/>
        </w:rPr>
        <w:br w:type="page"/>
      </w:r>
    </w:p>
    <w:p w:rsidR="00E9008A" w:rsidRPr="007527F1" w:rsidRDefault="00E9008A" w:rsidP="007527F1">
      <w:pPr>
        <w:pStyle w:val="PargrafodaLista"/>
        <w:numPr>
          <w:ilvl w:val="2"/>
          <w:numId w:val="23"/>
        </w:numPr>
        <w:spacing w:before="240" w:after="240"/>
        <w:ind w:left="851" w:hanging="851"/>
        <w:jc w:val="both"/>
        <w:rPr>
          <w:rFonts w:ascii="Times New Roman" w:hAnsi="Times New Roman" w:cs="Times New Roman"/>
          <w:b/>
          <w:lang w:val="pt-BR"/>
        </w:rPr>
      </w:pPr>
      <w:r w:rsidRPr="007527F1">
        <w:rPr>
          <w:rFonts w:ascii="Times New Roman" w:hAnsi="Times New Roman" w:cs="Times New Roman"/>
          <w:b/>
          <w:lang w:val="pt-BR"/>
        </w:rPr>
        <w:lastRenderedPageBreak/>
        <w:t>Movimentação dos investimentos avaliados por equivalência patrimonial</w:t>
      </w:r>
    </w:p>
    <w:tbl>
      <w:tblPr>
        <w:tblW w:w="5000" w:type="pct"/>
        <w:tblCellMar>
          <w:left w:w="70" w:type="dxa"/>
          <w:right w:w="70" w:type="dxa"/>
        </w:tblCellMar>
        <w:tblLook w:val="04A0" w:firstRow="1" w:lastRow="0" w:firstColumn="1" w:lastColumn="0" w:noHBand="0" w:noVBand="1"/>
      </w:tblPr>
      <w:tblGrid>
        <w:gridCol w:w="3500"/>
        <w:gridCol w:w="794"/>
        <w:gridCol w:w="594"/>
        <w:gridCol w:w="821"/>
        <w:gridCol w:w="711"/>
        <w:gridCol w:w="849"/>
        <w:gridCol w:w="588"/>
        <w:gridCol w:w="760"/>
        <w:gridCol w:w="594"/>
      </w:tblGrid>
      <w:tr w:rsidR="00E9008A" w:rsidRPr="00316249" w:rsidTr="005B7D01">
        <w:trPr>
          <w:trHeight w:val="238"/>
          <w:tblHeader/>
        </w:trPr>
        <w:tc>
          <w:tcPr>
            <w:tcW w:w="18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b/>
                <w:bCs/>
                <w:color w:val="000000"/>
                <w:sz w:val="13"/>
                <w:szCs w:val="13"/>
              </w:rPr>
            </w:pPr>
            <w:r w:rsidRPr="00316249">
              <w:rPr>
                <w:b/>
                <w:bCs/>
                <w:color w:val="000000"/>
                <w:sz w:val="13"/>
                <w:szCs w:val="13"/>
              </w:rPr>
              <w:t>Investidas</w:t>
            </w:r>
          </w:p>
        </w:tc>
        <w:tc>
          <w:tcPr>
            <w:tcW w:w="3119" w:type="pct"/>
            <w:gridSpan w:val="8"/>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r>
      <w:tr w:rsidR="00E9008A" w:rsidRPr="00316249" w:rsidTr="005B7D01">
        <w:trPr>
          <w:trHeight w:val="238"/>
          <w:tblHeader/>
        </w:trPr>
        <w:tc>
          <w:tcPr>
            <w:tcW w:w="188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CEB         Distribuição S.A. </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CEB                  Lajeado S.A. </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Corumbá             Concessões S.A. </w:t>
            </w:r>
          </w:p>
        </w:tc>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Energética Corumbá III S.A.</w:t>
            </w:r>
          </w:p>
        </w:tc>
        <w:tc>
          <w:tcPr>
            <w:tcW w:w="473"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CEB            Participações S.A. </w:t>
            </w:r>
          </w:p>
        </w:tc>
        <w:tc>
          <w:tcPr>
            <w:tcW w:w="312"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CEB             Geração S.A.</w:t>
            </w:r>
          </w:p>
        </w:tc>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 Companhia Brasiliense de Gás S.A.  </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 Total </w:t>
            </w:r>
          </w:p>
        </w:tc>
      </w:tr>
      <w:tr w:rsidR="00E9008A" w:rsidRPr="00316249" w:rsidTr="005B7D01">
        <w:trPr>
          <w:trHeight w:val="238"/>
          <w:tblHeader/>
        </w:trPr>
        <w:tc>
          <w:tcPr>
            <w:tcW w:w="188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43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342"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433"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387"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473"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312"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406"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c>
          <w:tcPr>
            <w:tcW w:w="329"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3"/>
              </w:rPr>
            </w:pP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Saldo em 31 de dezembro de 2014</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49.988 </w:t>
            </w:r>
          </w:p>
        </w:tc>
        <w:tc>
          <w:tcPr>
            <w:tcW w:w="34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106.309 </w:t>
            </w:r>
          </w:p>
        </w:tc>
        <w:tc>
          <w:tcPr>
            <w:tcW w:w="4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88.162 </w:t>
            </w:r>
          </w:p>
        </w:tc>
        <w:tc>
          <w:tcPr>
            <w:tcW w:w="38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56.773 </w:t>
            </w:r>
          </w:p>
        </w:tc>
        <w:tc>
          <w:tcPr>
            <w:tcW w:w="47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43.321 </w:t>
            </w:r>
          </w:p>
        </w:tc>
        <w:tc>
          <w:tcPr>
            <w:tcW w:w="31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12.282 </w:t>
            </w:r>
          </w:p>
        </w:tc>
        <w:tc>
          <w:tcPr>
            <w:tcW w:w="40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236 </w:t>
            </w:r>
          </w:p>
        </w:tc>
        <w:tc>
          <w:tcPr>
            <w:tcW w:w="3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357.071 </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 Dividendos/Juros Sobre Capital Próprio </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4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(12.515)</w:t>
            </w:r>
          </w:p>
        </w:tc>
        <w:tc>
          <w:tcPr>
            <w:tcW w:w="4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8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(541)</w:t>
            </w:r>
          </w:p>
        </w:tc>
        <w:tc>
          <w:tcPr>
            <w:tcW w:w="47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(444)</w:t>
            </w:r>
          </w:p>
        </w:tc>
        <w:tc>
          <w:tcPr>
            <w:tcW w:w="31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(6.137)</w:t>
            </w:r>
          </w:p>
        </w:tc>
        <w:tc>
          <w:tcPr>
            <w:tcW w:w="40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(19.637)</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 Resultado de Equivalência Patrimonial </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36.446 </w:t>
            </w:r>
          </w:p>
        </w:tc>
        <w:tc>
          <w:tcPr>
            <w:tcW w:w="34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24.544 </w:t>
            </w:r>
          </w:p>
        </w:tc>
        <w:tc>
          <w:tcPr>
            <w:tcW w:w="4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(17.465)</w:t>
            </w:r>
          </w:p>
        </w:tc>
        <w:tc>
          <w:tcPr>
            <w:tcW w:w="38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2.164 </w:t>
            </w:r>
          </w:p>
        </w:tc>
        <w:tc>
          <w:tcPr>
            <w:tcW w:w="47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779 </w:t>
            </w:r>
          </w:p>
        </w:tc>
        <w:tc>
          <w:tcPr>
            <w:tcW w:w="31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7.459 </w:t>
            </w:r>
          </w:p>
        </w:tc>
        <w:tc>
          <w:tcPr>
            <w:tcW w:w="40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(76)</w:t>
            </w:r>
          </w:p>
        </w:tc>
        <w:tc>
          <w:tcPr>
            <w:tcW w:w="3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53.851 </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Adiantamento </w:t>
            </w:r>
            <w:r>
              <w:rPr>
                <w:color w:val="000000"/>
                <w:sz w:val="13"/>
                <w:szCs w:val="13"/>
              </w:rPr>
              <w:t>P</w:t>
            </w:r>
            <w:r w:rsidRPr="00316249">
              <w:rPr>
                <w:color w:val="000000"/>
                <w:sz w:val="13"/>
                <w:szCs w:val="13"/>
              </w:rPr>
              <w:t xml:space="preserve">ara Futuro Aumento de Capital – AFAC </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36.000 </w:t>
            </w:r>
          </w:p>
        </w:tc>
        <w:tc>
          <w:tcPr>
            <w:tcW w:w="34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8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7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1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0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36.000 </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Equivalência Patrimonial Reflexa – PL de Controladas e Coligadas</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186.441 </w:t>
            </w:r>
          </w:p>
        </w:tc>
        <w:tc>
          <w:tcPr>
            <w:tcW w:w="34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16 </w:t>
            </w:r>
          </w:p>
        </w:tc>
        <w:tc>
          <w:tcPr>
            <w:tcW w:w="4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8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7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157 </w:t>
            </w:r>
          </w:p>
        </w:tc>
        <w:tc>
          <w:tcPr>
            <w:tcW w:w="31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0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186.614 </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 Ganho na Variação de Percentual </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4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8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33 </w:t>
            </w:r>
          </w:p>
        </w:tc>
        <w:tc>
          <w:tcPr>
            <w:tcW w:w="47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1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0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33 </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Saldo em 31 de dezembro de 2015 (Reapresentado)</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308.875 </w:t>
            </w:r>
          </w:p>
        </w:tc>
        <w:tc>
          <w:tcPr>
            <w:tcW w:w="34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118.354 </w:t>
            </w:r>
          </w:p>
        </w:tc>
        <w:tc>
          <w:tcPr>
            <w:tcW w:w="4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70.697 </w:t>
            </w:r>
          </w:p>
        </w:tc>
        <w:tc>
          <w:tcPr>
            <w:tcW w:w="38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58.429 </w:t>
            </w:r>
          </w:p>
        </w:tc>
        <w:tc>
          <w:tcPr>
            <w:tcW w:w="47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43.813 </w:t>
            </w:r>
          </w:p>
        </w:tc>
        <w:tc>
          <w:tcPr>
            <w:tcW w:w="31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13.604 </w:t>
            </w:r>
          </w:p>
        </w:tc>
        <w:tc>
          <w:tcPr>
            <w:tcW w:w="40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160 </w:t>
            </w:r>
          </w:p>
        </w:tc>
        <w:tc>
          <w:tcPr>
            <w:tcW w:w="3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653.150 </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 Dividendos/Juros Sobre Capital Próprio </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(30.006)</w:t>
            </w: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(205)</w:t>
            </w: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(6.444)</w:t>
            </w: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(7.893)</w:t>
            </w: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color w:val="000000"/>
                <w:sz w:val="13"/>
                <w:szCs w:val="13"/>
              </w:rPr>
            </w:pPr>
            <w:r w:rsidRPr="00316249">
              <w:rPr>
                <w:b/>
                <w:color w:val="000000"/>
                <w:sz w:val="13"/>
                <w:szCs w:val="13"/>
              </w:rPr>
              <w:t>(44.548)</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 Resultado de Equivalência Patrimonial </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50.271</w:t>
            </w: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19.731</w:t>
            </w: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2.154</w:t>
            </w: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4.783</w:t>
            </w: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10.187</w:t>
            </w: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8.324</w:t>
            </w: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(79)</w:t>
            </w: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95.371</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 Aporte/Adiantamento </w:t>
            </w:r>
            <w:r>
              <w:rPr>
                <w:color w:val="000000"/>
                <w:sz w:val="13"/>
                <w:szCs w:val="13"/>
              </w:rPr>
              <w:t>P</w:t>
            </w:r>
            <w:r w:rsidRPr="00316249">
              <w:rPr>
                <w:color w:val="000000"/>
                <w:sz w:val="13"/>
                <w:szCs w:val="13"/>
              </w:rPr>
              <w:t xml:space="preserve">ara Futuro Aumento de Capital – AFAC </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43.079</w:t>
            </w: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85</w:t>
            </w: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color w:val="000000"/>
                <w:sz w:val="13"/>
                <w:szCs w:val="13"/>
              </w:rPr>
            </w:pPr>
            <w:r w:rsidRPr="00316249">
              <w:rPr>
                <w:b/>
                <w:color w:val="000000"/>
                <w:sz w:val="13"/>
                <w:szCs w:val="13"/>
              </w:rPr>
              <w:t>43.164</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Equivalência Patrimonial Reflexa – PL de Controladas e Coligadas</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(43.044)</w:t>
            </w: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(3)</w:t>
            </w: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r w:rsidRPr="00316249">
              <w:rPr>
                <w:bCs/>
                <w:color w:val="000000"/>
                <w:sz w:val="13"/>
                <w:szCs w:val="13"/>
              </w:rPr>
              <w:t>(1.315)</w:t>
            </w: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r w:rsidRPr="00316249">
              <w:rPr>
                <w:bCs/>
                <w:color w:val="000000"/>
                <w:sz w:val="13"/>
                <w:szCs w:val="13"/>
              </w:rPr>
              <w:t>736</w:t>
            </w: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r w:rsidRPr="00316249">
              <w:rPr>
                <w:bCs/>
                <w:color w:val="000000"/>
                <w:sz w:val="13"/>
                <w:szCs w:val="13"/>
              </w:rPr>
              <w:t>2.398</w:t>
            </w: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color w:val="000000"/>
                <w:sz w:val="13"/>
                <w:szCs w:val="13"/>
              </w:rPr>
            </w:pPr>
            <w:r w:rsidRPr="00316249">
              <w:rPr>
                <w:b/>
                <w:color w:val="000000"/>
                <w:sz w:val="13"/>
                <w:szCs w:val="13"/>
              </w:rPr>
              <w:t>(41.228)</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3"/>
                <w:szCs w:val="13"/>
              </w:rPr>
            </w:pPr>
            <w:r w:rsidRPr="00316249">
              <w:rPr>
                <w:color w:val="000000"/>
                <w:sz w:val="13"/>
                <w:szCs w:val="13"/>
              </w:rPr>
              <w:t xml:space="preserve"> Ganho na Variação de Percentual </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62</w:t>
            </w: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62</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Cs/>
                <w:color w:val="000000"/>
                <w:sz w:val="13"/>
                <w:szCs w:val="13"/>
              </w:rPr>
            </w:pPr>
            <w:r w:rsidRPr="00316249">
              <w:rPr>
                <w:bCs/>
                <w:color w:val="000000"/>
                <w:sz w:val="13"/>
                <w:szCs w:val="13"/>
              </w:rPr>
              <w:t xml:space="preserve"> </w:t>
            </w:r>
            <w:r w:rsidRPr="00316249">
              <w:rPr>
                <w:color w:val="000000"/>
                <w:sz w:val="13"/>
                <w:szCs w:val="13"/>
              </w:rPr>
              <w:t>Perda na Variação de Percentual</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r w:rsidRPr="00316249">
              <w:rPr>
                <w:bCs/>
                <w:color w:val="000000"/>
                <w:sz w:val="13"/>
                <w:szCs w:val="13"/>
              </w:rPr>
              <w:t>(497)</w:t>
            </w: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(497)</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Cs/>
                <w:color w:val="000000"/>
                <w:sz w:val="13"/>
                <w:szCs w:val="13"/>
              </w:rPr>
            </w:pPr>
            <w:r w:rsidRPr="00316249">
              <w:rPr>
                <w:bCs/>
                <w:color w:val="000000"/>
                <w:sz w:val="13"/>
                <w:szCs w:val="13"/>
              </w:rPr>
              <w:t xml:space="preserve"> Redução de </w:t>
            </w:r>
            <w:r>
              <w:rPr>
                <w:bCs/>
                <w:color w:val="000000"/>
                <w:sz w:val="13"/>
                <w:szCs w:val="13"/>
              </w:rPr>
              <w:t>C</w:t>
            </w:r>
            <w:r w:rsidRPr="00316249">
              <w:rPr>
                <w:bCs/>
                <w:color w:val="000000"/>
                <w:sz w:val="13"/>
                <w:szCs w:val="13"/>
              </w:rPr>
              <w:t>apital</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r w:rsidRPr="00316249">
              <w:rPr>
                <w:bCs/>
                <w:color w:val="000000"/>
                <w:sz w:val="13"/>
                <w:szCs w:val="13"/>
              </w:rPr>
              <w:t>(10.000)</w:t>
            </w: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(10.000)</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Cs/>
                <w:color w:val="000000"/>
                <w:sz w:val="13"/>
                <w:szCs w:val="13"/>
              </w:rPr>
            </w:pPr>
            <w:r w:rsidRPr="00316249">
              <w:rPr>
                <w:bCs/>
                <w:color w:val="000000"/>
                <w:sz w:val="13"/>
                <w:szCs w:val="13"/>
              </w:rPr>
              <w:t xml:space="preserve"> Ajuste de </w:t>
            </w:r>
            <w:r>
              <w:rPr>
                <w:bCs/>
                <w:color w:val="000000"/>
                <w:sz w:val="13"/>
                <w:szCs w:val="13"/>
              </w:rPr>
              <w:t>E</w:t>
            </w:r>
            <w:r w:rsidRPr="00316249">
              <w:rPr>
                <w:bCs/>
                <w:color w:val="000000"/>
                <w:sz w:val="13"/>
                <w:szCs w:val="13"/>
              </w:rPr>
              <w:t xml:space="preserve">xercícios </w:t>
            </w:r>
            <w:r>
              <w:rPr>
                <w:bCs/>
                <w:color w:val="000000"/>
                <w:sz w:val="13"/>
                <w:szCs w:val="13"/>
              </w:rPr>
              <w:t>A</w:t>
            </w:r>
            <w:r w:rsidRPr="00316249">
              <w:rPr>
                <w:bCs/>
                <w:color w:val="000000"/>
                <w:sz w:val="13"/>
                <w:szCs w:val="13"/>
              </w:rPr>
              <w:t>nteriores</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r w:rsidRPr="00316249">
              <w:rPr>
                <w:bCs/>
                <w:color w:val="000000"/>
                <w:sz w:val="13"/>
                <w:szCs w:val="13"/>
              </w:rPr>
              <w:t>(39.218)</w:t>
            </w: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3"/>
                <w:szCs w:val="13"/>
              </w:rPr>
            </w:pP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(37.399)</w:t>
            </w:r>
          </w:p>
        </w:tc>
      </w:tr>
      <w:tr w:rsidR="00E9008A" w:rsidRPr="00316249" w:rsidTr="005B7D01">
        <w:trPr>
          <w:trHeight w:val="238"/>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Saldo em 31 de dezembro de 2016</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359.181</w:t>
            </w:r>
          </w:p>
        </w:tc>
        <w:tc>
          <w:tcPr>
            <w:tcW w:w="34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108.076</w:t>
            </w:r>
          </w:p>
        </w:tc>
        <w:tc>
          <w:tcPr>
            <w:tcW w:w="4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71.331</w:t>
            </w:r>
          </w:p>
        </w:tc>
        <w:tc>
          <w:tcPr>
            <w:tcW w:w="38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64.010</w:t>
            </w:r>
          </w:p>
        </w:tc>
        <w:tc>
          <w:tcPr>
            <w:tcW w:w="47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39.457</w:t>
            </w:r>
          </w:p>
        </w:tc>
        <w:tc>
          <w:tcPr>
            <w:tcW w:w="31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14.035</w:t>
            </w:r>
          </w:p>
        </w:tc>
        <w:tc>
          <w:tcPr>
            <w:tcW w:w="40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166</w:t>
            </w:r>
          </w:p>
        </w:tc>
        <w:tc>
          <w:tcPr>
            <w:tcW w:w="3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656.256</w:t>
            </w:r>
          </w:p>
        </w:tc>
      </w:tr>
    </w:tbl>
    <w:p w:rsidR="00E9008A" w:rsidRPr="00316249" w:rsidRDefault="00E9008A" w:rsidP="00E9008A">
      <w:pPr>
        <w:rPr>
          <w:b/>
          <w:bCs/>
          <w:snapToGrid w:val="0"/>
        </w:rPr>
      </w:pPr>
    </w:p>
    <w:tbl>
      <w:tblPr>
        <w:tblW w:w="5000" w:type="pct"/>
        <w:tblCellMar>
          <w:left w:w="70" w:type="dxa"/>
          <w:right w:w="70" w:type="dxa"/>
        </w:tblCellMar>
        <w:tblLook w:val="04A0" w:firstRow="1" w:lastRow="0" w:firstColumn="1" w:lastColumn="0" w:noHBand="0" w:noVBand="1"/>
      </w:tblPr>
      <w:tblGrid>
        <w:gridCol w:w="4816"/>
        <w:gridCol w:w="1070"/>
        <w:gridCol w:w="1205"/>
        <w:gridCol w:w="1059"/>
        <w:gridCol w:w="1061"/>
      </w:tblGrid>
      <w:tr w:rsidR="00E9008A" w:rsidRPr="00316249" w:rsidTr="005B7D01">
        <w:trPr>
          <w:trHeight w:val="238"/>
          <w:tblHeader/>
        </w:trPr>
        <w:tc>
          <w:tcPr>
            <w:tcW w:w="262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b/>
                <w:bCs/>
                <w:color w:val="000000"/>
                <w:sz w:val="18"/>
                <w:szCs w:val="18"/>
              </w:rPr>
            </w:pPr>
            <w:r w:rsidRPr="00316249">
              <w:rPr>
                <w:b/>
                <w:bCs/>
                <w:color w:val="000000"/>
                <w:sz w:val="18"/>
                <w:szCs w:val="18"/>
              </w:rPr>
              <w:t>Investidas</w:t>
            </w:r>
          </w:p>
        </w:tc>
        <w:tc>
          <w:tcPr>
            <w:tcW w:w="2377" w:type="pct"/>
            <w:gridSpan w:val="4"/>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623"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583"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w:t>
            </w:r>
            <w:proofErr w:type="spellStart"/>
            <w:r w:rsidRPr="00316249">
              <w:rPr>
                <w:b/>
                <w:bCs/>
                <w:color w:val="000000"/>
                <w:sz w:val="18"/>
                <w:szCs w:val="18"/>
              </w:rPr>
              <w:t>Investco</w:t>
            </w:r>
            <w:proofErr w:type="spellEnd"/>
            <w:r w:rsidRPr="00316249">
              <w:rPr>
                <w:b/>
                <w:bCs/>
                <w:color w:val="000000"/>
                <w:sz w:val="18"/>
                <w:szCs w:val="18"/>
              </w:rPr>
              <w:t xml:space="preserve"> S.A. </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Corumbá             Concessões S.A. </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Energética Corumbá III S.A.</w:t>
            </w:r>
          </w:p>
        </w:tc>
        <w:tc>
          <w:tcPr>
            <w:tcW w:w="584"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Total </w:t>
            </w:r>
          </w:p>
        </w:tc>
      </w:tr>
      <w:tr w:rsidR="00E9008A" w:rsidRPr="00316249" w:rsidTr="005B7D01">
        <w:trPr>
          <w:trHeight w:val="238"/>
          <w:tblHeader/>
        </w:trPr>
        <w:tc>
          <w:tcPr>
            <w:tcW w:w="2623"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583"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21"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589"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584"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2014 </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228.118 </w:t>
            </w:r>
          </w:p>
        </w:tc>
        <w:tc>
          <w:tcPr>
            <w:tcW w:w="62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92.578 </w:t>
            </w: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56.773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377.469 </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Dividendos/Juros Sobre Capital Próprio </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(26.319)</w:t>
            </w:r>
          </w:p>
        </w:tc>
        <w:tc>
          <w:tcPr>
            <w:tcW w:w="62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(541)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(26.860)</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Resultado de Equivalência Patrimonial </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13.992 </w:t>
            </w:r>
          </w:p>
        </w:tc>
        <w:tc>
          <w:tcPr>
            <w:tcW w:w="62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(18.369)</w:t>
            </w: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2.164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(2.213)</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Efeitos da Lei 12.973/2014</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2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157 </w:t>
            </w: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157 </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Ganho na Variação de Percentual </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26 </w:t>
            </w:r>
          </w:p>
        </w:tc>
        <w:tc>
          <w:tcPr>
            <w:tcW w:w="62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33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59 </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2015</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215.817 </w:t>
            </w:r>
          </w:p>
        </w:tc>
        <w:tc>
          <w:tcPr>
            <w:tcW w:w="62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74.366 </w:t>
            </w: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58.429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348.612 </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Dividendos/Juros Sobre Capital Próprio </w:t>
            </w:r>
          </w:p>
        </w:tc>
        <w:tc>
          <w:tcPr>
            <w:tcW w:w="58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(37.542)</w:t>
            </w:r>
          </w:p>
        </w:tc>
        <w:tc>
          <w:tcPr>
            <w:tcW w:w="62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(215)</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(37.757)</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Resultado de Equivalência Patrimonial </w:t>
            </w:r>
          </w:p>
        </w:tc>
        <w:tc>
          <w:tcPr>
            <w:tcW w:w="58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23.389</w:t>
            </w:r>
          </w:p>
        </w:tc>
        <w:tc>
          <w:tcPr>
            <w:tcW w:w="62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2.266</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4.783</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30.438</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Equivalência Patrimonial Reflexa – PL de Controladas e Coligadas</w:t>
            </w:r>
          </w:p>
        </w:tc>
        <w:tc>
          <w:tcPr>
            <w:tcW w:w="58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w:t>
            </w:r>
          </w:p>
        </w:tc>
        <w:tc>
          <w:tcPr>
            <w:tcW w:w="62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(1.373)</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736</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(643)</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Ganho na Variação de Percentual </w:t>
            </w:r>
          </w:p>
        </w:tc>
        <w:tc>
          <w:tcPr>
            <w:tcW w:w="58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2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62</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62</w:t>
            </w:r>
          </w:p>
        </w:tc>
      </w:tr>
      <w:tr w:rsidR="00E9008A" w:rsidRPr="00316249" w:rsidTr="005B7D01">
        <w:trPr>
          <w:trHeight w:val="238"/>
        </w:trPr>
        <w:tc>
          <w:tcPr>
            <w:tcW w:w="262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2016</w:t>
            </w:r>
          </w:p>
        </w:tc>
        <w:tc>
          <w:tcPr>
            <w:tcW w:w="58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201.658</w:t>
            </w:r>
          </w:p>
        </w:tc>
        <w:tc>
          <w:tcPr>
            <w:tcW w:w="62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color w:val="000000"/>
                <w:sz w:val="18"/>
                <w:szCs w:val="18"/>
              </w:rPr>
              <w:t>75.044</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64.010</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340.712</w:t>
            </w:r>
          </w:p>
        </w:tc>
      </w:tr>
    </w:tbl>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Propriedade Para Investimento</w:t>
      </w:r>
    </w:p>
    <w:p w:rsidR="00E9008A" w:rsidRPr="00316249" w:rsidRDefault="00E9008A" w:rsidP="00E9008A">
      <w:pPr>
        <w:spacing w:before="240" w:after="240"/>
        <w:jc w:val="both"/>
        <w:rPr>
          <w:color w:val="000000"/>
          <w:sz w:val="22"/>
          <w:szCs w:val="22"/>
        </w:rPr>
      </w:pPr>
      <w:r w:rsidRPr="00316249">
        <w:rPr>
          <w:sz w:val="22"/>
          <w:szCs w:val="22"/>
        </w:rPr>
        <w:t xml:space="preserve">Em 31 de dezembro de 2012 e 31 de dezembro de 2013, a controlada CEB D transferiu os bens que estavam registrados na rubrica de ativo não circulante mantidos para venda, para a rubrica de propriedade para investimento. No primeiro evento, foi contemplado o imóvel localizado no Setor Noroeste SAI Norte PR I55/1/DF e, no segundo, os demais bens, em atendimento ao Pronunciamento Técnico CPC 31, item 8, </w:t>
      </w:r>
      <w:r w:rsidRPr="00316249">
        <w:rPr>
          <w:color w:val="000000"/>
          <w:sz w:val="22"/>
          <w:szCs w:val="22"/>
        </w:rPr>
        <w:t>que determina que em caso de não realização da venda do ativo no prazo de 1 ano, este deve ser reclassificado para o imobilizado ou para o investimento, dependendo da intenção do destino a ser dado ao ativo pela Administração.</w:t>
      </w:r>
    </w:p>
    <w:p w:rsidR="00E9008A" w:rsidRPr="00316249" w:rsidRDefault="00E9008A" w:rsidP="00E9008A">
      <w:pPr>
        <w:spacing w:before="240" w:after="240"/>
        <w:jc w:val="both"/>
        <w:rPr>
          <w:sz w:val="22"/>
          <w:szCs w:val="22"/>
        </w:rPr>
      </w:pPr>
      <w:r w:rsidRPr="00316249">
        <w:rPr>
          <w:sz w:val="22"/>
          <w:szCs w:val="22"/>
        </w:rPr>
        <w:lastRenderedPageBreak/>
        <w:t>Em 2015, a Companhia, iniciou novos procedimentos licitatórios demonstrando a firme intenção de alienações de imóveis, razão pela qual, o terreno localizado no Setor Noroeste, bem como outros imóveis foram transferidos para a rubrica de ativo não circulante mantido para venda (Nota Explicativa nº 13), porém, até o fim do exercício de 2016, não houve sucesso na venda do terreno localizado no Noroeste e, consequentemente, o imóvel retornou para o grupo de propriedade para investimento, conforme determina o pronunciamento técnico.</w:t>
      </w:r>
    </w:p>
    <w:p w:rsidR="00E9008A" w:rsidRPr="00316249" w:rsidRDefault="00E9008A" w:rsidP="00E9008A">
      <w:pPr>
        <w:spacing w:before="240" w:after="240"/>
        <w:jc w:val="both"/>
        <w:rPr>
          <w:sz w:val="22"/>
          <w:szCs w:val="22"/>
        </w:rPr>
      </w:pPr>
      <w:r w:rsidRPr="00316249">
        <w:rPr>
          <w:color w:val="000000"/>
          <w:sz w:val="22"/>
          <w:szCs w:val="22"/>
        </w:rPr>
        <w:t>Os bens registrados em propriedade para investimento são avaliados pelo custo.</w:t>
      </w:r>
    </w:p>
    <w:p w:rsidR="00E9008A" w:rsidRPr="00316249" w:rsidRDefault="00E9008A" w:rsidP="00E9008A">
      <w:pPr>
        <w:spacing w:before="240" w:after="240"/>
        <w:jc w:val="both"/>
        <w:rPr>
          <w:color w:val="000000"/>
          <w:sz w:val="22"/>
          <w:szCs w:val="22"/>
        </w:rPr>
      </w:pPr>
      <w:r w:rsidRPr="00316249">
        <w:rPr>
          <w:color w:val="000000"/>
          <w:sz w:val="22"/>
          <w:szCs w:val="22"/>
        </w:rPr>
        <w:t>O valor justo dos bens foi obtido por meio de laudos emitidos por firmas especializadas e a Companhia entende que estes valores avaliados estão de acordo com as expectativas de mercado.</w:t>
      </w:r>
    </w:p>
    <w:tbl>
      <w:tblPr>
        <w:tblW w:w="5000" w:type="pct"/>
        <w:tblCellMar>
          <w:left w:w="70" w:type="dxa"/>
          <w:right w:w="70" w:type="dxa"/>
        </w:tblCellMar>
        <w:tblLook w:val="04A0" w:firstRow="1" w:lastRow="0" w:firstColumn="1" w:lastColumn="0" w:noHBand="0" w:noVBand="1"/>
      </w:tblPr>
      <w:tblGrid>
        <w:gridCol w:w="610"/>
        <w:gridCol w:w="4460"/>
        <w:gridCol w:w="736"/>
        <w:gridCol w:w="810"/>
        <w:gridCol w:w="810"/>
        <w:gridCol w:w="831"/>
        <w:gridCol w:w="954"/>
      </w:tblGrid>
      <w:tr w:rsidR="00E9008A" w:rsidRPr="00316249" w:rsidTr="005B7D01">
        <w:trPr>
          <w:trHeight w:val="238"/>
        </w:trPr>
        <w:tc>
          <w:tcPr>
            <w:tcW w:w="3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jc w:val="center"/>
              <w:rPr>
                <w:b/>
                <w:bCs/>
                <w:color w:val="000000"/>
                <w:sz w:val="13"/>
                <w:szCs w:val="15"/>
              </w:rPr>
            </w:pPr>
            <w:r w:rsidRPr="00316249">
              <w:rPr>
                <w:b/>
                <w:bCs/>
                <w:color w:val="000000"/>
                <w:sz w:val="13"/>
                <w:szCs w:val="15"/>
              </w:rPr>
              <w:t>Imóveis</w:t>
            </w:r>
          </w:p>
        </w:tc>
        <w:tc>
          <w:tcPr>
            <w:tcW w:w="24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jc w:val="center"/>
              <w:rPr>
                <w:b/>
                <w:bCs/>
                <w:color w:val="000000"/>
                <w:sz w:val="13"/>
                <w:szCs w:val="15"/>
              </w:rPr>
            </w:pPr>
            <w:r w:rsidRPr="00316249">
              <w:rPr>
                <w:b/>
                <w:bCs/>
                <w:color w:val="000000"/>
                <w:sz w:val="13"/>
                <w:szCs w:val="15"/>
              </w:rPr>
              <w:t>Localidade</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jc w:val="center"/>
              <w:rPr>
                <w:b/>
                <w:bCs/>
                <w:color w:val="000000"/>
                <w:sz w:val="13"/>
                <w:szCs w:val="15"/>
              </w:rPr>
            </w:pPr>
            <w:r w:rsidRPr="00316249">
              <w:rPr>
                <w:b/>
                <w:bCs/>
                <w:color w:val="000000"/>
                <w:sz w:val="13"/>
                <w:szCs w:val="15"/>
              </w:rPr>
              <w:t>Tamanho</w:t>
            </w:r>
          </w:p>
        </w:tc>
        <w:tc>
          <w:tcPr>
            <w:tcW w:w="1854" w:type="pct"/>
            <w:gridSpan w:val="4"/>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5"/>
              </w:rPr>
            </w:pPr>
            <w:r w:rsidRPr="00316249">
              <w:rPr>
                <w:b/>
                <w:bCs/>
                <w:color w:val="000000"/>
                <w:sz w:val="13"/>
                <w:szCs w:val="15"/>
              </w:rPr>
              <w:t>Consolidado</w:t>
            </w:r>
          </w:p>
        </w:tc>
      </w:tr>
      <w:tr w:rsidR="00E9008A" w:rsidRPr="00316249" w:rsidTr="005B7D01">
        <w:trPr>
          <w:trHeight w:val="238"/>
        </w:trPr>
        <w:tc>
          <w:tcPr>
            <w:tcW w:w="33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5"/>
              </w:rPr>
            </w:pPr>
          </w:p>
        </w:tc>
        <w:tc>
          <w:tcPr>
            <w:tcW w:w="242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5"/>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5"/>
              </w:rPr>
            </w:pPr>
          </w:p>
        </w:tc>
        <w:tc>
          <w:tcPr>
            <w:tcW w:w="882"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5"/>
              </w:rPr>
            </w:pPr>
            <w:r w:rsidRPr="00316249">
              <w:rPr>
                <w:b/>
                <w:bCs/>
                <w:color w:val="000000"/>
                <w:sz w:val="13"/>
                <w:szCs w:val="15"/>
              </w:rPr>
              <w:t>Valor Contábil</w:t>
            </w:r>
          </w:p>
        </w:tc>
        <w:tc>
          <w:tcPr>
            <w:tcW w:w="45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5"/>
              </w:rPr>
            </w:pPr>
            <w:r w:rsidRPr="00316249">
              <w:rPr>
                <w:b/>
                <w:bCs/>
                <w:color w:val="000000"/>
                <w:sz w:val="13"/>
                <w:szCs w:val="15"/>
              </w:rPr>
              <w:t>Valor Justo</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3"/>
                <w:szCs w:val="15"/>
              </w:rPr>
            </w:pPr>
            <w:r w:rsidRPr="00316249">
              <w:rPr>
                <w:b/>
                <w:bCs/>
                <w:color w:val="000000"/>
                <w:sz w:val="13"/>
                <w:szCs w:val="15"/>
              </w:rPr>
              <w:t>Data da Avaliação</w:t>
            </w:r>
          </w:p>
        </w:tc>
      </w:tr>
      <w:tr w:rsidR="00E9008A" w:rsidRPr="00316249" w:rsidTr="005B7D01">
        <w:trPr>
          <w:trHeight w:val="238"/>
        </w:trPr>
        <w:tc>
          <w:tcPr>
            <w:tcW w:w="33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5"/>
              </w:rPr>
            </w:pPr>
          </w:p>
        </w:tc>
        <w:tc>
          <w:tcPr>
            <w:tcW w:w="242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5"/>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5"/>
              </w:rPr>
            </w:pP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5"/>
              </w:rPr>
            </w:pPr>
            <w:r w:rsidRPr="00316249">
              <w:rPr>
                <w:b/>
                <w:bCs/>
                <w:color w:val="000000"/>
                <w:sz w:val="13"/>
                <w:szCs w:val="15"/>
              </w:rPr>
              <w:t>31/12/2016</w:t>
            </w: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5"/>
              </w:rPr>
            </w:pPr>
            <w:r w:rsidRPr="00316249">
              <w:rPr>
                <w:b/>
                <w:bCs/>
                <w:color w:val="000000"/>
                <w:sz w:val="13"/>
                <w:szCs w:val="15"/>
              </w:rPr>
              <w:t>31/12/2015</w:t>
            </w:r>
          </w:p>
        </w:tc>
        <w:tc>
          <w:tcPr>
            <w:tcW w:w="45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5"/>
              </w:rPr>
            </w:pPr>
            <w:r w:rsidRPr="00316249">
              <w:rPr>
                <w:b/>
                <w:bCs/>
                <w:color w:val="000000"/>
                <w:sz w:val="13"/>
                <w:szCs w:val="15"/>
              </w:rPr>
              <w:t>31/12/2016</w:t>
            </w:r>
          </w:p>
        </w:tc>
        <w:tc>
          <w:tcPr>
            <w:tcW w:w="520"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3"/>
                <w:szCs w:val="15"/>
              </w:rPr>
            </w:pPr>
          </w:p>
        </w:tc>
      </w:tr>
      <w:tr w:rsidR="00E9008A" w:rsidRPr="00316249" w:rsidTr="005B7D01">
        <w:trPr>
          <w:trHeight w:val="238"/>
        </w:trPr>
        <w:tc>
          <w:tcPr>
            <w:tcW w:w="332"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3"/>
                <w:szCs w:val="13"/>
              </w:rPr>
            </w:pPr>
            <w:r w:rsidRPr="00316249">
              <w:rPr>
                <w:color w:val="000000"/>
                <w:sz w:val="13"/>
                <w:szCs w:val="13"/>
              </w:rPr>
              <w:t>Terreno</w:t>
            </w:r>
          </w:p>
        </w:tc>
        <w:tc>
          <w:tcPr>
            <w:tcW w:w="242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3"/>
                <w:szCs w:val="13"/>
              </w:rPr>
            </w:pPr>
            <w:r w:rsidRPr="00316249">
              <w:rPr>
                <w:color w:val="000000"/>
                <w:sz w:val="13"/>
                <w:szCs w:val="13"/>
              </w:rPr>
              <w:t>Setor Noroeste – Plano Piloto</w:t>
            </w:r>
          </w:p>
        </w:tc>
        <w:tc>
          <w:tcPr>
            <w:tcW w:w="39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3"/>
                <w:szCs w:val="13"/>
              </w:rPr>
            </w:pPr>
            <w:r w:rsidRPr="00316249">
              <w:rPr>
                <w:color w:val="000000"/>
                <w:sz w:val="13"/>
                <w:szCs w:val="13"/>
              </w:rPr>
              <w:t>284.160 m²</w:t>
            </w:r>
          </w:p>
        </w:tc>
        <w:tc>
          <w:tcPr>
            <w:tcW w:w="44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274.400</w:t>
            </w:r>
          </w:p>
        </w:tc>
        <w:tc>
          <w:tcPr>
            <w:tcW w:w="44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5"/>
              </w:rPr>
            </w:pPr>
          </w:p>
        </w:tc>
        <w:tc>
          <w:tcPr>
            <w:tcW w:w="45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3"/>
                <w:szCs w:val="15"/>
              </w:rPr>
            </w:pPr>
            <w:r w:rsidRPr="00316249">
              <w:rPr>
                <w:color w:val="000000"/>
                <w:sz w:val="13"/>
                <w:szCs w:val="15"/>
              </w:rPr>
              <w:t>274.400</w:t>
            </w:r>
          </w:p>
        </w:tc>
        <w:tc>
          <w:tcPr>
            <w:tcW w:w="52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3"/>
                <w:szCs w:val="15"/>
              </w:rPr>
            </w:pPr>
            <w:proofErr w:type="spellStart"/>
            <w:proofErr w:type="gramStart"/>
            <w:r w:rsidRPr="00316249">
              <w:rPr>
                <w:color w:val="000000"/>
                <w:sz w:val="13"/>
                <w:szCs w:val="15"/>
              </w:rPr>
              <w:t>mai</w:t>
            </w:r>
            <w:proofErr w:type="spellEnd"/>
            <w:proofErr w:type="gramEnd"/>
            <w:r w:rsidRPr="00316249">
              <w:rPr>
                <w:color w:val="000000"/>
                <w:sz w:val="13"/>
                <w:szCs w:val="15"/>
              </w:rPr>
              <w:t>/15</w:t>
            </w:r>
          </w:p>
        </w:tc>
      </w:tr>
      <w:tr w:rsidR="00E9008A" w:rsidRPr="00316249" w:rsidTr="005B7D01">
        <w:trPr>
          <w:trHeight w:val="238"/>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5"/>
              </w:rPr>
            </w:pPr>
            <w:r w:rsidRPr="00316249">
              <w:rPr>
                <w:color w:val="000000"/>
                <w:sz w:val="13"/>
                <w:szCs w:val="15"/>
              </w:rPr>
              <w:t>Terreno</w:t>
            </w:r>
          </w:p>
        </w:tc>
        <w:tc>
          <w:tcPr>
            <w:tcW w:w="24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5"/>
              </w:rPr>
            </w:pPr>
            <w:r w:rsidRPr="00316249">
              <w:rPr>
                <w:color w:val="000000"/>
                <w:sz w:val="13"/>
                <w:szCs w:val="15"/>
              </w:rPr>
              <w:t xml:space="preserve">Setor Residencial de Indústria e Abastecimento (SRIA) QE 20 Lote M – Guará </w:t>
            </w:r>
          </w:p>
        </w:tc>
        <w:tc>
          <w:tcPr>
            <w:tcW w:w="39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1.200 m² </w:t>
            </w: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20</w:t>
            </w: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20</w:t>
            </w:r>
          </w:p>
        </w:tc>
        <w:tc>
          <w:tcPr>
            <w:tcW w:w="45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2.087</w:t>
            </w:r>
          </w:p>
        </w:tc>
        <w:tc>
          <w:tcPr>
            <w:tcW w:w="52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3"/>
                <w:szCs w:val="15"/>
              </w:rPr>
            </w:pPr>
            <w:proofErr w:type="spellStart"/>
            <w:proofErr w:type="gramStart"/>
            <w:r w:rsidRPr="00316249">
              <w:rPr>
                <w:color w:val="000000"/>
                <w:sz w:val="13"/>
                <w:szCs w:val="15"/>
              </w:rPr>
              <w:t>mai</w:t>
            </w:r>
            <w:proofErr w:type="spellEnd"/>
            <w:proofErr w:type="gramEnd"/>
            <w:r w:rsidRPr="00316249">
              <w:rPr>
                <w:color w:val="000000"/>
                <w:sz w:val="13"/>
                <w:szCs w:val="15"/>
              </w:rPr>
              <w:t>/15</w:t>
            </w:r>
          </w:p>
        </w:tc>
      </w:tr>
      <w:tr w:rsidR="00E9008A" w:rsidRPr="00316249" w:rsidTr="005B7D01">
        <w:trPr>
          <w:trHeight w:val="238"/>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5"/>
              </w:rPr>
            </w:pPr>
            <w:r w:rsidRPr="00316249">
              <w:rPr>
                <w:color w:val="000000"/>
                <w:sz w:val="13"/>
                <w:szCs w:val="15"/>
              </w:rPr>
              <w:t>Terreno</w:t>
            </w:r>
          </w:p>
        </w:tc>
        <w:tc>
          <w:tcPr>
            <w:tcW w:w="24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5"/>
              </w:rPr>
            </w:pPr>
            <w:r w:rsidRPr="00316249">
              <w:rPr>
                <w:color w:val="000000"/>
                <w:sz w:val="13"/>
                <w:szCs w:val="15"/>
              </w:rPr>
              <w:t>Setor de Habitações Individuais Sul, Quadra Interna 13, Lote “G” – Lago Sul</w:t>
            </w:r>
          </w:p>
        </w:tc>
        <w:tc>
          <w:tcPr>
            <w:tcW w:w="39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1.600 m² </w:t>
            </w: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125</w:t>
            </w: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125</w:t>
            </w:r>
          </w:p>
        </w:tc>
        <w:tc>
          <w:tcPr>
            <w:tcW w:w="45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3"/>
                <w:szCs w:val="15"/>
              </w:rPr>
            </w:pPr>
            <w:r w:rsidRPr="00316249">
              <w:rPr>
                <w:color w:val="000000"/>
                <w:sz w:val="13"/>
                <w:szCs w:val="15"/>
              </w:rPr>
              <w:t>3.137</w:t>
            </w:r>
          </w:p>
        </w:tc>
        <w:tc>
          <w:tcPr>
            <w:tcW w:w="52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3"/>
                <w:szCs w:val="15"/>
              </w:rPr>
            </w:pPr>
            <w:proofErr w:type="spellStart"/>
            <w:proofErr w:type="gramStart"/>
            <w:r w:rsidRPr="00316249">
              <w:rPr>
                <w:color w:val="000000"/>
                <w:sz w:val="13"/>
                <w:szCs w:val="15"/>
              </w:rPr>
              <w:t>mai</w:t>
            </w:r>
            <w:proofErr w:type="spellEnd"/>
            <w:proofErr w:type="gramEnd"/>
            <w:r w:rsidRPr="00316249">
              <w:rPr>
                <w:color w:val="000000"/>
                <w:sz w:val="13"/>
                <w:szCs w:val="15"/>
              </w:rPr>
              <w:t>/15</w:t>
            </w:r>
          </w:p>
        </w:tc>
      </w:tr>
      <w:tr w:rsidR="00E9008A" w:rsidRPr="00316249" w:rsidTr="005B7D01">
        <w:trPr>
          <w:trHeight w:val="238"/>
        </w:trPr>
        <w:tc>
          <w:tcPr>
            <w:tcW w:w="332" w:type="pc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3"/>
                <w:szCs w:val="15"/>
              </w:rPr>
            </w:pPr>
            <w:r w:rsidRPr="00316249">
              <w:rPr>
                <w:b/>
                <w:bCs/>
                <w:color w:val="000000"/>
                <w:sz w:val="13"/>
                <w:szCs w:val="15"/>
              </w:rPr>
              <w:t>Total</w:t>
            </w:r>
          </w:p>
        </w:tc>
        <w:tc>
          <w:tcPr>
            <w:tcW w:w="2422"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3"/>
                <w:szCs w:val="15"/>
              </w:rPr>
            </w:pPr>
            <w:r w:rsidRPr="00316249">
              <w:rPr>
                <w:color w:val="000000"/>
                <w:sz w:val="13"/>
                <w:szCs w:val="15"/>
              </w:rPr>
              <w:t> </w:t>
            </w:r>
          </w:p>
        </w:tc>
        <w:tc>
          <w:tcPr>
            <w:tcW w:w="393"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3"/>
                <w:szCs w:val="15"/>
              </w:rPr>
            </w:pPr>
            <w:r w:rsidRPr="00316249">
              <w:rPr>
                <w:color w:val="000000"/>
                <w:sz w:val="13"/>
                <w:szCs w:val="15"/>
              </w:rPr>
              <w:t> </w:t>
            </w: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5"/>
              </w:rPr>
            </w:pPr>
            <w:r w:rsidRPr="00316249">
              <w:rPr>
                <w:b/>
                <w:bCs/>
                <w:color w:val="000000"/>
                <w:sz w:val="13"/>
                <w:szCs w:val="15"/>
              </w:rPr>
              <w:t>274.545</w:t>
            </w:r>
          </w:p>
        </w:tc>
        <w:tc>
          <w:tcPr>
            <w:tcW w:w="44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5"/>
              </w:rPr>
            </w:pPr>
            <w:r w:rsidRPr="00316249">
              <w:rPr>
                <w:b/>
                <w:bCs/>
                <w:color w:val="000000"/>
                <w:sz w:val="13"/>
                <w:szCs w:val="15"/>
              </w:rPr>
              <w:t>145</w:t>
            </w:r>
          </w:p>
        </w:tc>
        <w:tc>
          <w:tcPr>
            <w:tcW w:w="45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5"/>
              </w:rPr>
            </w:pPr>
            <w:r w:rsidRPr="00316249">
              <w:rPr>
                <w:b/>
                <w:bCs/>
                <w:color w:val="000000"/>
                <w:sz w:val="13"/>
                <w:szCs w:val="15"/>
              </w:rPr>
              <w:t>279.624</w:t>
            </w:r>
          </w:p>
        </w:tc>
        <w:tc>
          <w:tcPr>
            <w:tcW w:w="520"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3"/>
                <w:szCs w:val="15"/>
              </w:rPr>
            </w:pPr>
            <w:r w:rsidRPr="00316249">
              <w:rPr>
                <w:color w:val="000000"/>
                <w:sz w:val="13"/>
                <w:szCs w:val="15"/>
              </w:rPr>
              <w:t> </w:t>
            </w:r>
          </w:p>
        </w:tc>
      </w:tr>
    </w:tbl>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Participação dos Acionistas Não Controladores</w:t>
      </w:r>
    </w:p>
    <w:p w:rsidR="00E9008A" w:rsidRPr="00316249" w:rsidRDefault="00E9008A" w:rsidP="00E9008A">
      <w:pPr>
        <w:autoSpaceDE w:val="0"/>
        <w:autoSpaceDN w:val="0"/>
        <w:adjustRightInd w:val="0"/>
        <w:spacing w:before="240" w:after="240"/>
        <w:jc w:val="both"/>
        <w:rPr>
          <w:rFonts w:eastAsia="Calibri,Bold"/>
          <w:sz w:val="22"/>
          <w:szCs w:val="22"/>
        </w:rPr>
      </w:pPr>
      <w:r w:rsidRPr="00316249">
        <w:rPr>
          <w:rFonts w:eastAsia="Calibri,Bold"/>
          <w:sz w:val="22"/>
          <w:szCs w:val="22"/>
        </w:rPr>
        <w:t>O total da participação dos acionistas não controladores no patrimônio líquido da Companhia é de R$ 226.114</w:t>
      </w:r>
      <w:r>
        <w:rPr>
          <w:rFonts w:eastAsia="Calibri,Bold"/>
          <w:sz w:val="22"/>
          <w:szCs w:val="22"/>
        </w:rPr>
        <w:t xml:space="preserve"> </w:t>
      </w:r>
      <w:r w:rsidRPr="00747E73">
        <w:rPr>
          <w:rFonts w:eastAsia="Calibri,Bold"/>
          <w:sz w:val="22"/>
          <w:szCs w:val="22"/>
        </w:rPr>
        <w:t>(R$ 234.185 – 2015), dos</w:t>
      </w:r>
      <w:r w:rsidRPr="00316249">
        <w:rPr>
          <w:rFonts w:eastAsia="Calibri,Bold"/>
          <w:sz w:val="22"/>
          <w:szCs w:val="22"/>
        </w:rPr>
        <w:t xml:space="preserve"> quais, R$ 225.300 são atribuíveis aos acionistas não controladores da CEB Lajeado S.A. e R$ 813 são atribuíveis aos acionistas não controladores da Companhia Brasiliense de Gás </w:t>
      </w:r>
      <w:proofErr w:type="gramStart"/>
      <w:r w:rsidRPr="00316249">
        <w:rPr>
          <w:color w:val="000000"/>
          <w:sz w:val="22"/>
          <w:szCs w:val="22"/>
        </w:rPr>
        <w:t>S.A.</w:t>
      </w:r>
      <w:r w:rsidRPr="00316249">
        <w:rPr>
          <w:rFonts w:eastAsia="Calibri,Bold"/>
          <w:sz w:val="22"/>
          <w:szCs w:val="22"/>
        </w:rPr>
        <w:t>.</w:t>
      </w:r>
      <w:proofErr w:type="gramEnd"/>
      <w:r w:rsidRPr="00316249">
        <w:rPr>
          <w:rFonts w:eastAsia="Calibri,Bold"/>
          <w:sz w:val="22"/>
          <w:szCs w:val="22"/>
        </w:rPr>
        <w:t xml:space="preserve"> </w:t>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Resultado de Equivalência Patrimonial – Consolidado</w:t>
      </w:r>
    </w:p>
    <w:p w:rsidR="00E9008A" w:rsidRPr="007F7D85" w:rsidRDefault="00E9008A" w:rsidP="007F7D85">
      <w:pPr>
        <w:pStyle w:val="Corpodetexto"/>
        <w:spacing w:before="240" w:after="240"/>
        <w:rPr>
          <w:rFonts w:ascii="Times New Roman" w:hAnsi="Times New Roman" w:cs="Times New Roman"/>
          <w:b w:val="0"/>
          <w:sz w:val="22"/>
          <w:szCs w:val="22"/>
        </w:rPr>
      </w:pPr>
      <w:r w:rsidRPr="00316249">
        <w:rPr>
          <w:rFonts w:ascii="Times New Roman" w:hAnsi="Times New Roman" w:cs="Times New Roman"/>
          <w:b w:val="0"/>
          <w:sz w:val="22"/>
          <w:szCs w:val="22"/>
        </w:rPr>
        <w:t>O valor apresentado nas demonstrações do resultado consolidado refere-se ao registro da equivalência patrimonial calculada sobre a variação do patrimônio líquido das coligadas. Este valor não é eliminado nas informações consol</w:t>
      </w:r>
      <w:r w:rsidR="007F7D85">
        <w:rPr>
          <w:rFonts w:ascii="Times New Roman" w:hAnsi="Times New Roman" w:cs="Times New Roman"/>
          <w:b w:val="0"/>
          <w:sz w:val="22"/>
          <w:szCs w:val="22"/>
        </w:rPr>
        <w:t xml:space="preserve">idadas do Grupo.  </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IMOBILIZADO</w:t>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Movimentação</w:t>
      </w:r>
    </w:p>
    <w:tbl>
      <w:tblPr>
        <w:tblW w:w="4911" w:type="pct"/>
        <w:tblCellMar>
          <w:left w:w="70" w:type="dxa"/>
          <w:right w:w="70" w:type="dxa"/>
        </w:tblCellMar>
        <w:tblLook w:val="04A0" w:firstRow="1" w:lastRow="0" w:firstColumn="1" w:lastColumn="0" w:noHBand="0" w:noVBand="1"/>
      </w:tblPr>
      <w:tblGrid>
        <w:gridCol w:w="2443"/>
        <w:gridCol w:w="780"/>
        <w:gridCol w:w="1087"/>
        <w:gridCol w:w="1127"/>
        <w:gridCol w:w="1047"/>
        <w:gridCol w:w="847"/>
        <w:gridCol w:w="958"/>
        <w:gridCol w:w="767"/>
      </w:tblGrid>
      <w:tr w:rsidR="00E9008A" w:rsidRPr="00316249" w:rsidTr="007F7D85">
        <w:trPr>
          <w:trHeight w:val="178"/>
          <w:tblHeader/>
        </w:trPr>
        <w:tc>
          <w:tcPr>
            <w:tcW w:w="142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b/>
                <w:bCs/>
                <w:color w:val="000000"/>
                <w:sz w:val="16"/>
                <w:szCs w:val="16"/>
              </w:rPr>
            </w:pPr>
            <w:r w:rsidRPr="00316249">
              <w:rPr>
                <w:b/>
                <w:bCs/>
                <w:color w:val="000000"/>
                <w:sz w:val="16"/>
                <w:szCs w:val="16"/>
              </w:rPr>
              <w:t>Eventos</w:t>
            </w:r>
          </w:p>
        </w:tc>
        <w:tc>
          <w:tcPr>
            <w:tcW w:w="3579" w:type="pct"/>
            <w:gridSpan w:val="7"/>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r>
      <w:tr w:rsidR="00E9008A" w:rsidRPr="00316249" w:rsidTr="007F7D85">
        <w:trPr>
          <w:trHeight w:val="178"/>
          <w:tblHeader/>
        </w:trPr>
        <w:tc>
          <w:tcPr>
            <w:tcW w:w="142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6"/>
                <w:szCs w:val="16"/>
              </w:rPr>
            </w:pPr>
          </w:p>
        </w:tc>
        <w:tc>
          <w:tcPr>
            <w:tcW w:w="2668" w:type="pct"/>
            <w:gridSpan w:val="5"/>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Imobilizado em Serviço</w:t>
            </w:r>
          </w:p>
        </w:tc>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Imobilizado em Curso</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Total</w:t>
            </w:r>
          </w:p>
        </w:tc>
      </w:tr>
      <w:tr w:rsidR="00E9008A" w:rsidRPr="00316249" w:rsidTr="007F7D85">
        <w:trPr>
          <w:trHeight w:val="178"/>
          <w:tblHeader/>
        </w:trPr>
        <w:tc>
          <w:tcPr>
            <w:tcW w:w="142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6"/>
                <w:szCs w:val="16"/>
              </w:rPr>
            </w:pPr>
          </w:p>
        </w:tc>
        <w:tc>
          <w:tcPr>
            <w:tcW w:w="438"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Terrenos</w:t>
            </w:r>
          </w:p>
        </w:tc>
        <w:tc>
          <w:tcPr>
            <w:tcW w:w="6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Edificações, Obras Civis e Benfeitorias</w:t>
            </w:r>
          </w:p>
        </w:tc>
        <w:tc>
          <w:tcPr>
            <w:tcW w:w="601"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Máquinas e Equipamentos</w:t>
            </w:r>
          </w:p>
        </w:tc>
        <w:tc>
          <w:tcPr>
            <w:tcW w:w="570"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Veículos</w:t>
            </w:r>
          </w:p>
        </w:tc>
        <w:tc>
          <w:tcPr>
            <w:tcW w:w="458"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Móveis e Utensílios</w:t>
            </w:r>
          </w:p>
        </w:tc>
        <w:tc>
          <w:tcPr>
            <w:tcW w:w="508"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6"/>
                <w:szCs w:val="16"/>
              </w:rPr>
            </w:pPr>
          </w:p>
        </w:tc>
        <w:tc>
          <w:tcPr>
            <w:tcW w:w="403"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6"/>
                <w:szCs w:val="16"/>
              </w:rPr>
            </w:pP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Custo do Imobilizado</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 </w:t>
            </w:r>
          </w:p>
        </w:tc>
        <w:tc>
          <w:tcPr>
            <w:tcW w:w="50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 </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2014</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13.130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2.463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706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97 </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369 </w:t>
            </w:r>
          </w:p>
        </w:tc>
        <w:tc>
          <w:tcPr>
            <w:tcW w:w="50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w:t>
            </w: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16.765 </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Cs/>
                <w:color w:val="000000"/>
                <w:sz w:val="16"/>
                <w:szCs w:val="16"/>
              </w:rPr>
            </w:pPr>
            <w:r w:rsidRPr="00316249">
              <w:rPr>
                <w:bCs/>
                <w:color w:val="000000"/>
                <w:sz w:val="16"/>
                <w:szCs w:val="16"/>
              </w:rPr>
              <w:t>Baixas</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xml:space="preserve">                (97)</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50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xml:space="preserve">         (97)</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Cs/>
                <w:color w:val="000000"/>
                <w:sz w:val="16"/>
                <w:szCs w:val="16"/>
              </w:rPr>
            </w:pPr>
            <w:r w:rsidRPr="00316249">
              <w:rPr>
                <w:bCs/>
                <w:color w:val="000000"/>
                <w:sz w:val="16"/>
                <w:szCs w:val="16"/>
              </w:rPr>
              <w:t>Transferências</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xml:space="preserve">               (384)</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50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 xml:space="preserve">       (384)</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2015</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13.130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2.463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322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369 </w:t>
            </w:r>
          </w:p>
        </w:tc>
        <w:tc>
          <w:tcPr>
            <w:tcW w:w="50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16.284 </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Cs/>
                <w:color w:val="000000"/>
                <w:sz w:val="16"/>
                <w:szCs w:val="16"/>
              </w:rPr>
            </w:pPr>
            <w:r w:rsidRPr="00316249">
              <w:rPr>
                <w:bCs/>
                <w:color w:val="000000"/>
                <w:sz w:val="16"/>
                <w:szCs w:val="16"/>
              </w:rPr>
              <w:t>Adições</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71</w:t>
            </w: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71</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Cs/>
                <w:color w:val="000000"/>
                <w:sz w:val="16"/>
                <w:szCs w:val="16"/>
              </w:rPr>
            </w:pPr>
            <w:r w:rsidRPr="00316249">
              <w:rPr>
                <w:bCs/>
                <w:color w:val="000000"/>
                <w:sz w:val="16"/>
                <w:szCs w:val="16"/>
              </w:rPr>
              <w:t>Baixas</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(35)</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(35)</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Cs/>
                <w:color w:val="000000"/>
                <w:sz w:val="16"/>
                <w:szCs w:val="16"/>
              </w:rPr>
            </w:pPr>
            <w:r w:rsidRPr="00316249">
              <w:rPr>
                <w:bCs/>
                <w:color w:val="000000"/>
                <w:sz w:val="16"/>
                <w:szCs w:val="16"/>
              </w:rPr>
              <w:t>Transferências</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(2.094)</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(2.094)</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2016</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11.036</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2.463</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393</w:t>
            </w: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334</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14.226</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6"/>
                <w:szCs w:val="16"/>
              </w:rPr>
            </w:pP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Depreciação Acumulada</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bCs/>
                <w:color w:val="000000"/>
                <w:sz w:val="16"/>
                <w:szCs w:val="16"/>
              </w:rPr>
              <w:t>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bCs/>
                <w:color w:val="000000"/>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bCs/>
                <w:color w:val="000000"/>
                <w:sz w:val="16"/>
                <w:szCs w:val="16"/>
              </w:rPr>
              <w:t> </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bCs/>
                <w:color w:val="000000"/>
                <w:sz w:val="16"/>
                <w:szCs w:val="16"/>
              </w:rPr>
              <w:t> </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2014</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(249)</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(249)</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(97)</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(222)</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(817)</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Depreciação</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(97)</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(32)</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(34)</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(163)</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6"/>
                <w:szCs w:val="16"/>
              </w:rPr>
            </w:pPr>
            <w:r w:rsidRPr="00316249">
              <w:rPr>
                <w:color w:val="000000"/>
                <w:sz w:val="16"/>
                <w:szCs w:val="16"/>
              </w:rPr>
              <w:lastRenderedPageBreak/>
              <w:t>Baixas</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w:t>
            </w: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97 </w:t>
            </w: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97 </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Transferências</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90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90 </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2015</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(346)</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(191)</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(256)</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(793)</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Depreciação</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highlight w:val="yellow"/>
              </w:rPr>
            </w:pPr>
            <w:r w:rsidRPr="00316249">
              <w:rPr>
                <w:color w:val="000000"/>
                <w:sz w:val="16"/>
                <w:szCs w:val="16"/>
              </w:rPr>
              <w:t>(100)</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highlight w:val="yellow"/>
              </w:rPr>
            </w:pPr>
            <w:r w:rsidRPr="00316249">
              <w:rPr>
                <w:color w:val="000000"/>
                <w:sz w:val="16"/>
                <w:szCs w:val="16"/>
              </w:rPr>
              <w:t>(29)</w:t>
            </w: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highlight w:val="yellow"/>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highlight w:val="yellow"/>
              </w:rPr>
            </w:pPr>
            <w:r w:rsidRPr="00316249">
              <w:rPr>
                <w:color w:val="000000"/>
                <w:sz w:val="16"/>
                <w:szCs w:val="16"/>
              </w:rPr>
              <w:t>(17)</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(146)</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Baixas</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26</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26</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Transferências</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2016</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(446)</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(220)</w:t>
            </w: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(247)</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(913)</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6"/>
                <w:szCs w:val="16"/>
              </w:rPr>
            </w:pP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Imobilizado Líquido – 31/12/2016</w:t>
            </w:r>
          </w:p>
        </w:tc>
        <w:tc>
          <w:tcPr>
            <w:tcW w:w="43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11.036</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2.017</w:t>
            </w:r>
          </w:p>
        </w:tc>
        <w:tc>
          <w:tcPr>
            <w:tcW w:w="60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173</w:t>
            </w:r>
          </w:p>
        </w:tc>
        <w:tc>
          <w:tcPr>
            <w:tcW w:w="57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87</w:t>
            </w:r>
          </w:p>
        </w:tc>
        <w:tc>
          <w:tcPr>
            <w:tcW w:w="50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13.313</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Imobilizado Líquido – 31/12/2015</w:t>
            </w:r>
          </w:p>
        </w:tc>
        <w:tc>
          <w:tcPr>
            <w:tcW w:w="43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13.130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2.117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131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113 </w:t>
            </w:r>
          </w:p>
        </w:tc>
        <w:tc>
          <w:tcPr>
            <w:tcW w:w="50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p>
        </w:tc>
        <w:tc>
          <w:tcPr>
            <w:tcW w:w="40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15.491 </w:t>
            </w:r>
          </w:p>
        </w:tc>
      </w:tr>
      <w:tr w:rsidR="00E9008A" w:rsidRPr="00316249" w:rsidTr="007F7D85">
        <w:trPr>
          <w:trHeight w:val="178"/>
        </w:trPr>
        <w:tc>
          <w:tcPr>
            <w:tcW w:w="1421"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6"/>
                <w:szCs w:val="16"/>
              </w:rPr>
            </w:pPr>
            <w:r w:rsidRPr="00316249">
              <w:rPr>
                <w:b/>
                <w:bCs/>
                <w:color w:val="000000"/>
                <w:sz w:val="16"/>
                <w:szCs w:val="16"/>
              </w:rPr>
              <w:t>Taxas Anuais de Depreciação</w:t>
            </w:r>
          </w:p>
        </w:tc>
        <w:tc>
          <w:tcPr>
            <w:tcW w:w="438"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 xml:space="preserve"> 2,0% a 4,0% </w:t>
            </w:r>
          </w:p>
        </w:tc>
        <w:tc>
          <w:tcPr>
            <w:tcW w:w="60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 xml:space="preserve"> 3,3% a 6,7% </w:t>
            </w:r>
          </w:p>
        </w:tc>
        <w:tc>
          <w:tcPr>
            <w:tcW w:w="57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20%</w:t>
            </w:r>
          </w:p>
        </w:tc>
        <w:tc>
          <w:tcPr>
            <w:tcW w:w="45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10%</w:t>
            </w:r>
          </w:p>
        </w:tc>
        <w:tc>
          <w:tcPr>
            <w:tcW w:w="912"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 </w:t>
            </w:r>
          </w:p>
        </w:tc>
      </w:tr>
    </w:tbl>
    <w:p w:rsidR="00E9008A" w:rsidRDefault="00E9008A" w:rsidP="00E9008A">
      <w:pPr>
        <w:rPr>
          <w:b/>
          <w:bCs/>
          <w:snapToGrid w:val="0"/>
          <w:sz w:val="22"/>
          <w:szCs w:val="22"/>
        </w:rPr>
      </w:pPr>
    </w:p>
    <w:p w:rsidR="00E9008A" w:rsidRDefault="00E9008A" w:rsidP="00E9008A">
      <w:pPr>
        <w:rPr>
          <w:snapToGrid w:val="0"/>
        </w:rPr>
      </w:pPr>
      <w:r>
        <w:rPr>
          <w:snapToGrid w:val="0"/>
        </w:rPr>
        <w:br w:type="page"/>
      </w:r>
    </w:p>
    <w:p w:rsidR="00E9008A" w:rsidRPr="00316249" w:rsidRDefault="00E9008A" w:rsidP="00E9008A">
      <w:pPr>
        <w:rPr>
          <w:b/>
          <w:bCs/>
          <w:snapToGrid w:val="0"/>
          <w:sz w:val="22"/>
          <w:szCs w:val="22"/>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5"/>
        <w:gridCol w:w="659"/>
        <w:gridCol w:w="936"/>
        <w:gridCol w:w="918"/>
        <w:gridCol w:w="940"/>
        <w:gridCol w:w="713"/>
        <w:gridCol w:w="810"/>
        <w:gridCol w:w="649"/>
        <w:gridCol w:w="803"/>
        <w:gridCol w:w="778"/>
      </w:tblGrid>
      <w:tr w:rsidR="00E9008A" w:rsidRPr="00316249" w:rsidTr="007F7D85">
        <w:trPr>
          <w:trHeight w:val="240"/>
          <w:tblHeader/>
        </w:trPr>
        <w:tc>
          <w:tcPr>
            <w:tcW w:w="5000" w:type="pct"/>
            <w:gridSpan w:val="10"/>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7F7D85">
        <w:trPr>
          <w:trHeight w:val="240"/>
          <w:tblHeader/>
        </w:trPr>
        <w:tc>
          <w:tcPr>
            <w:tcW w:w="1174" w:type="pct"/>
            <w:vMerge w:val="restart"/>
            <w:shd w:val="clear" w:color="000000" w:fill="D9D9D9"/>
            <w:noWrap/>
            <w:vAlign w:val="center"/>
            <w:hideMark/>
          </w:tcPr>
          <w:p w:rsidR="00E9008A" w:rsidRPr="00316249" w:rsidRDefault="00E9008A" w:rsidP="005B7D01">
            <w:pPr>
              <w:jc w:val="center"/>
              <w:rPr>
                <w:color w:val="000000"/>
                <w:sz w:val="13"/>
                <w:szCs w:val="13"/>
              </w:rPr>
            </w:pPr>
            <w:r w:rsidRPr="00316249">
              <w:rPr>
                <w:color w:val="000000"/>
                <w:sz w:val="13"/>
                <w:szCs w:val="13"/>
              </w:rPr>
              <w:t> </w:t>
            </w:r>
          </w:p>
        </w:tc>
        <w:tc>
          <w:tcPr>
            <w:tcW w:w="2985" w:type="pct"/>
            <w:gridSpan w:val="7"/>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Imobilizado em Serviço</w:t>
            </w:r>
          </w:p>
        </w:tc>
        <w:tc>
          <w:tcPr>
            <w:tcW w:w="425" w:type="pct"/>
            <w:vMerge w:val="restar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Imobilizado em Curso</w:t>
            </w:r>
          </w:p>
        </w:tc>
        <w:tc>
          <w:tcPr>
            <w:tcW w:w="416" w:type="pct"/>
            <w:vMerge w:val="restar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Total</w:t>
            </w:r>
          </w:p>
        </w:tc>
      </w:tr>
      <w:tr w:rsidR="00490FAC" w:rsidRPr="00316249" w:rsidTr="007F7D85">
        <w:trPr>
          <w:trHeight w:val="240"/>
          <w:tblHeader/>
        </w:trPr>
        <w:tc>
          <w:tcPr>
            <w:tcW w:w="1174" w:type="pct"/>
            <w:vMerge/>
            <w:vAlign w:val="center"/>
            <w:hideMark/>
          </w:tcPr>
          <w:p w:rsidR="00E9008A" w:rsidRPr="00316249" w:rsidRDefault="00E9008A" w:rsidP="005B7D01">
            <w:pPr>
              <w:rPr>
                <w:color w:val="000000"/>
                <w:sz w:val="13"/>
                <w:szCs w:val="13"/>
              </w:rPr>
            </w:pPr>
          </w:p>
        </w:tc>
        <w:tc>
          <w:tcPr>
            <w:tcW w:w="352" w:type="pc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Terrenos</w:t>
            </w:r>
          </w:p>
        </w:tc>
        <w:tc>
          <w:tcPr>
            <w:tcW w:w="501" w:type="pc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Reservatórios, Barragens e Adutoras</w:t>
            </w:r>
          </w:p>
        </w:tc>
        <w:tc>
          <w:tcPr>
            <w:tcW w:w="484" w:type="pc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Edificações, Obras Civis e Benfeitorias</w:t>
            </w:r>
          </w:p>
        </w:tc>
        <w:tc>
          <w:tcPr>
            <w:tcW w:w="498" w:type="pc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Máquinas e Equipamentos</w:t>
            </w:r>
          </w:p>
        </w:tc>
        <w:tc>
          <w:tcPr>
            <w:tcW w:w="386" w:type="pc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Veículos</w:t>
            </w:r>
          </w:p>
        </w:tc>
        <w:tc>
          <w:tcPr>
            <w:tcW w:w="418" w:type="pc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Móveis e Utensílios</w:t>
            </w:r>
          </w:p>
        </w:tc>
        <w:tc>
          <w:tcPr>
            <w:tcW w:w="346" w:type="pct"/>
            <w:shd w:val="clear" w:color="auto" w:fill="auto"/>
            <w:vAlign w:val="center"/>
            <w:hideMark/>
          </w:tcPr>
          <w:p w:rsidR="00E9008A" w:rsidRPr="00316249" w:rsidRDefault="00E9008A" w:rsidP="005B7D01">
            <w:pPr>
              <w:jc w:val="center"/>
              <w:rPr>
                <w:b/>
                <w:bCs/>
                <w:color w:val="000000"/>
                <w:sz w:val="13"/>
                <w:szCs w:val="13"/>
              </w:rPr>
            </w:pPr>
            <w:r w:rsidRPr="00316249">
              <w:rPr>
                <w:b/>
                <w:bCs/>
                <w:color w:val="000000"/>
                <w:sz w:val="13"/>
                <w:szCs w:val="13"/>
              </w:rPr>
              <w:t>Outros</w:t>
            </w:r>
          </w:p>
        </w:tc>
        <w:tc>
          <w:tcPr>
            <w:tcW w:w="425" w:type="pct"/>
            <w:vMerge/>
            <w:vAlign w:val="center"/>
            <w:hideMark/>
          </w:tcPr>
          <w:p w:rsidR="00E9008A" w:rsidRPr="00316249" w:rsidRDefault="00E9008A" w:rsidP="005B7D01">
            <w:pPr>
              <w:rPr>
                <w:b/>
                <w:bCs/>
                <w:color w:val="000000"/>
                <w:sz w:val="13"/>
                <w:szCs w:val="13"/>
              </w:rPr>
            </w:pPr>
          </w:p>
        </w:tc>
        <w:tc>
          <w:tcPr>
            <w:tcW w:w="416" w:type="pct"/>
            <w:vMerge/>
            <w:vAlign w:val="center"/>
            <w:hideMark/>
          </w:tcPr>
          <w:p w:rsidR="00E9008A" w:rsidRPr="00316249" w:rsidRDefault="00E9008A" w:rsidP="005B7D01">
            <w:pPr>
              <w:rPr>
                <w:b/>
                <w:bCs/>
                <w:color w:val="000000"/>
                <w:sz w:val="13"/>
                <w:szCs w:val="13"/>
              </w:rPr>
            </w:pP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Custo do Imobilizado</w:t>
            </w:r>
          </w:p>
        </w:tc>
        <w:tc>
          <w:tcPr>
            <w:tcW w:w="352"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501"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48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498"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386"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418"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346"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425"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c>
          <w:tcPr>
            <w:tcW w:w="416"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Saldo em 31 de dezembro de 2014</w:t>
            </w:r>
          </w:p>
        </w:tc>
        <w:tc>
          <w:tcPr>
            <w:tcW w:w="352"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14.097 </w:t>
            </w:r>
          </w:p>
        </w:tc>
        <w:tc>
          <w:tcPr>
            <w:tcW w:w="501"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13.828 </w:t>
            </w:r>
          </w:p>
        </w:tc>
        <w:tc>
          <w:tcPr>
            <w:tcW w:w="484"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21.206 </w:t>
            </w:r>
          </w:p>
        </w:tc>
        <w:tc>
          <w:tcPr>
            <w:tcW w:w="49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46.507 </w:t>
            </w:r>
          </w:p>
        </w:tc>
        <w:tc>
          <w:tcPr>
            <w:tcW w:w="38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18.915 </w:t>
            </w:r>
          </w:p>
        </w:tc>
        <w:tc>
          <w:tcPr>
            <w:tcW w:w="41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9.456 </w:t>
            </w:r>
          </w:p>
        </w:tc>
        <w:tc>
          <w:tcPr>
            <w:tcW w:w="34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164 </w:t>
            </w:r>
          </w:p>
        </w:tc>
        <w:tc>
          <w:tcPr>
            <w:tcW w:w="425"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56.251 </w:t>
            </w:r>
          </w:p>
        </w:tc>
        <w:tc>
          <w:tcPr>
            <w:tcW w:w="41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180.424 </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Adições</w:t>
            </w:r>
          </w:p>
        </w:tc>
        <w:tc>
          <w:tcPr>
            <w:tcW w:w="352"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501"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84"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677 </w:t>
            </w:r>
          </w:p>
        </w:tc>
        <w:tc>
          <w:tcPr>
            <w:tcW w:w="498"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21 </w:t>
            </w:r>
          </w:p>
        </w:tc>
        <w:tc>
          <w:tcPr>
            <w:tcW w:w="38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1.386 </w:t>
            </w:r>
          </w:p>
        </w:tc>
        <w:tc>
          <w:tcPr>
            <w:tcW w:w="418"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4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1 </w:t>
            </w:r>
          </w:p>
        </w:tc>
        <w:tc>
          <w:tcPr>
            <w:tcW w:w="425"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46.316 </w:t>
            </w:r>
          </w:p>
        </w:tc>
        <w:tc>
          <w:tcPr>
            <w:tcW w:w="41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48.401 </w:t>
            </w:r>
          </w:p>
        </w:tc>
      </w:tr>
      <w:tr w:rsidR="00490FAC" w:rsidRPr="00316249" w:rsidTr="007F7D85">
        <w:trPr>
          <w:trHeight w:val="240"/>
        </w:trPr>
        <w:tc>
          <w:tcPr>
            <w:tcW w:w="1174"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Baixas</w:t>
            </w:r>
          </w:p>
        </w:tc>
        <w:tc>
          <w:tcPr>
            <w:tcW w:w="352"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xml:space="preserve">              (532)</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xml:space="preserve">      (1.066)</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xml:space="preserve">                (2)</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xml:space="preserve">      (56.426)</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xml:space="preserve">      (58.026)</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Transferências</w:t>
            </w:r>
          </w:p>
        </w:tc>
        <w:tc>
          <w:tcPr>
            <w:tcW w:w="352"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501"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84"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98"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(330)</w:t>
            </w:r>
          </w:p>
        </w:tc>
        <w:tc>
          <w:tcPr>
            <w:tcW w:w="38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18"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4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(58)</w:t>
            </w:r>
          </w:p>
        </w:tc>
        <w:tc>
          <w:tcPr>
            <w:tcW w:w="425"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(234)</w:t>
            </w:r>
          </w:p>
        </w:tc>
        <w:tc>
          <w:tcPr>
            <w:tcW w:w="41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(622)</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Saldo em 31 de dezembro de 2015</w:t>
            </w:r>
          </w:p>
        </w:tc>
        <w:tc>
          <w:tcPr>
            <w:tcW w:w="352"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14.097 </w:t>
            </w:r>
          </w:p>
        </w:tc>
        <w:tc>
          <w:tcPr>
            <w:tcW w:w="501"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13.828 </w:t>
            </w:r>
          </w:p>
        </w:tc>
        <w:tc>
          <w:tcPr>
            <w:tcW w:w="484"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21.883 </w:t>
            </w:r>
          </w:p>
        </w:tc>
        <w:tc>
          <w:tcPr>
            <w:tcW w:w="49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45.666 </w:t>
            </w:r>
          </w:p>
        </w:tc>
        <w:tc>
          <w:tcPr>
            <w:tcW w:w="38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19.235 </w:t>
            </w:r>
          </w:p>
        </w:tc>
        <w:tc>
          <w:tcPr>
            <w:tcW w:w="41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9.454 </w:t>
            </w:r>
          </w:p>
        </w:tc>
        <w:tc>
          <w:tcPr>
            <w:tcW w:w="34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107 </w:t>
            </w:r>
          </w:p>
        </w:tc>
        <w:tc>
          <w:tcPr>
            <w:tcW w:w="425"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45.907 </w:t>
            </w:r>
          </w:p>
        </w:tc>
        <w:tc>
          <w:tcPr>
            <w:tcW w:w="41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170.177 </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Adições</w:t>
            </w:r>
          </w:p>
        </w:tc>
        <w:tc>
          <w:tcPr>
            <w:tcW w:w="352"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380</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40</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1.026</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4.741</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45</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37.954</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44.186</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Baixas</w:t>
            </w:r>
          </w:p>
        </w:tc>
        <w:tc>
          <w:tcPr>
            <w:tcW w:w="352"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(688)</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(537)</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(39)</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(29.523)</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(30.787)</w:t>
            </w:r>
          </w:p>
        </w:tc>
      </w:tr>
      <w:tr w:rsidR="00490FAC" w:rsidRPr="00316249" w:rsidTr="007F7D85">
        <w:trPr>
          <w:trHeight w:val="240"/>
        </w:trPr>
        <w:tc>
          <w:tcPr>
            <w:tcW w:w="1174"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xml:space="preserve">Ajuste de </w:t>
            </w:r>
            <w:r>
              <w:rPr>
                <w:color w:val="000000"/>
                <w:sz w:val="13"/>
                <w:szCs w:val="13"/>
              </w:rPr>
              <w:t>I</w:t>
            </w:r>
            <w:r w:rsidRPr="00316249">
              <w:rPr>
                <w:color w:val="000000"/>
                <w:sz w:val="13"/>
                <w:szCs w:val="13"/>
              </w:rPr>
              <w:t>nventário</w:t>
            </w:r>
          </w:p>
        </w:tc>
        <w:tc>
          <w:tcPr>
            <w:tcW w:w="352"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799</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7</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806</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Transferências</w:t>
            </w:r>
          </w:p>
        </w:tc>
        <w:tc>
          <w:tcPr>
            <w:tcW w:w="352"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(2.094)</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9</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(2.085)</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Saldo em 31 de dezembro de 2016</w:t>
            </w:r>
          </w:p>
        </w:tc>
        <w:tc>
          <w:tcPr>
            <w:tcW w:w="352"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12.003</w:t>
            </w:r>
          </w:p>
        </w:tc>
        <w:tc>
          <w:tcPr>
            <w:tcW w:w="501"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13.520</w:t>
            </w:r>
          </w:p>
        </w:tc>
        <w:tc>
          <w:tcPr>
            <w:tcW w:w="484"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21.386</w:t>
            </w:r>
          </w:p>
        </w:tc>
        <w:tc>
          <w:tcPr>
            <w:tcW w:w="498"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47.491</w:t>
            </w:r>
          </w:p>
        </w:tc>
        <w:tc>
          <w:tcPr>
            <w:tcW w:w="386"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23.983</w:t>
            </w:r>
          </w:p>
        </w:tc>
        <w:tc>
          <w:tcPr>
            <w:tcW w:w="418"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9.460</w:t>
            </w:r>
          </w:p>
        </w:tc>
        <w:tc>
          <w:tcPr>
            <w:tcW w:w="346"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107</w:t>
            </w:r>
          </w:p>
        </w:tc>
        <w:tc>
          <w:tcPr>
            <w:tcW w:w="425"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54.347</w:t>
            </w:r>
          </w:p>
        </w:tc>
        <w:tc>
          <w:tcPr>
            <w:tcW w:w="416" w:type="pct"/>
            <w:shd w:val="clear" w:color="000000" w:fill="FFFFFF"/>
            <w:noWrap/>
            <w:vAlign w:val="center"/>
          </w:tcPr>
          <w:p w:rsidR="00E9008A" w:rsidRPr="00316249" w:rsidRDefault="00E9008A" w:rsidP="005B7D01">
            <w:pPr>
              <w:jc w:val="right"/>
              <w:rPr>
                <w:b/>
                <w:color w:val="000000"/>
                <w:sz w:val="13"/>
                <w:szCs w:val="13"/>
              </w:rPr>
            </w:pPr>
            <w:r w:rsidRPr="00316249">
              <w:rPr>
                <w:b/>
                <w:color w:val="000000"/>
                <w:sz w:val="13"/>
                <w:szCs w:val="13"/>
              </w:rPr>
              <w:t>182.297</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Depreciação Acumulada</w:t>
            </w:r>
          </w:p>
        </w:tc>
        <w:tc>
          <w:tcPr>
            <w:tcW w:w="352"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501"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484"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49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38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41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34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425"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41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Saldo em 31 de dezembro de 2014</w:t>
            </w:r>
          </w:p>
        </w:tc>
        <w:tc>
          <w:tcPr>
            <w:tcW w:w="352"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w:t>
            </w:r>
          </w:p>
        </w:tc>
        <w:tc>
          <w:tcPr>
            <w:tcW w:w="501"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(3.801)</w:t>
            </w:r>
          </w:p>
        </w:tc>
        <w:tc>
          <w:tcPr>
            <w:tcW w:w="484"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(9.282)</w:t>
            </w:r>
          </w:p>
        </w:tc>
        <w:tc>
          <w:tcPr>
            <w:tcW w:w="49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(29.866)</w:t>
            </w:r>
          </w:p>
        </w:tc>
        <w:tc>
          <w:tcPr>
            <w:tcW w:w="38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(10.910)</w:t>
            </w:r>
          </w:p>
        </w:tc>
        <w:tc>
          <w:tcPr>
            <w:tcW w:w="41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(3.718)</w:t>
            </w:r>
          </w:p>
        </w:tc>
        <w:tc>
          <w:tcPr>
            <w:tcW w:w="34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(133)</w:t>
            </w:r>
          </w:p>
        </w:tc>
        <w:tc>
          <w:tcPr>
            <w:tcW w:w="425"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(57.710)</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Depreciação</w:t>
            </w:r>
          </w:p>
        </w:tc>
        <w:tc>
          <w:tcPr>
            <w:tcW w:w="352"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w:t>
            </w:r>
          </w:p>
        </w:tc>
        <w:tc>
          <w:tcPr>
            <w:tcW w:w="501"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(296)</w:t>
            </w:r>
          </w:p>
        </w:tc>
        <w:tc>
          <w:tcPr>
            <w:tcW w:w="48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(1.306)</w:t>
            </w:r>
          </w:p>
        </w:tc>
        <w:tc>
          <w:tcPr>
            <w:tcW w:w="498"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(1.581)</w:t>
            </w:r>
          </w:p>
        </w:tc>
        <w:tc>
          <w:tcPr>
            <w:tcW w:w="386"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(1.468)</w:t>
            </w:r>
          </w:p>
        </w:tc>
        <w:tc>
          <w:tcPr>
            <w:tcW w:w="418"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(578)</w:t>
            </w:r>
          </w:p>
        </w:tc>
        <w:tc>
          <w:tcPr>
            <w:tcW w:w="346"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(4)</w:t>
            </w:r>
          </w:p>
        </w:tc>
        <w:tc>
          <w:tcPr>
            <w:tcW w:w="425"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(5.233)</w:t>
            </w:r>
          </w:p>
        </w:tc>
      </w:tr>
      <w:tr w:rsidR="00490FAC" w:rsidRPr="00316249" w:rsidTr="007F7D85">
        <w:trPr>
          <w:trHeight w:val="240"/>
        </w:trPr>
        <w:tc>
          <w:tcPr>
            <w:tcW w:w="1174"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Baixas</w:t>
            </w:r>
          </w:p>
        </w:tc>
        <w:tc>
          <w:tcPr>
            <w:tcW w:w="352"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w:t>
            </w:r>
          </w:p>
        </w:tc>
        <w:tc>
          <w:tcPr>
            <w:tcW w:w="484"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w:t>
            </w:r>
          </w:p>
        </w:tc>
        <w:tc>
          <w:tcPr>
            <w:tcW w:w="498"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xml:space="preserve">                307 </w:t>
            </w:r>
          </w:p>
        </w:tc>
        <w:tc>
          <w:tcPr>
            <w:tcW w:w="386"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xml:space="preserve">        1.504 </w:t>
            </w:r>
          </w:p>
        </w:tc>
        <w:tc>
          <w:tcPr>
            <w:tcW w:w="418"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w:t>
            </w:r>
          </w:p>
        </w:tc>
        <w:tc>
          <w:tcPr>
            <w:tcW w:w="346" w:type="pct"/>
            <w:shd w:val="clear" w:color="auto" w:fill="auto"/>
            <w:noWrap/>
            <w:vAlign w:val="center"/>
          </w:tcPr>
          <w:p w:rsidR="00E9008A" w:rsidRPr="00316249" w:rsidRDefault="00E9008A" w:rsidP="005B7D01">
            <w:pPr>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xml:space="preserve">         1.811 </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Transferências</w:t>
            </w:r>
          </w:p>
        </w:tc>
        <w:tc>
          <w:tcPr>
            <w:tcW w:w="352"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w:t>
            </w:r>
          </w:p>
        </w:tc>
        <w:tc>
          <w:tcPr>
            <w:tcW w:w="501"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84"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98"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68 </w:t>
            </w:r>
          </w:p>
        </w:tc>
        <w:tc>
          <w:tcPr>
            <w:tcW w:w="38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18"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34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40 </w:t>
            </w:r>
          </w:p>
        </w:tc>
        <w:tc>
          <w:tcPr>
            <w:tcW w:w="425"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hideMark/>
          </w:tcPr>
          <w:p w:rsidR="00E9008A" w:rsidRPr="00316249" w:rsidRDefault="00E9008A" w:rsidP="005B7D01">
            <w:pPr>
              <w:jc w:val="right"/>
              <w:rPr>
                <w:color w:val="000000"/>
                <w:sz w:val="13"/>
                <w:szCs w:val="13"/>
              </w:rPr>
            </w:pPr>
            <w:r w:rsidRPr="00316249">
              <w:rPr>
                <w:color w:val="000000"/>
                <w:sz w:val="13"/>
                <w:szCs w:val="13"/>
              </w:rPr>
              <w:t xml:space="preserve">            108 </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Saldo em 31 de dezembro de 2015</w:t>
            </w:r>
          </w:p>
        </w:tc>
        <w:tc>
          <w:tcPr>
            <w:tcW w:w="352"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w:t>
            </w:r>
          </w:p>
        </w:tc>
        <w:tc>
          <w:tcPr>
            <w:tcW w:w="501"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(4.097)</w:t>
            </w:r>
          </w:p>
        </w:tc>
        <w:tc>
          <w:tcPr>
            <w:tcW w:w="48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(10.588)</w:t>
            </w:r>
          </w:p>
        </w:tc>
        <w:tc>
          <w:tcPr>
            <w:tcW w:w="498"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(31.072)</w:t>
            </w:r>
          </w:p>
        </w:tc>
        <w:tc>
          <w:tcPr>
            <w:tcW w:w="386"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(10.874)</w:t>
            </w:r>
          </w:p>
        </w:tc>
        <w:tc>
          <w:tcPr>
            <w:tcW w:w="418"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(4.296)</w:t>
            </w:r>
          </w:p>
        </w:tc>
        <w:tc>
          <w:tcPr>
            <w:tcW w:w="346"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(97)</w:t>
            </w:r>
          </w:p>
        </w:tc>
        <w:tc>
          <w:tcPr>
            <w:tcW w:w="425"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w:t>
            </w:r>
          </w:p>
        </w:tc>
        <w:tc>
          <w:tcPr>
            <w:tcW w:w="416"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(61.024)</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Depreciação</w:t>
            </w:r>
          </w:p>
        </w:tc>
        <w:tc>
          <w:tcPr>
            <w:tcW w:w="352"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(298)</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(581)</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(1.586)</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(2.196)</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(512)</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(5.173)</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Baixas</w:t>
            </w:r>
          </w:p>
        </w:tc>
        <w:tc>
          <w:tcPr>
            <w:tcW w:w="352"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26</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26</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Transferências</w:t>
            </w:r>
          </w:p>
        </w:tc>
        <w:tc>
          <w:tcPr>
            <w:tcW w:w="352" w:type="pct"/>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w:t>
            </w:r>
          </w:p>
        </w:tc>
        <w:tc>
          <w:tcPr>
            <w:tcW w:w="501"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205</w:t>
            </w:r>
          </w:p>
        </w:tc>
        <w:tc>
          <w:tcPr>
            <w:tcW w:w="484"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2.156</w:t>
            </w:r>
          </w:p>
        </w:tc>
        <w:tc>
          <w:tcPr>
            <w:tcW w:w="49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(477)</w:t>
            </w:r>
          </w:p>
        </w:tc>
        <w:tc>
          <w:tcPr>
            <w:tcW w:w="38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(8)</w:t>
            </w:r>
          </w:p>
        </w:tc>
        <w:tc>
          <w:tcPr>
            <w:tcW w:w="418"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12</w:t>
            </w:r>
          </w:p>
        </w:tc>
        <w:tc>
          <w:tcPr>
            <w:tcW w:w="34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25"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 </w:t>
            </w:r>
          </w:p>
        </w:tc>
        <w:tc>
          <w:tcPr>
            <w:tcW w:w="416" w:type="pct"/>
            <w:shd w:val="clear" w:color="auto" w:fill="auto"/>
            <w:noWrap/>
            <w:vAlign w:val="center"/>
          </w:tcPr>
          <w:p w:rsidR="00E9008A" w:rsidRPr="00316249" w:rsidRDefault="00E9008A" w:rsidP="005B7D01">
            <w:pPr>
              <w:jc w:val="right"/>
              <w:rPr>
                <w:color w:val="000000"/>
                <w:sz w:val="13"/>
                <w:szCs w:val="13"/>
              </w:rPr>
            </w:pPr>
            <w:r w:rsidRPr="00316249">
              <w:rPr>
                <w:color w:val="000000"/>
                <w:sz w:val="13"/>
                <w:szCs w:val="13"/>
              </w:rPr>
              <w:t>1.888</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Saldo em 31 de dezembro de 2016</w:t>
            </w:r>
          </w:p>
        </w:tc>
        <w:tc>
          <w:tcPr>
            <w:tcW w:w="352"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w:t>
            </w:r>
          </w:p>
        </w:tc>
        <w:tc>
          <w:tcPr>
            <w:tcW w:w="501" w:type="pct"/>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(4.190)</w:t>
            </w:r>
          </w:p>
        </w:tc>
        <w:tc>
          <w:tcPr>
            <w:tcW w:w="484" w:type="pct"/>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(9.013)</w:t>
            </w:r>
          </w:p>
        </w:tc>
        <w:tc>
          <w:tcPr>
            <w:tcW w:w="498" w:type="pct"/>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(33.135)</w:t>
            </w:r>
          </w:p>
        </w:tc>
        <w:tc>
          <w:tcPr>
            <w:tcW w:w="386" w:type="pct"/>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(13.078)</w:t>
            </w:r>
          </w:p>
        </w:tc>
        <w:tc>
          <w:tcPr>
            <w:tcW w:w="418" w:type="pct"/>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(4.772)</w:t>
            </w:r>
          </w:p>
        </w:tc>
        <w:tc>
          <w:tcPr>
            <w:tcW w:w="346" w:type="pct"/>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(97)</w:t>
            </w:r>
          </w:p>
        </w:tc>
        <w:tc>
          <w:tcPr>
            <w:tcW w:w="425" w:type="pct"/>
            <w:shd w:val="clear" w:color="auto" w:fill="auto"/>
            <w:noWrap/>
            <w:vAlign w:val="center"/>
          </w:tcPr>
          <w:p w:rsidR="00E9008A" w:rsidRPr="00316249" w:rsidRDefault="00E9008A" w:rsidP="005B7D01">
            <w:pPr>
              <w:rPr>
                <w:b/>
                <w:bCs/>
                <w:color w:val="000000"/>
                <w:sz w:val="13"/>
                <w:szCs w:val="13"/>
              </w:rPr>
            </w:pPr>
            <w:r w:rsidRPr="00316249">
              <w:rPr>
                <w:b/>
                <w:bCs/>
                <w:color w:val="000000"/>
                <w:sz w:val="13"/>
                <w:szCs w:val="13"/>
              </w:rPr>
              <w:t> </w:t>
            </w:r>
          </w:p>
        </w:tc>
        <w:tc>
          <w:tcPr>
            <w:tcW w:w="416" w:type="pct"/>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(64.283)</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Imobilizado Líquido – 31/12/2016</w:t>
            </w:r>
          </w:p>
        </w:tc>
        <w:tc>
          <w:tcPr>
            <w:tcW w:w="352"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12.003</w:t>
            </w:r>
          </w:p>
        </w:tc>
        <w:tc>
          <w:tcPr>
            <w:tcW w:w="501"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9.330</w:t>
            </w:r>
          </w:p>
        </w:tc>
        <w:tc>
          <w:tcPr>
            <w:tcW w:w="484"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12.373</w:t>
            </w:r>
          </w:p>
        </w:tc>
        <w:tc>
          <w:tcPr>
            <w:tcW w:w="498"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14.356</w:t>
            </w:r>
          </w:p>
        </w:tc>
        <w:tc>
          <w:tcPr>
            <w:tcW w:w="386"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10.905</w:t>
            </w:r>
          </w:p>
        </w:tc>
        <w:tc>
          <w:tcPr>
            <w:tcW w:w="418"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4.690</w:t>
            </w:r>
          </w:p>
        </w:tc>
        <w:tc>
          <w:tcPr>
            <w:tcW w:w="346"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10</w:t>
            </w:r>
          </w:p>
        </w:tc>
        <w:tc>
          <w:tcPr>
            <w:tcW w:w="425"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54.347</w:t>
            </w:r>
          </w:p>
        </w:tc>
        <w:tc>
          <w:tcPr>
            <w:tcW w:w="416" w:type="pct"/>
            <w:shd w:val="clear" w:color="000000" w:fill="FFFFFF"/>
            <w:noWrap/>
            <w:vAlign w:val="center"/>
          </w:tcPr>
          <w:p w:rsidR="00E9008A" w:rsidRPr="00316249" w:rsidRDefault="00E9008A" w:rsidP="005B7D01">
            <w:pPr>
              <w:jc w:val="right"/>
              <w:rPr>
                <w:b/>
                <w:bCs/>
                <w:color w:val="000000"/>
                <w:sz w:val="13"/>
                <w:szCs w:val="13"/>
              </w:rPr>
            </w:pPr>
            <w:r w:rsidRPr="00316249">
              <w:rPr>
                <w:b/>
                <w:bCs/>
                <w:color w:val="000000"/>
                <w:sz w:val="13"/>
                <w:szCs w:val="13"/>
              </w:rPr>
              <w:t>118.014</w:t>
            </w:r>
          </w:p>
        </w:tc>
      </w:tr>
      <w:tr w:rsidR="00490FAC" w:rsidRPr="00316249" w:rsidTr="007F7D85">
        <w:trPr>
          <w:trHeight w:val="240"/>
        </w:trPr>
        <w:tc>
          <w:tcPr>
            <w:tcW w:w="1174"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Imobilizado Líquido – 31/12/2015</w:t>
            </w:r>
          </w:p>
        </w:tc>
        <w:tc>
          <w:tcPr>
            <w:tcW w:w="352"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14.097 </w:t>
            </w:r>
          </w:p>
        </w:tc>
        <w:tc>
          <w:tcPr>
            <w:tcW w:w="501"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9.731 </w:t>
            </w:r>
          </w:p>
        </w:tc>
        <w:tc>
          <w:tcPr>
            <w:tcW w:w="484"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11.295 </w:t>
            </w:r>
          </w:p>
        </w:tc>
        <w:tc>
          <w:tcPr>
            <w:tcW w:w="49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14.594 </w:t>
            </w:r>
          </w:p>
        </w:tc>
        <w:tc>
          <w:tcPr>
            <w:tcW w:w="38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8.361 </w:t>
            </w:r>
          </w:p>
        </w:tc>
        <w:tc>
          <w:tcPr>
            <w:tcW w:w="418"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5.158 </w:t>
            </w:r>
          </w:p>
        </w:tc>
        <w:tc>
          <w:tcPr>
            <w:tcW w:w="34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10 </w:t>
            </w:r>
          </w:p>
        </w:tc>
        <w:tc>
          <w:tcPr>
            <w:tcW w:w="425"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45.907 </w:t>
            </w:r>
          </w:p>
        </w:tc>
        <w:tc>
          <w:tcPr>
            <w:tcW w:w="416" w:type="pct"/>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xml:space="preserve">     109.153 </w:t>
            </w:r>
          </w:p>
        </w:tc>
      </w:tr>
      <w:tr w:rsidR="00490FAC" w:rsidRPr="00316249" w:rsidTr="007F7D85">
        <w:trPr>
          <w:trHeight w:val="240"/>
        </w:trPr>
        <w:tc>
          <w:tcPr>
            <w:tcW w:w="1174" w:type="pct"/>
            <w:shd w:val="clear" w:color="auto" w:fill="auto"/>
            <w:vAlign w:val="center"/>
            <w:hideMark/>
          </w:tcPr>
          <w:p w:rsidR="00E9008A" w:rsidRPr="00316249" w:rsidRDefault="00E9008A" w:rsidP="005B7D01">
            <w:pPr>
              <w:rPr>
                <w:b/>
                <w:bCs/>
                <w:color w:val="000000"/>
                <w:sz w:val="13"/>
                <w:szCs w:val="13"/>
              </w:rPr>
            </w:pPr>
            <w:r w:rsidRPr="00316249">
              <w:rPr>
                <w:b/>
                <w:bCs/>
                <w:color w:val="000000"/>
                <w:sz w:val="13"/>
                <w:szCs w:val="13"/>
              </w:rPr>
              <w:t>Taxas Anuais de Depreciação</w:t>
            </w:r>
          </w:p>
        </w:tc>
        <w:tc>
          <w:tcPr>
            <w:tcW w:w="352" w:type="pct"/>
            <w:shd w:val="clear" w:color="000000" w:fill="D9D9D9"/>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 </w:t>
            </w:r>
          </w:p>
        </w:tc>
        <w:tc>
          <w:tcPr>
            <w:tcW w:w="501" w:type="pct"/>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2,0% a 7,7% </w:t>
            </w:r>
          </w:p>
        </w:tc>
        <w:tc>
          <w:tcPr>
            <w:tcW w:w="484" w:type="pct"/>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  2,0% a 4,0%  </w:t>
            </w:r>
          </w:p>
        </w:tc>
        <w:tc>
          <w:tcPr>
            <w:tcW w:w="498" w:type="pct"/>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 xml:space="preserve">  3,3% a 6,7%  </w:t>
            </w:r>
          </w:p>
        </w:tc>
        <w:tc>
          <w:tcPr>
            <w:tcW w:w="386" w:type="pct"/>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20%</w:t>
            </w:r>
          </w:p>
        </w:tc>
        <w:tc>
          <w:tcPr>
            <w:tcW w:w="418" w:type="pct"/>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10%</w:t>
            </w:r>
          </w:p>
        </w:tc>
        <w:tc>
          <w:tcPr>
            <w:tcW w:w="1187" w:type="pct"/>
            <w:gridSpan w:val="3"/>
            <w:shd w:val="clear" w:color="000000" w:fill="D9D9D9"/>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 </w:t>
            </w:r>
          </w:p>
        </w:tc>
      </w:tr>
    </w:tbl>
    <w:p w:rsidR="00E9008A" w:rsidRPr="00316249" w:rsidRDefault="00E9008A" w:rsidP="00E9008A">
      <w:pPr>
        <w:spacing w:before="240" w:after="240"/>
        <w:jc w:val="both"/>
        <w:rPr>
          <w:bCs/>
          <w:snapToGrid w:val="0"/>
          <w:sz w:val="22"/>
          <w:szCs w:val="22"/>
        </w:rPr>
      </w:pPr>
      <w:r w:rsidRPr="00316249">
        <w:rPr>
          <w:bCs/>
          <w:snapToGrid w:val="0"/>
          <w:sz w:val="22"/>
          <w:szCs w:val="22"/>
        </w:rPr>
        <w:t>Não houve indícios de perdas ao valor recuperável desses ativos na data das demonstrações financeiras.</w:t>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Valores Oferecidos em Garantias</w:t>
      </w:r>
    </w:p>
    <w:p w:rsidR="00E9008A" w:rsidRDefault="00E9008A" w:rsidP="00E9008A">
      <w:pPr>
        <w:spacing w:before="240" w:after="240"/>
        <w:jc w:val="both"/>
        <w:rPr>
          <w:sz w:val="22"/>
          <w:szCs w:val="22"/>
        </w:rPr>
      </w:pPr>
      <w:r w:rsidRPr="00316249">
        <w:rPr>
          <w:bCs/>
          <w:snapToGrid w:val="0"/>
          <w:sz w:val="22"/>
          <w:szCs w:val="22"/>
        </w:rPr>
        <w:t xml:space="preserve">A Companhia ofereceu os terrenos localizados no Setor Norte, A-E 1N, Lotes G e H – </w:t>
      </w:r>
      <w:proofErr w:type="spellStart"/>
      <w:r w:rsidRPr="00316249">
        <w:rPr>
          <w:bCs/>
          <w:snapToGrid w:val="0"/>
          <w:sz w:val="22"/>
          <w:szCs w:val="22"/>
        </w:rPr>
        <w:t>Brazlândia</w:t>
      </w:r>
      <w:proofErr w:type="spellEnd"/>
      <w:r w:rsidRPr="00316249">
        <w:rPr>
          <w:bCs/>
          <w:snapToGrid w:val="0"/>
          <w:sz w:val="22"/>
          <w:szCs w:val="22"/>
        </w:rPr>
        <w:t>-DF,</w:t>
      </w:r>
      <w:r w:rsidRPr="00316249">
        <w:rPr>
          <w:sz w:val="22"/>
          <w:szCs w:val="22"/>
        </w:rPr>
        <w:t xml:space="preserve"> em garantia de litígios fiscais junto à Receita Federal de Brasil. Os terrenos estão avaliados conforme laudo pelo valor total de R$ 2.215.</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INTANGÍVEL</w:t>
      </w:r>
    </w:p>
    <w:tbl>
      <w:tblPr>
        <w:tblW w:w="5000" w:type="pct"/>
        <w:tblCellMar>
          <w:left w:w="70" w:type="dxa"/>
          <w:right w:w="70" w:type="dxa"/>
        </w:tblCellMar>
        <w:tblLook w:val="04A0" w:firstRow="1" w:lastRow="0" w:firstColumn="1" w:lastColumn="0" w:noHBand="0" w:noVBand="1"/>
      </w:tblPr>
      <w:tblGrid>
        <w:gridCol w:w="6669"/>
        <w:gridCol w:w="2542"/>
      </w:tblGrid>
      <w:tr w:rsidR="00E9008A" w:rsidRPr="00316249" w:rsidTr="005B7D01">
        <w:trPr>
          <w:trHeight w:val="38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jc w:val="center"/>
              <w:rPr>
                <w:color w:val="000000"/>
                <w:sz w:val="16"/>
                <w:szCs w:val="16"/>
              </w:rPr>
            </w:pPr>
            <w:r w:rsidRPr="00316249">
              <w:rPr>
                <w:color w:val="000000"/>
                <w:sz w:val="16"/>
                <w:szCs w:val="16"/>
              </w:rPr>
              <w:t> </w:t>
            </w:r>
          </w:p>
        </w:tc>
        <w:tc>
          <w:tcPr>
            <w:tcW w:w="1380"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6"/>
                <w:szCs w:val="16"/>
              </w:rPr>
            </w:pPr>
            <w:r w:rsidRPr="00316249">
              <w:rPr>
                <w:b/>
                <w:bCs/>
                <w:color w:val="000000"/>
                <w:sz w:val="16"/>
                <w:szCs w:val="16"/>
              </w:rPr>
              <w:t xml:space="preserve">Direito de Uso de </w:t>
            </w:r>
            <w:r w:rsidRPr="00316249">
              <w:rPr>
                <w:b/>
                <w:bCs/>
                <w:i/>
                <w:color w:val="000000"/>
                <w:sz w:val="16"/>
                <w:szCs w:val="16"/>
              </w:rPr>
              <w:t>Software</w:t>
            </w:r>
            <w:r w:rsidRPr="00316249">
              <w:rPr>
                <w:b/>
                <w:bCs/>
                <w:color w:val="000000"/>
                <w:sz w:val="16"/>
                <w:szCs w:val="16"/>
              </w:rPr>
              <w:t xml:space="preserve"> </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Custo do Intangível</w:t>
            </w:r>
          </w:p>
        </w:tc>
        <w:tc>
          <w:tcPr>
            <w:tcW w:w="138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 </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2015</w:t>
            </w:r>
          </w:p>
        </w:tc>
        <w:tc>
          <w:tcPr>
            <w:tcW w:w="138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83 </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2016</w:t>
            </w:r>
          </w:p>
        </w:tc>
        <w:tc>
          <w:tcPr>
            <w:tcW w:w="138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83 </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 </w:t>
            </w:r>
          </w:p>
        </w:tc>
        <w:tc>
          <w:tcPr>
            <w:tcW w:w="138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Amortização Acumulada</w:t>
            </w:r>
          </w:p>
        </w:tc>
        <w:tc>
          <w:tcPr>
            <w:tcW w:w="138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lastRenderedPageBreak/>
              <w:t>Saldo em 31 de dezembro de 2015</w:t>
            </w:r>
          </w:p>
        </w:tc>
        <w:tc>
          <w:tcPr>
            <w:tcW w:w="138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(21)</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Amortizações</w:t>
            </w:r>
          </w:p>
        </w:tc>
        <w:tc>
          <w:tcPr>
            <w:tcW w:w="138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(16)</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Saldo em 31 de dezembro de 2016</w:t>
            </w:r>
          </w:p>
        </w:tc>
        <w:tc>
          <w:tcPr>
            <w:tcW w:w="138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(37)</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Intangível Líquido – 31/12/2016</w:t>
            </w:r>
          </w:p>
        </w:tc>
        <w:tc>
          <w:tcPr>
            <w:tcW w:w="138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46                     </w:t>
            </w:r>
          </w:p>
        </w:tc>
      </w:tr>
      <w:tr w:rsidR="00E9008A" w:rsidRPr="00316249" w:rsidTr="005B7D01">
        <w:trPr>
          <w:trHeight w:val="238"/>
        </w:trPr>
        <w:tc>
          <w:tcPr>
            <w:tcW w:w="362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Intangível Líquido – 31/12/2015</w:t>
            </w:r>
          </w:p>
        </w:tc>
        <w:tc>
          <w:tcPr>
            <w:tcW w:w="138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62 </w:t>
            </w:r>
          </w:p>
        </w:tc>
      </w:tr>
    </w:tbl>
    <w:p w:rsidR="00E9008A" w:rsidRDefault="00E9008A" w:rsidP="00E9008A">
      <w:pPr>
        <w:rPr>
          <w:b/>
          <w:bCs/>
          <w:sz w:val="22"/>
          <w:szCs w:val="22"/>
        </w:rPr>
      </w:pPr>
    </w:p>
    <w:p w:rsidR="00E9008A" w:rsidRDefault="00E9008A" w:rsidP="00E9008A">
      <w:r>
        <w:br w:type="page"/>
      </w:r>
    </w:p>
    <w:p w:rsidR="00E9008A" w:rsidRPr="00316249" w:rsidRDefault="00E9008A" w:rsidP="00E9008A">
      <w:pPr>
        <w:rPr>
          <w:b/>
          <w:bCs/>
          <w:sz w:val="22"/>
          <w:szCs w:val="22"/>
        </w:rPr>
      </w:pPr>
    </w:p>
    <w:tbl>
      <w:tblPr>
        <w:tblW w:w="5000" w:type="pct"/>
        <w:tblCellMar>
          <w:left w:w="70" w:type="dxa"/>
          <w:right w:w="70" w:type="dxa"/>
        </w:tblCellMar>
        <w:tblLook w:val="04A0" w:firstRow="1" w:lastRow="0" w:firstColumn="1" w:lastColumn="0" w:noHBand="0" w:noVBand="1"/>
      </w:tblPr>
      <w:tblGrid>
        <w:gridCol w:w="2676"/>
        <w:gridCol w:w="1131"/>
        <w:gridCol w:w="1105"/>
        <w:gridCol w:w="1168"/>
        <w:gridCol w:w="1072"/>
        <w:gridCol w:w="1059"/>
        <w:gridCol w:w="1000"/>
      </w:tblGrid>
      <w:tr w:rsidR="00E9008A" w:rsidRPr="00316249" w:rsidTr="005B7D01">
        <w:trPr>
          <w:trHeight w:val="238"/>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Consolidado</w:t>
            </w:r>
          </w:p>
        </w:tc>
      </w:tr>
      <w:tr w:rsidR="00E9008A" w:rsidRPr="00316249" w:rsidTr="005B7D01">
        <w:trPr>
          <w:trHeight w:val="238"/>
          <w:tblHeader/>
        </w:trPr>
        <w:tc>
          <w:tcPr>
            <w:tcW w:w="1452" w:type="pct"/>
            <w:vMerge w:val="restar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jc w:val="center"/>
              <w:rPr>
                <w:color w:val="000000"/>
                <w:sz w:val="14"/>
                <w:szCs w:val="14"/>
              </w:rPr>
            </w:pPr>
            <w:r w:rsidRPr="00316249">
              <w:rPr>
                <w:color w:val="000000"/>
                <w:sz w:val="14"/>
                <w:szCs w:val="14"/>
              </w:rPr>
              <w:t> </w:t>
            </w:r>
          </w:p>
        </w:tc>
        <w:tc>
          <w:tcPr>
            <w:tcW w:w="1214"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Direito de Uso da Concessão</w:t>
            </w:r>
          </w:p>
        </w:tc>
        <w:tc>
          <w:tcPr>
            <w:tcW w:w="121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Outros Intangíveis</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43" w:type="pct"/>
            <w:vMerge w:val="restar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Total</w:t>
            </w:r>
          </w:p>
        </w:tc>
      </w:tr>
      <w:tr w:rsidR="00E9008A" w:rsidRPr="00316249" w:rsidTr="005B7D01">
        <w:trPr>
          <w:trHeight w:val="238"/>
          <w:tblHeader/>
        </w:trPr>
        <w:tc>
          <w:tcPr>
            <w:tcW w:w="1452"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4"/>
                <w:szCs w:val="14"/>
              </w:rPr>
            </w:pPr>
          </w:p>
        </w:tc>
        <w:tc>
          <w:tcPr>
            <w:tcW w:w="614"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Em Serviço</w:t>
            </w:r>
          </w:p>
        </w:tc>
        <w:tc>
          <w:tcPr>
            <w:tcW w:w="600"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Em Curso</w:t>
            </w:r>
          </w:p>
        </w:tc>
        <w:tc>
          <w:tcPr>
            <w:tcW w:w="634"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Em Serviço</w:t>
            </w:r>
          </w:p>
        </w:tc>
        <w:tc>
          <w:tcPr>
            <w:tcW w:w="582"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4"/>
                <w:szCs w:val="14"/>
              </w:rPr>
            </w:pPr>
            <w:r w:rsidRPr="00316249">
              <w:rPr>
                <w:b/>
                <w:bCs/>
                <w:color w:val="000000"/>
                <w:sz w:val="14"/>
                <w:szCs w:val="14"/>
              </w:rPr>
              <w:t>Em Curso</w:t>
            </w:r>
          </w:p>
        </w:tc>
        <w:tc>
          <w:tcPr>
            <w:tcW w:w="575"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4"/>
                <w:szCs w:val="14"/>
              </w:rPr>
            </w:pPr>
            <w:r w:rsidRPr="00316249">
              <w:rPr>
                <w:b/>
                <w:bCs/>
                <w:color w:val="000000"/>
                <w:sz w:val="14"/>
                <w:szCs w:val="14"/>
              </w:rPr>
              <w:t>Direito de Exploração da Concessão</w:t>
            </w:r>
          </w:p>
        </w:tc>
        <w:tc>
          <w:tcPr>
            <w:tcW w:w="543" w:type="pct"/>
            <w:vMerge/>
            <w:tcBorders>
              <w:top w:val="nil"/>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4"/>
                <w:szCs w:val="14"/>
              </w:rPr>
            </w:pP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Custo do Intangível</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xml:space="preserve">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Saldo em 31 de dezembro de 2014</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261.028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5.746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53.435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xml:space="preserve">           17.440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158.946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496.595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Adições</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120.340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105.662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9.680</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235.682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Baixas</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(16)</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(106.078)</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(106.094)</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r w:rsidRPr="00316249">
              <w:rPr>
                <w:color w:val="000000"/>
                <w:sz w:val="14"/>
                <w:szCs w:val="14"/>
              </w:rPr>
              <w:t>Transferências</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806.869 </w:t>
            </w:r>
          </w:p>
        </w:tc>
        <w:tc>
          <w:tcPr>
            <w:tcW w:w="6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       (2.835)</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              6.716 </w:t>
            </w:r>
          </w:p>
        </w:tc>
        <w:tc>
          <w:tcPr>
            <w:tcW w:w="58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       (6.499)</w:t>
            </w:r>
          </w:p>
        </w:tc>
        <w:tc>
          <w:tcPr>
            <w:tcW w:w="57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804.251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Obrigações Especiais</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(16.687)</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(16.687)</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Saldo em 31 de dezembro de 2015</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1.171.534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2.495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60.151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20.621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158.946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1.413.747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Adições</w:t>
            </w:r>
          </w:p>
        </w:tc>
        <w:tc>
          <w:tcPr>
            <w:tcW w:w="614" w:type="pct"/>
            <w:tcBorders>
              <w:top w:val="single" w:sz="4" w:space="0" w:color="auto"/>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1..224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             53.889 </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                    55 </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             19.846 </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sz w:val="14"/>
                <w:szCs w:val="14"/>
              </w:rPr>
            </w:pPr>
          </w:p>
        </w:tc>
        <w:tc>
          <w:tcPr>
            <w:tcW w:w="543" w:type="pct"/>
            <w:tcBorders>
              <w:top w:val="single" w:sz="4" w:space="0" w:color="auto"/>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75.014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Transferências</w:t>
            </w:r>
          </w:p>
        </w:tc>
        <w:tc>
          <w:tcPr>
            <w:tcW w:w="614" w:type="pct"/>
            <w:tcBorders>
              <w:top w:val="single" w:sz="4" w:space="0" w:color="auto"/>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30..325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(34.452) </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 40.466 </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(40.466) </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sz w:val="14"/>
                <w:szCs w:val="14"/>
              </w:rPr>
            </w:pPr>
          </w:p>
        </w:tc>
        <w:tc>
          <w:tcPr>
            <w:tcW w:w="543" w:type="pct"/>
            <w:tcBorders>
              <w:top w:val="single" w:sz="4" w:space="0" w:color="auto"/>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4"/>
                <w:szCs w:val="14"/>
              </w:rPr>
            </w:pPr>
            <w:r w:rsidRPr="00747E73">
              <w:rPr>
                <w:sz w:val="14"/>
                <w:szCs w:val="14"/>
              </w:rPr>
              <w:t xml:space="preserve">(4.127)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Baixas</w:t>
            </w:r>
          </w:p>
        </w:tc>
        <w:tc>
          <w:tcPr>
            <w:tcW w:w="614" w:type="pct"/>
            <w:tcBorders>
              <w:top w:val="single" w:sz="4" w:space="0" w:color="auto"/>
              <w:left w:val="nil"/>
              <w:bottom w:val="single" w:sz="4" w:space="0" w:color="auto"/>
              <w:right w:val="single" w:sz="4" w:space="0" w:color="auto"/>
            </w:tcBorders>
            <w:shd w:val="clear" w:color="auto" w:fill="auto"/>
            <w:noWrap/>
            <w:vAlign w:val="center"/>
          </w:tcPr>
          <w:p w:rsidR="00E9008A" w:rsidRPr="00E34EBB" w:rsidRDefault="00E9008A" w:rsidP="005B7D01">
            <w:pPr>
              <w:jc w:val="right"/>
              <w:rPr>
                <w:sz w:val="14"/>
                <w:szCs w:val="14"/>
              </w:rPr>
            </w:pPr>
            <w:r w:rsidRPr="00E34EBB">
              <w:rPr>
                <w:sz w:val="14"/>
                <w:szCs w:val="14"/>
              </w:rPr>
              <w:t xml:space="preserve">(2.307)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r w:rsidRPr="00316249">
              <w:rPr>
                <w:sz w:val="14"/>
                <w:szCs w:val="14"/>
              </w:rPr>
              <w:t xml:space="preserve">   </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r w:rsidRPr="00316249">
              <w:rPr>
                <w:sz w:val="14"/>
                <w:szCs w:val="14"/>
              </w:rPr>
              <w:t xml:space="preserve">             </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sz w:val="14"/>
                <w:szCs w:val="14"/>
              </w:rPr>
            </w:pPr>
          </w:p>
        </w:tc>
        <w:tc>
          <w:tcPr>
            <w:tcW w:w="5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r w:rsidRPr="00316249">
              <w:rPr>
                <w:sz w:val="14"/>
                <w:szCs w:val="14"/>
              </w:rPr>
              <w:t xml:space="preserve">(2.307)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Obrigações Especiais</w:t>
            </w:r>
          </w:p>
        </w:tc>
        <w:tc>
          <w:tcPr>
            <w:tcW w:w="614"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r w:rsidRPr="00316249">
              <w:rPr>
                <w:sz w:val="14"/>
                <w:szCs w:val="14"/>
              </w:rPr>
              <w:t>(172.822)</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r w:rsidRPr="00316249">
              <w:rPr>
                <w:sz w:val="14"/>
                <w:szCs w:val="14"/>
              </w:rPr>
              <w:t xml:space="preserve">           110.358 </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sz w:val="14"/>
                <w:szCs w:val="14"/>
              </w:rPr>
            </w:pPr>
          </w:p>
        </w:tc>
        <w:tc>
          <w:tcPr>
            <w:tcW w:w="5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4"/>
                <w:szCs w:val="14"/>
              </w:rPr>
            </w:pPr>
            <w:r w:rsidRPr="00316249">
              <w:rPr>
                <w:sz w:val="14"/>
                <w:szCs w:val="14"/>
              </w:rPr>
              <w:t>(62.464)</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Saldo em 31 de dezembro de 2016</w:t>
            </w:r>
          </w:p>
        </w:tc>
        <w:tc>
          <w:tcPr>
            <w:tcW w:w="614"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4"/>
                <w:szCs w:val="14"/>
              </w:rPr>
            </w:pPr>
            <w:r w:rsidRPr="00316249">
              <w:rPr>
                <w:b/>
                <w:bCs/>
                <w:sz w:val="14"/>
                <w:szCs w:val="14"/>
              </w:rPr>
              <w:t xml:space="preserve">1.027.954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4"/>
                <w:szCs w:val="14"/>
              </w:rPr>
            </w:pPr>
            <w:r w:rsidRPr="00316249">
              <w:rPr>
                <w:b/>
                <w:bCs/>
                <w:sz w:val="14"/>
                <w:szCs w:val="14"/>
              </w:rPr>
              <w:t xml:space="preserve">132.290 </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4"/>
                <w:szCs w:val="14"/>
              </w:rPr>
            </w:pPr>
            <w:r w:rsidRPr="00316249">
              <w:rPr>
                <w:b/>
                <w:bCs/>
                <w:sz w:val="14"/>
                <w:szCs w:val="14"/>
              </w:rPr>
              <w:t xml:space="preserve">100.673 </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4"/>
                <w:szCs w:val="14"/>
              </w:rPr>
            </w:pPr>
            <w:r w:rsidRPr="00316249">
              <w:rPr>
                <w:b/>
                <w:bCs/>
                <w:sz w:val="14"/>
                <w:szCs w:val="14"/>
              </w:rPr>
              <w:t xml:space="preserve">   </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4"/>
                <w:szCs w:val="14"/>
              </w:rPr>
            </w:pPr>
            <w:r w:rsidRPr="00316249">
              <w:rPr>
                <w:b/>
                <w:bCs/>
                <w:sz w:val="14"/>
                <w:szCs w:val="14"/>
              </w:rPr>
              <w:t xml:space="preserve">158.946 </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4"/>
                <w:szCs w:val="14"/>
              </w:rPr>
            </w:pPr>
            <w:r w:rsidRPr="00316249">
              <w:rPr>
                <w:b/>
                <w:bCs/>
                <w:sz w:val="14"/>
                <w:szCs w:val="14"/>
              </w:rPr>
              <w:t xml:space="preserve">1.419.863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Amortização Acumulada</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Saldo em 31 de dezembro de 2014</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(237.881)</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(48.011)</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(52.982)</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(338.874)</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r w:rsidRPr="00316249">
              <w:rPr>
                <w:color w:val="000000"/>
                <w:sz w:val="14"/>
                <w:szCs w:val="14"/>
              </w:rPr>
              <w:t>Amortizações</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     (36.002)</w:t>
            </w:r>
          </w:p>
        </w:tc>
        <w:tc>
          <w:tcPr>
            <w:tcW w:w="6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r w:rsidRPr="00316249">
              <w:rPr>
                <w:color w:val="000000"/>
                <w:sz w:val="14"/>
                <w:szCs w:val="14"/>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             (4.353)</w:t>
            </w:r>
          </w:p>
        </w:tc>
        <w:tc>
          <w:tcPr>
            <w:tcW w:w="58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r w:rsidRPr="00316249">
              <w:rPr>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          (5.887)</w:t>
            </w:r>
          </w:p>
        </w:tc>
        <w:tc>
          <w:tcPr>
            <w:tcW w:w="5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 xml:space="preserve">     (46.242)</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Transferências</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(217)</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4"/>
                <w:szCs w:val="14"/>
              </w:rPr>
            </w:pPr>
            <w:r w:rsidRPr="00316249">
              <w:rPr>
                <w:color w:val="000000"/>
                <w:sz w:val="14"/>
                <w:szCs w:val="14"/>
              </w:rPr>
              <w:t xml:space="preserve">          (217)</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Saldo em 31 de dezembro de 2015</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(273.883)</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(52.581)</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(58.869)</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(385.333)</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Amortizações</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(43.016)</w:t>
            </w:r>
          </w:p>
        </w:tc>
        <w:tc>
          <w:tcPr>
            <w:tcW w:w="6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(2.670)</w:t>
            </w:r>
          </w:p>
        </w:tc>
        <w:tc>
          <w:tcPr>
            <w:tcW w:w="58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c>
          <w:tcPr>
            <w:tcW w:w="57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(5.888)</w:t>
            </w:r>
          </w:p>
        </w:tc>
        <w:tc>
          <w:tcPr>
            <w:tcW w:w="5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r w:rsidRPr="00316249">
              <w:rPr>
                <w:color w:val="000000"/>
                <w:sz w:val="14"/>
                <w:szCs w:val="14"/>
              </w:rPr>
              <w:t>(51.574)</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4"/>
                <w:szCs w:val="14"/>
              </w:rPr>
            </w:pPr>
            <w:r w:rsidRPr="00316249">
              <w:rPr>
                <w:color w:val="000000"/>
                <w:sz w:val="14"/>
                <w:szCs w:val="14"/>
              </w:rPr>
              <w:t>Transferências</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6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58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14"/>
                <w:szCs w:val="14"/>
              </w:rPr>
            </w:pPr>
          </w:p>
        </w:tc>
        <w:tc>
          <w:tcPr>
            <w:tcW w:w="57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c>
          <w:tcPr>
            <w:tcW w:w="5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4"/>
                <w:szCs w:val="14"/>
              </w:rPr>
            </w:pP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Saldo em 31 de dezembro de 2016</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(316.899)</w:t>
            </w:r>
          </w:p>
        </w:tc>
        <w:tc>
          <w:tcPr>
            <w:tcW w:w="6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(55.251)</w:t>
            </w:r>
          </w:p>
        </w:tc>
        <w:tc>
          <w:tcPr>
            <w:tcW w:w="58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p>
        </w:tc>
        <w:tc>
          <w:tcPr>
            <w:tcW w:w="57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(64.757)</w:t>
            </w:r>
          </w:p>
        </w:tc>
        <w:tc>
          <w:tcPr>
            <w:tcW w:w="5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(436.907)</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Intangível Líquido – 31/12/2016</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711.055</w:t>
            </w:r>
          </w:p>
        </w:tc>
        <w:tc>
          <w:tcPr>
            <w:tcW w:w="6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132.290</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45.422</w:t>
            </w:r>
          </w:p>
        </w:tc>
        <w:tc>
          <w:tcPr>
            <w:tcW w:w="58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p>
        </w:tc>
        <w:tc>
          <w:tcPr>
            <w:tcW w:w="57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94.189</w:t>
            </w:r>
          </w:p>
        </w:tc>
        <w:tc>
          <w:tcPr>
            <w:tcW w:w="5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4"/>
                <w:szCs w:val="14"/>
              </w:rPr>
            </w:pPr>
            <w:r w:rsidRPr="00316249">
              <w:rPr>
                <w:b/>
                <w:bCs/>
                <w:color w:val="000000"/>
                <w:sz w:val="14"/>
                <w:szCs w:val="14"/>
              </w:rPr>
              <w:t>982.956</w:t>
            </w:r>
          </w:p>
        </w:tc>
      </w:tr>
      <w:tr w:rsidR="00E9008A" w:rsidRPr="00316249" w:rsidTr="005B7D01">
        <w:trPr>
          <w:trHeight w:val="238"/>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4"/>
                <w:szCs w:val="14"/>
              </w:rPr>
            </w:pPr>
            <w:r w:rsidRPr="00316249">
              <w:rPr>
                <w:b/>
                <w:bCs/>
                <w:color w:val="000000"/>
                <w:sz w:val="14"/>
                <w:szCs w:val="14"/>
              </w:rPr>
              <w:t xml:space="preserve">Intangível Líquido – 31/12/2015 </w:t>
            </w:r>
          </w:p>
          <w:p w:rsidR="00E9008A" w:rsidRPr="00316249" w:rsidRDefault="00E9008A" w:rsidP="005B7D01">
            <w:pPr>
              <w:rPr>
                <w:b/>
                <w:bCs/>
                <w:color w:val="000000"/>
                <w:sz w:val="14"/>
                <w:szCs w:val="14"/>
              </w:rPr>
            </w:pPr>
            <w:r w:rsidRPr="00316249">
              <w:rPr>
                <w:b/>
                <w:bCs/>
                <w:color w:val="000000"/>
                <w:sz w:val="14"/>
                <w:szCs w:val="14"/>
              </w:rPr>
              <w:t>(Reapresentado)</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897.651 </w:t>
            </w:r>
          </w:p>
        </w:tc>
        <w:tc>
          <w:tcPr>
            <w:tcW w:w="6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2.775 </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7.570 </w:t>
            </w:r>
          </w:p>
        </w:tc>
        <w:tc>
          <w:tcPr>
            <w:tcW w:w="58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20.621 </w:t>
            </w:r>
          </w:p>
        </w:tc>
        <w:tc>
          <w:tcPr>
            <w:tcW w:w="57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        100.077 </w:t>
            </w:r>
          </w:p>
        </w:tc>
        <w:tc>
          <w:tcPr>
            <w:tcW w:w="5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4"/>
                <w:szCs w:val="14"/>
              </w:rPr>
            </w:pPr>
            <w:r w:rsidRPr="00316249">
              <w:rPr>
                <w:b/>
                <w:bCs/>
                <w:color w:val="000000"/>
                <w:sz w:val="14"/>
                <w:szCs w:val="14"/>
              </w:rPr>
              <w:t xml:space="preserve">1.028.414  </w:t>
            </w:r>
          </w:p>
        </w:tc>
      </w:tr>
    </w:tbl>
    <w:p w:rsidR="00E9008A" w:rsidRPr="00316249" w:rsidRDefault="00E9008A" w:rsidP="00E9008A">
      <w:pPr>
        <w:spacing w:before="240" w:after="240"/>
        <w:jc w:val="both"/>
        <w:rPr>
          <w:bCs/>
          <w:snapToGrid w:val="0"/>
          <w:sz w:val="22"/>
          <w:szCs w:val="22"/>
        </w:rPr>
      </w:pPr>
      <w:r w:rsidRPr="00316249">
        <w:rPr>
          <w:bCs/>
          <w:snapToGrid w:val="0"/>
          <w:sz w:val="22"/>
          <w:szCs w:val="22"/>
        </w:rPr>
        <w:t>Não houve indícios de perdas no valor recuperável desses ativos até a data de emissão destas demonstrações financeiras.</w:t>
      </w:r>
    </w:p>
    <w:p w:rsidR="00E9008A" w:rsidRPr="00316249" w:rsidRDefault="00E9008A" w:rsidP="00E9008A">
      <w:pPr>
        <w:spacing w:before="240" w:after="240"/>
        <w:jc w:val="both"/>
        <w:rPr>
          <w:sz w:val="22"/>
          <w:szCs w:val="22"/>
        </w:rPr>
      </w:pPr>
      <w:r w:rsidRPr="00316249">
        <w:rPr>
          <w:sz w:val="22"/>
          <w:szCs w:val="22"/>
        </w:rPr>
        <w:t xml:space="preserve">A ANEEL é responsável por estabelecer a vida útil econômica estimada de cada bem integrante da infraestrutura de distribuição, para efeitos de determinação da tarifa, bem como para apuração do valor da indenização no vencimento da concessão. Essa estimativa é revisada periodicamente e aceita pelo mercado como adequada para efeitos contábeis e regulatórios. </w:t>
      </w:r>
    </w:p>
    <w:p w:rsidR="00E9008A" w:rsidRPr="00316249" w:rsidRDefault="00E9008A" w:rsidP="00E9008A">
      <w:pPr>
        <w:spacing w:before="240" w:after="240"/>
        <w:jc w:val="both"/>
        <w:rPr>
          <w:bCs/>
          <w:snapToGrid w:val="0"/>
          <w:sz w:val="22"/>
          <w:szCs w:val="22"/>
        </w:rPr>
      </w:pPr>
      <w:r w:rsidRPr="00316249">
        <w:rPr>
          <w:bCs/>
          <w:snapToGrid w:val="0"/>
          <w:sz w:val="22"/>
          <w:szCs w:val="22"/>
        </w:rPr>
        <w:t xml:space="preserve">A Administração entende que a amortização do direito de uso da concessão deve respeitar o retorno esperado de cada bem da infraestrutura da concessão, via tarifa. Assim sendo, o intangível é amortizado pelo prazo esperado desse retorno, limitado ao prazo de vencimento da concessão. </w:t>
      </w:r>
    </w:p>
    <w:p w:rsidR="00E9008A" w:rsidRPr="00316249" w:rsidRDefault="00E9008A" w:rsidP="00E9008A">
      <w:pPr>
        <w:spacing w:before="240" w:after="240"/>
        <w:jc w:val="both"/>
        <w:rPr>
          <w:bCs/>
          <w:snapToGrid w:val="0"/>
          <w:sz w:val="22"/>
          <w:szCs w:val="22"/>
        </w:rPr>
      </w:pPr>
      <w:r w:rsidRPr="00316249">
        <w:rPr>
          <w:bCs/>
          <w:snapToGrid w:val="0"/>
          <w:sz w:val="22"/>
          <w:szCs w:val="22"/>
        </w:rPr>
        <w:t xml:space="preserve">O valor contábil de cada bem que ultrapassa o prazo do vencimento da concessão está alocado como ativo financeiro – ativo indenizável (concessão). </w:t>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 xml:space="preserve">Direito de Exploração de Concessão de Geração </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A Controladora consolida a empresa CEB Lajeado S.A., detentora do direito de exploração de concessão da Usina </w:t>
      </w:r>
      <w:proofErr w:type="spellStart"/>
      <w:r w:rsidRPr="00316249">
        <w:rPr>
          <w:sz w:val="22"/>
          <w:szCs w:val="22"/>
        </w:rPr>
        <w:t>Luis</w:t>
      </w:r>
      <w:proofErr w:type="spellEnd"/>
      <w:r w:rsidRPr="00316249">
        <w:rPr>
          <w:sz w:val="22"/>
          <w:szCs w:val="22"/>
        </w:rPr>
        <w:t xml:space="preserve"> Eduardo Magalhães, que integra a operação de geração da </w:t>
      </w:r>
      <w:proofErr w:type="spellStart"/>
      <w:r w:rsidRPr="00316249">
        <w:rPr>
          <w:sz w:val="22"/>
          <w:szCs w:val="22"/>
        </w:rPr>
        <w:t>Investco</w:t>
      </w:r>
      <w:proofErr w:type="spellEnd"/>
      <w:r w:rsidRPr="00316249">
        <w:rPr>
          <w:sz w:val="22"/>
          <w:szCs w:val="22"/>
        </w:rPr>
        <w:t xml:space="preserve"> </w:t>
      </w:r>
      <w:proofErr w:type="gramStart"/>
      <w:r w:rsidRPr="00316249">
        <w:rPr>
          <w:sz w:val="22"/>
          <w:szCs w:val="22"/>
        </w:rPr>
        <w:t>S.A..</w:t>
      </w:r>
      <w:proofErr w:type="gramEnd"/>
      <w:r w:rsidRPr="00316249">
        <w:rPr>
          <w:sz w:val="22"/>
          <w:szCs w:val="22"/>
        </w:rPr>
        <w:t xml:space="preserve"> Esse direito se trata de uma operação de reestruturação societária que foi decorrente do contrato de venda e compra de ações entre a </w:t>
      </w:r>
      <w:proofErr w:type="spellStart"/>
      <w:r w:rsidRPr="00316249">
        <w:rPr>
          <w:sz w:val="22"/>
          <w:szCs w:val="22"/>
        </w:rPr>
        <w:t>Investco</w:t>
      </w:r>
      <w:proofErr w:type="spellEnd"/>
      <w:r w:rsidRPr="00316249">
        <w:rPr>
          <w:sz w:val="22"/>
          <w:szCs w:val="22"/>
        </w:rPr>
        <w:t xml:space="preserve"> S.A. e seus acionistas. Este Instrumento estabelece para a CEB Lajeado S.A. o valor de compra de 20% (conforme sua participação ordinária) das ações </w:t>
      </w:r>
      <w:r w:rsidRPr="00316249">
        <w:rPr>
          <w:sz w:val="22"/>
          <w:szCs w:val="22"/>
        </w:rPr>
        <w:lastRenderedPageBreak/>
        <w:t xml:space="preserve">preferenciais classe R, nominativas, sem valor nominal, de emissão da </w:t>
      </w:r>
      <w:proofErr w:type="spellStart"/>
      <w:r w:rsidRPr="00316249">
        <w:rPr>
          <w:sz w:val="22"/>
          <w:szCs w:val="22"/>
        </w:rPr>
        <w:t>Investco</w:t>
      </w:r>
      <w:proofErr w:type="spellEnd"/>
      <w:r w:rsidRPr="00316249">
        <w:rPr>
          <w:sz w:val="22"/>
          <w:szCs w:val="22"/>
        </w:rPr>
        <w:t xml:space="preserve"> S.A., totalizando 46.890.423 ações, por R$ 213.452, que também representa 20% da dívida da </w:t>
      </w:r>
      <w:proofErr w:type="spellStart"/>
      <w:r w:rsidRPr="00316249">
        <w:rPr>
          <w:sz w:val="22"/>
          <w:szCs w:val="22"/>
        </w:rPr>
        <w:t>Investco</w:t>
      </w:r>
      <w:proofErr w:type="spellEnd"/>
      <w:r w:rsidRPr="00316249">
        <w:rPr>
          <w:sz w:val="22"/>
          <w:szCs w:val="22"/>
        </w:rPr>
        <w:t xml:space="preserve"> S.A. com a Eletrobrás. Do total de R$ 213.452, R$ 54.506 representam o valor patrimonial das ações detidas na </w:t>
      </w:r>
      <w:proofErr w:type="spellStart"/>
      <w:r w:rsidRPr="00316249">
        <w:rPr>
          <w:sz w:val="22"/>
          <w:szCs w:val="22"/>
        </w:rPr>
        <w:t>Investco</w:t>
      </w:r>
      <w:proofErr w:type="spellEnd"/>
      <w:r w:rsidRPr="00316249">
        <w:rPr>
          <w:sz w:val="22"/>
          <w:szCs w:val="22"/>
        </w:rPr>
        <w:t xml:space="preserve"> S.A pela Eletrobrás em 30 de novembro de 2005, data da última correção da dívida.</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Com a efetivação do negócio, foi reconhecido um ágio no valor de R$ 158.946, que foi fundamentado como direito de exploração de concessão. Este direito de exploração de concessão será amortizado até o ano de 2032, que representa o fim da concessão, em conformidade com o disposto no art. 1, § 2º, alínea b da Instrução CVM nº 285, de 31 de julho de 1998. O total do ágio, R$ 158.946 mil, a ser amortizado por 27 anos (a partir de janeiro de 2006 até dezembro de 2032), resulta em R$ 5.887 mil de amortização ao ano. </w:t>
      </w:r>
    </w:p>
    <w:p w:rsidR="00E9008A" w:rsidRPr="00316249" w:rsidRDefault="00E9008A" w:rsidP="00E9008A">
      <w:pPr>
        <w:spacing w:before="240" w:after="240"/>
        <w:jc w:val="both"/>
        <w:rPr>
          <w:sz w:val="22"/>
          <w:szCs w:val="22"/>
        </w:rPr>
      </w:pPr>
      <w:r w:rsidRPr="00316249">
        <w:rPr>
          <w:sz w:val="22"/>
          <w:szCs w:val="22"/>
        </w:rPr>
        <w:t xml:space="preserve">Em dezembro de 2016, a controlada CEB Lajeado S.A. realizou o teste de perda por redução no valor recuperável do direito de exploração da concessão. A base para realização do teste de </w:t>
      </w:r>
      <w:proofErr w:type="spellStart"/>
      <w:r w:rsidRPr="00316249">
        <w:rPr>
          <w:sz w:val="22"/>
          <w:szCs w:val="22"/>
        </w:rPr>
        <w:t>recuperabilidade</w:t>
      </w:r>
      <w:proofErr w:type="spellEnd"/>
      <w:r w:rsidRPr="00316249">
        <w:rPr>
          <w:sz w:val="22"/>
          <w:szCs w:val="22"/>
        </w:rPr>
        <w:t xml:space="preserve"> foi o fluxo de caixa descontado, que resultou em um valor presente de fluxo de caixa </w:t>
      </w:r>
      <w:r w:rsidRPr="00DB74D7">
        <w:rPr>
          <w:sz w:val="22"/>
          <w:szCs w:val="22"/>
        </w:rPr>
        <w:t xml:space="preserve">descontado </w:t>
      </w:r>
      <w:r w:rsidRPr="00747E73">
        <w:rPr>
          <w:sz w:val="22"/>
          <w:szCs w:val="22"/>
        </w:rPr>
        <w:t>de R$ 386.539. Este montante, quando comparado com o valor contábil do investimento avaliado pelo método de equivalência patrimonial, acrescido do valor contábil do direito de exploração da concessão, no montante de R$ 297.320, não</w:t>
      </w:r>
      <w:r w:rsidRPr="00DB74D7">
        <w:rPr>
          <w:sz w:val="22"/>
          <w:szCs w:val="22"/>
        </w:rPr>
        <w:t xml:space="preserve"> apresentou indicação de perda por redução no valor recuperável. A taxa de desconto usada foi de 9,63%,</w:t>
      </w:r>
      <w:r w:rsidRPr="00316249">
        <w:rPr>
          <w:sz w:val="22"/>
          <w:szCs w:val="22"/>
        </w:rPr>
        <w:t xml:space="preserve"> e tal utilização deveu-se ao fato de a Empresa não possuir dívida bancária. O fluxo de caixa livre foi realizado sob a ótica do acionista e foi utilizado o custo de capital próprio real depois dos impostos. A mencionada taxa foi divulgada pela ANEEL nos Procedimentos de Regulação Tarifária – </w:t>
      </w:r>
      <w:proofErr w:type="spellStart"/>
      <w:r w:rsidRPr="00316249">
        <w:rPr>
          <w:sz w:val="22"/>
          <w:szCs w:val="22"/>
        </w:rPr>
        <w:t>Proret</w:t>
      </w:r>
      <w:proofErr w:type="spellEnd"/>
      <w:r w:rsidRPr="00316249">
        <w:rPr>
          <w:sz w:val="22"/>
          <w:szCs w:val="22"/>
        </w:rPr>
        <w:t xml:space="preserve">, </w:t>
      </w:r>
      <w:proofErr w:type="spellStart"/>
      <w:r w:rsidRPr="00316249">
        <w:rPr>
          <w:sz w:val="22"/>
          <w:szCs w:val="22"/>
        </w:rPr>
        <w:t>submódulo</w:t>
      </w:r>
      <w:proofErr w:type="spellEnd"/>
      <w:r w:rsidRPr="00316249">
        <w:rPr>
          <w:sz w:val="22"/>
          <w:szCs w:val="22"/>
        </w:rPr>
        <w:t xml:space="preserve"> 12.3 – Custo de Capital da Geração. O período contemplado para elaboração dos fluxos de caixa foi até o fim da concessão, ou seja, o ano de 2032.</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FORNECEDORES</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3"/>
        <w:gridCol w:w="1020"/>
        <w:gridCol w:w="1200"/>
        <w:gridCol w:w="1020"/>
        <w:gridCol w:w="1184"/>
      </w:tblGrid>
      <w:tr w:rsidR="00E9008A" w:rsidRPr="00316249" w:rsidTr="007F7D85">
        <w:trPr>
          <w:trHeight w:val="239"/>
          <w:tblHeader/>
        </w:trPr>
        <w:tc>
          <w:tcPr>
            <w:tcW w:w="5493" w:type="dxa"/>
            <w:vMerge w:val="restart"/>
            <w:shd w:val="clear" w:color="000000" w:fill="D9D9D9"/>
            <w:vAlign w:val="center"/>
            <w:hideMark/>
          </w:tcPr>
          <w:p w:rsidR="00E9008A" w:rsidRPr="00316249" w:rsidRDefault="00E9008A" w:rsidP="005B7D01">
            <w:pPr>
              <w:jc w:val="center"/>
              <w:rPr>
                <w:color w:val="000000"/>
                <w:sz w:val="18"/>
                <w:szCs w:val="18"/>
              </w:rPr>
            </w:pPr>
            <w:r w:rsidRPr="00316249">
              <w:rPr>
                <w:color w:val="000000"/>
                <w:sz w:val="18"/>
                <w:szCs w:val="18"/>
              </w:rPr>
              <w:t> </w:t>
            </w:r>
          </w:p>
        </w:tc>
        <w:tc>
          <w:tcPr>
            <w:tcW w:w="0" w:type="auto"/>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0" w:type="auto"/>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7F7D85">
        <w:trPr>
          <w:trHeight w:val="320"/>
          <w:tblHeader/>
        </w:trPr>
        <w:tc>
          <w:tcPr>
            <w:tcW w:w="5493" w:type="dxa"/>
            <w:vMerge/>
            <w:vAlign w:val="center"/>
            <w:hideMark/>
          </w:tcPr>
          <w:p w:rsidR="00E9008A" w:rsidRPr="00316249" w:rsidRDefault="00E9008A" w:rsidP="005B7D01">
            <w:pPr>
              <w:rPr>
                <w:color w:val="000000"/>
                <w:sz w:val="18"/>
                <w:szCs w:val="18"/>
              </w:rPr>
            </w:pPr>
          </w:p>
        </w:tc>
        <w:tc>
          <w:tcPr>
            <w:tcW w:w="0" w:type="auto"/>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0" w:type="auto"/>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0" w:type="auto"/>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0" w:type="auto"/>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7F7D85">
        <w:trPr>
          <w:trHeight w:val="239"/>
        </w:trPr>
        <w:tc>
          <w:tcPr>
            <w:tcW w:w="5493"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Suprimento de Energia Elétrica </w:t>
            </w:r>
          </w:p>
        </w:tc>
        <w:tc>
          <w:tcPr>
            <w:tcW w:w="0" w:type="auto"/>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0" w:type="auto"/>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156.303 </w:t>
            </w: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281.341 </w:t>
            </w:r>
          </w:p>
        </w:tc>
      </w:tr>
      <w:tr w:rsidR="00E9008A" w:rsidRPr="00316249" w:rsidTr="007F7D85">
        <w:trPr>
          <w:trHeight w:val="239"/>
        </w:trPr>
        <w:tc>
          <w:tcPr>
            <w:tcW w:w="5493"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Materiais e Serviços </w:t>
            </w:r>
          </w:p>
        </w:tc>
        <w:tc>
          <w:tcPr>
            <w:tcW w:w="0" w:type="auto"/>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3.251</w:t>
            </w: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2.213 </w:t>
            </w:r>
          </w:p>
        </w:tc>
        <w:tc>
          <w:tcPr>
            <w:tcW w:w="0" w:type="auto"/>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49.401 </w:t>
            </w: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56.547 </w:t>
            </w:r>
          </w:p>
        </w:tc>
      </w:tr>
      <w:tr w:rsidR="00E9008A" w:rsidRPr="00316249" w:rsidTr="007F7D85">
        <w:trPr>
          <w:trHeight w:val="239"/>
        </w:trPr>
        <w:tc>
          <w:tcPr>
            <w:tcW w:w="5493"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Encargos de Uso de Rede Elétrica</w:t>
            </w:r>
          </w:p>
        </w:tc>
        <w:tc>
          <w:tcPr>
            <w:tcW w:w="0" w:type="auto"/>
            <w:shd w:val="clear" w:color="auto" w:fill="auto"/>
            <w:noWrap/>
            <w:vAlign w:val="center"/>
          </w:tcPr>
          <w:p w:rsidR="00E9008A" w:rsidRPr="00316249" w:rsidRDefault="00E9008A" w:rsidP="005B7D01">
            <w:pPr>
              <w:jc w:val="right"/>
              <w:rPr>
                <w:color w:val="000000"/>
                <w:sz w:val="18"/>
                <w:szCs w:val="18"/>
              </w:rPr>
            </w:pP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0" w:type="auto"/>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13.304 </w:t>
            </w: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9.918 </w:t>
            </w:r>
          </w:p>
        </w:tc>
      </w:tr>
      <w:tr w:rsidR="00E9008A" w:rsidRPr="00316249" w:rsidTr="007F7D85">
        <w:trPr>
          <w:trHeight w:val="239"/>
        </w:trPr>
        <w:tc>
          <w:tcPr>
            <w:tcW w:w="5493" w:type="dxa"/>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Fornecedores de Gás</w:t>
            </w:r>
          </w:p>
        </w:tc>
        <w:tc>
          <w:tcPr>
            <w:tcW w:w="0" w:type="auto"/>
            <w:shd w:val="clear" w:color="auto" w:fill="auto"/>
            <w:noWrap/>
            <w:vAlign w:val="center"/>
          </w:tcPr>
          <w:p w:rsidR="00E9008A" w:rsidRPr="00316249" w:rsidRDefault="00E9008A" w:rsidP="005B7D01">
            <w:pPr>
              <w:jc w:val="right"/>
              <w:rPr>
                <w:color w:val="000000"/>
                <w:sz w:val="18"/>
                <w:szCs w:val="18"/>
              </w:rPr>
            </w:pP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0" w:type="auto"/>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187 </w:t>
            </w:r>
          </w:p>
        </w:tc>
        <w:tc>
          <w:tcPr>
            <w:tcW w:w="0" w:type="auto"/>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189 </w:t>
            </w:r>
          </w:p>
        </w:tc>
      </w:tr>
      <w:tr w:rsidR="00E9008A" w:rsidRPr="00316249" w:rsidTr="007F7D85">
        <w:trPr>
          <w:trHeight w:val="239"/>
        </w:trPr>
        <w:tc>
          <w:tcPr>
            <w:tcW w:w="5493" w:type="dxa"/>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0" w:type="auto"/>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3.251</w:t>
            </w:r>
          </w:p>
        </w:tc>
        <w:tc>
          <w:tcPr>
            <w:tcW w:w="0" w:type="auto"/>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2.213 </w:t>
            </w:r>
          </w:p>
        </w:tc>
        <w:tc>
          <w:tcPr>
            <w:tcW w:w="0" w:type="auto"/>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219.195 </w:t>
            </w:r>
          </w:p>
        </w:tc>
        <w:tc>
          <w:tcPr>
            <w:tcW w:w="0" w:type="auto"/>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347.995 </w:t>
            </w:r>
          </w:p>
        </w:tc>
      </w:tr>
      <w:tr w:rsidR="00E9008A" w:rsidRPr="00316249" w:rsidTr="007F7D85">
        <w:trPr>
          <w:trHeight w:val="239"/>
        </w:trPr>
        <w:tc>
          <w:tcPr>
            <w:tcW w:w="5493" w:type="dxa"/>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0" w:type="auto"/>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3.251</w:t>
            </w:r>
          </w:p>
        </w:tc>
        <w:tc>
          <w:tcPr>
            <w:tcW w:w="0" w:type="auto"/>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2.213 </w:t>
            </w:r>
          </w:p>
        </w:tc>
        <w:tc>
          <w:tcPr>
            <w:tcW w:w="0" w:type="auto"/>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219.195 </w:t>
            </w:r>
          </w:p>
        </w:tc>
        <w:tc>
          <w:tcPr>
            <w:tcW w:w="0" w:type="auto"/>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322.035 </w:t>
            </w:r>
          </w:p>
        </w:tc>
      </w:tr>
      <w:tr w:rsidR="00E9008A" w:rsidRPr="00316249" w:rsidTr="007F7D85">
        <w:trPr>
          <w:trHeight w:val="239"/>
        </w:trPr>
        <w:tc>
          <w:tcPr>
            <w:tcW w:w="5493" w:type="dxa"/>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0" w:type="auto"/>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w:t>
            </w:r>
          </w:p>
        </w:tc>
        <w:tc>
          <w:tcPr>
            <w:tcW w:w="0" w:type="auto"/>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0" w:type="auto"/>
            <w:shd w:val="clear" w:color="auto" w:fill="auto"/>
            <w:noWrap/>
            <w:vAlign w:val="center"/>
          </w:tcPr>
          <w:p w:rsidR="00E9008A" w:rsidRPr="00316249" w:rsidRDefault="00E9008A" w:rsidP="005B7D01">
            <w:pPr>
              <w:ind w:firstLineChars="300" w:firstLine="542"/>
              <w:jc w:val="right"/>
              <w:rPr>
                <w:b/>
                <w:bCs/>
                <w:color w:val="000000"/>
                <w:sz w:val="18"/>
                <w:szCs w:val="18"/>
              </w:rPr>
            </w:pPr>
          </w:p>
        </w:tc>
        <w:tc>
          <w:tcPr>
            <w:tcW w:w="0" w:type="auto"/>
            <w:shd w:val="clear" w:color="auto" w:fill="auto"/>
            <w:noWrap/>
            <w:vAlign w:val="center"/>
            <w:hideMark/>
          </w:tcPr>
          <w:p w:rsidR="00E9008A" w:rsidRPr="00316249" w:rsidRDefault="00E9008A" w:rsidP="005B7D01">
            <w:pPr>
              <w:ind w:left="480"/>
              <w:jc w:val="right"/>
              <w:rPr>
                <w:b/>
                <w:bCs/>
                <w:color w:val="000000"/>
                <w:sz w:val="18"/>
                <w:szCs w:val="18"/>
              </w:rPr>
            </w:pPr>
            <w:r w:rsidRPr="00316249">
              <w:rPr>
                <w:b/>
                <w:bCs/>
                <w:color w:val="000000"/>
                <w:sz w:val="18"/>
                <w:szCs w:val="18"/>
              </w:rPr>
              <w:t>25.960</w:t>
            </w:r>
          </w:p>
        </w:tc>
      </w:tr>
    </w:tbl>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 xml:space="preserve">Eventos Não Recorrentes Que Impactaram a Rubrica de Suprimento de Energia Elétrica: </w:t>
      </w:r>
    </w:p>
    <w:p w:rsidR="00E9008A" w:rsidRPr="008605E5" w:rsidRDefault="00E9008A" w:rsidP="00E9008A">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8605E5">
        <w:rPr>
          <w:b/>
        </w:rPr>
        <w:t>Parcelamento Itaipu Binacional</w:t>
      </w:r>
    </w:p>
    <w:p w:rsidR="00E9008A" w:rsidRPr="00316249" w:rsidRDefault="00E9008A" w:rsidP="00E9008A">
      <w:pPr>
        <w:pStyle w:val="Corpodetexto"/>
        <w:spacing w:before="240" w:after="240"/>
        <w:ind w:right="115"/>
        <w:rPr>
          <w:rFonts w:ascii="Times New Roman" w:hAnsi="Times New Roman" w:cs="Times New Roman"/>
          <w:b w:val="0"/>
          <w:sz w:val="22"/>
          <w:szCs w:val="22"/>
        </w:rPr>
      </w:pPr>
      <w:r w:rsidRPr="00316249">
        <w:rPr>
          <w:rFonts w:ascii="Times New Roman" w:hAnsi="Times New Roman" w:cs="Times New Roman"/>
          <w:b w:val="0"/>
          <w:sz w:val="22"/>
          <w:szCs w:val="22"/>
        </w:rPr>
        <w:t>Em junho de 2015, a CEB D possuía um passivo de USD 43.267, referente a faturas pendentes de pagamento da Energia do Repasse de Itaipu inadimplidas até a data de 28 de fevereiro de 2015. Após negociação com a Eletrobrás, em 15 de julho de 2015 foi efetuado o pagamento de USD 21.448, o correspondente a R$ 67.220.</w:t>
      </w:r>
    </w:p>
    <w:p w:rsidR="00E9008A" w:rsidRPr="00316249" w:rsidRDefault="00E9008A" w:rsidP="00E9008A">
      <w:pPr>
        <w:pStyle w:val="Corpodetexto"/>
        <w:spacing w:before="240" w:after="240"/>
        <w:ind w:right="115"/>
        <w:rPr>
          <w:rFonts w:ascii="Times New Roman" w:hAnsi="Times New Roman" w:cs="Times New Roman"/>
          <w:b w:val="0"/>
          <w:sz w:val="22"/>
          <w:szCs w:val="22"/>
        </w:rPr>
      </w:pPr>
      <w:r w:rsidRPr="00316249">
        <w:rPr>
          <w:rFonts w:ascii="Times New Roman" w:hAnsi="Times New Roman" w:cs="Times New Roman"/>
          <w:b w:val="0"/>
          <w:sz w:val="22"/>
          <w:szCs w:val="22"/>
        </w:rPr>
        <w:t xml:space="preserve">O saldo remanescente de USD 21.819 foi negociado em 24 parcelas mensais, iguais e sucessivas, com vencimento todo o dia 30 de cada mês, devendo o primeiro pagamento ser efetuado a partir da data de eficácia do contrato. Sobre o saldo devedor incidirão juros remuneratórios de 1% ao mês, calculados </w:t>
      </w:r>
      <w:r w:rsidRPr="00316249">
        <w:rPr>
          <w:rFonts w:ascii="Times New Roman" w:hAnsi="Times New Roman" w:cs="Times New Roman"/>
          <w:b w:val="0"/>
          <w:i/>
          <w:iCs/>
          <w:sz w:val="22"/>
          <w:szCs w:val="22"/>
        </w:rPr>
        <w:t>pro rata die</w:t>
      </w:r>
      <w:r w:rsidRPr="00316249">
        <w:rPr>
          <w:rFonts w:ascii="Times New Roman" w:hAnsi="Times New Roman" w:cs="Times New Roman"/>
          <w:b w:val="0"/>
          <w:sz w:val="22"/>
          <w:szCs w:val="22"/>
        </w:rPr>
        <w:t xml:space="preserve">. </w:t>
      </w:r>
    </w:p>
    <w:p w:rsidR="00E9008A" w:rsidRPr="00316249" w:rsidRDefault="00E9008A" w:rsidP="00E9008A">
      <w:pPr>
        <w:pStyle w:val="Corpodetexto"/>
        <w:spacing w:before="240" w:after="240"/>
        <w:ind w:right="115"/>
        <w:rPr>
          <w:rFonts w:ascii="Times New Roman" w:hAnsi="Times New Roman" w:cs="Times New Roman"/>
          <w:b w:val="0"/>
          <w:sz w:val="22"/>
          <w:szCs w:val="22"/>
        </w:rPr>
      </w:pPr>
      <w:r w:rsidRPr="00316249">
        <w:rPr>
          <w:rFonts w:ascii="Times New Roman" w:hAnsi="Times New Roman" w:cs="Times New Roman"/>
          <w:b w:val="0"/>
          <w:sz w:val="22"/>
          <w:szCs w:val="22"/>
        </w:rPr>
        <w:lastRenderedPageBreak/>
        <w:t xml:space="preserve">Em 31 de dezembro de 2016, o saldo devedor do parcelamento totaliza USD 7.752 (USD 18.306 – 2015), o que corresponde, na data de fechamento, a R$ 25.409 (R$ 70.464 </w:t>
      </w:r>
      <w:r>
        <w:rPr>
          <w:rFonts w:ascii="Times New Roman" w:hAnsi="Times New Roman" w:cs="Times New Roman"/>
          <w:b w:val="0"/>
          <w:sz w:val="22"/>
          <w:szCs w:val="22"/>
        </w:rPr>
        <w:t>–</w:t>
      </w:r>
      <w:r w:rsidRPr="00316249">
        <w:rPr>
          <w:rFonts w:ascii="Times New Roman" w:hAnsi="Times New Roman" w:cs="Times New Roman"/>
          <w:b w:val="0"/>
          <w:sz w:val="22"/>
          <w:szCs w:val="22"/>
        </w:rPr>
        <w:t xml:space="preserve"> 2015).</w:t>
      </w:r>
    </w:p>
    <w:p w:rsidR="00E9008A" w:rsidRDefault="00E9008A" w:rsidP="00E9008A">
      <w:pPr>
        <w:rPr>
          <w:b/>
          <w:bCs/>
          <w:sz w:val="22"/>
          <w:szCs w:val="22"/>
        </w:rPr>
      </w:pPr>
      <w:r>
        <w:rPr>
          <w:b/>
          <w:bCs/>
          <w:sz w:val="22"/>
          <w:szCs w:val="22"/>
        </w:rPr>
        <w:br w:type="page"/>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lastRenderedPageBreak/>
        <w:t>OBRIGAÇÕES TRIBUTÁRIAS</w:t>
      </w:r>
    </w:p>
    <w:p w:rsidR="00E9008A" w:rsidRPr="007527F1" w:rsidRDefault="00E9008A" w:rsidP="007527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7527F1">
        <w:rPr>
          <w:rFonts w:ascii="Times New Roman" w:eastAsia="Arial Unicode MS" w:hAnsi="Times New Roman" w:cs="Times New Roman"/>
          <w:b/>
          <w:bCs/>
          <w:iCs/>
          <w:lang w:val="pt-BR"/>
        </w:rPr>
        <w:t>Resumo das Obrigações Tributárias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5"/>
        <w:gridCol w:w="926"/>
        <w:gridCol w:w="940"/>
        <w:gridCol w:w="927"/>
        <w:gridCol w:w="1163"/>
      </w:tblGrid>
      <w:tr w:rsidR="00E9008A" w:rsidRPr="00316249" w:rsidTr="005B7D01">
        <w:trPr>
          <w:trHeight w:val="238"/>
          <w:tblHeader/>
        </w:trPr>
        <w:tc>
          <w:tcPr>
            <w:tcW w:w="2836" w:type="pct"/>
            <w:vMerge w:val="restart"/>
            <w:shd w:val="clear" w:color="000000" w:fill="D9D9D9"/>
            <w:vAlign w:val="center"/>
            <w:hideMark/>
          </w:tcPr>
          <w:p w:rsidR="00E9008A" w:rsidRPr="00316249" w:rsidRDefault="00E9008A" w:rsidP="005B7D01">
            <w:pPr>
              <w:jc w:val="center"/>
              <w:rPr>
                <w:color w:val="000000"/>
                <w:sz w:val="16"/>
                <w:szCs w:val="16"/>
              </w:rPr>
            </w:pPr>
            <w:r w:rsidRPr="00316249">
              <w:rPr>
                <w:color w:val="000000"/>
                <w:sz w:val="16"/>
                <w:szCs w:val="16"/>
              </w:rPr>
              <w:t> </w:t>
            </w:r>
          </w:p>
        </w:tc>
        <w:tc>
          <w:tcPr>
            <w:tcW w:w="1061" w:type="pct"/>
            <w:gridSpan w:val="2"/>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Controladora</w:t>
            </w:r>
          </w:p>
        </w:tc>
        <w:tc>
          <w:tcPr>
            <w:tcW w:w="1103" w:type="pct"/>
            <w:gridSpan w:val="2"/>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Consolidado</w:t>
            </w:r>
          </w:p>
        </w:tc>
      </w:tr>
      <w:tr w:rsidR="00E9008A" w:rsidRPr="00316249" w:rsidTr="005B7D01">
        <w:trPr>
          <w:trHeight w:val="238"/>
          <w:tblHeader/>
        </w:trPr>
        <w:tc>
          <w:tcPr>
            <w:tcW w:w="2836" w:type="pct"/>
            <w:vMerge/>
            <w:vAlign w:val="center"/>
            <w:hideMark/>
          </w:tcPr>
          <w:p w:rsidR="00E9008A" w:rsidRPr="00316249" w:rsidRDefault="00E9008A" w:rsidP="005B7D01">
            <w:pPr>
              <w:rPr>
                <w:color w:val="000000"/>
                <w:sz w:val="16"/>
                <w:szCs w:val="16"/>
              </w:rPr>
            </w:pPr>
          </w:p>
        </w:tc>
        <w:tc>
          <w:tcPr>
            <w:tcW w:w="527"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31/12/2016</w:t>
            </w:r>
          </w:p>
        </w:tc>
        <w:tc>
          <w:tcPr>
            <w:tcW w:w="534"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31/12/2015</w:t>
            </w:r>
          </w:p>
        </w:tc>
        <w:tc>
          <w:tcPr>
            <w:tcW w:w="527"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31/12/2016</w:t>
            </w:r>
          </w:p>
        </w:tc>
        <w:tc>
          <w:tcPr>
            <w:tcW w:w="576"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31/12/2015</w:t>
            </w:r>
          </w:p>
          <w:p w:rsidR="00E9008A" w:rsidRPr="00316249" w:rsidRDefault="00E9008A" w:rsidP="005B7D01">
            <w:pPr>
              <w:jc w:val="center"/>
              <w:rPr>
                <w:b/>
                <w:bCs/>
                <w:color w:val="000000"/>
                <w:sz w:val="16"/>
                <w:szCs w:val="16"/>
              </w:rPr>
            </w:pPr>
            <w:r w:rsidRPr="00316249">
              <w:rPr>
                <w:b/>
                <w:bCs/>
                <w:color w:val="000000"/>
                <w:sz w:val="16"/>
                <w:szCs w:val="16"/>
              </w:rPr>
              <w:t>Reapresentado</w:t>
            </w:r>
          </w:p>
        </w:tc>
      </w:tr>
      <w:tr w:rsidR="00E9008A" w:rsidRPr="00316249" w:rsidTr="005B7D01">
        <w:trPr>
          <w:trHeight w:val="238"/>
        </w:trPr>
        <w:tc>
          <w:tcPr>
            <w:tcW w:w="2836" w:type="pct"/>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Imposto de Renda Pessoa Jurídica e Contribuição Social Sobre o Lucro Líquido</w:t>
            </w:r>
          </w:p>
        </w:tc>
        <w:tc>
          <w:tcPr>
            <w:tcW w:w="527"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97.611 </w:t>
            </w:r>
          </w:p>
        </w:tc>
        <w:tc>
          <w:tcPr>
            <w:tcW w:w="534"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97.384 </w:t>
            </w:r>
          </w:p>
        </w:tc>
        <w:tc>
          <w:tcPr>
            <w:tcW w:w="527"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190.785 </w:t>
            </w:r>
          </w:p>
        </w:tc>
        <w:tc>
          <w:tcPr>
            <w:tcW w:w="576"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249.552 </w:t>
            </w:r>
          </w:p>
        </w:tc>
      </w:tr>
      <w:tr w:rsidR="00E9008A" w:rsidRPr="00316249" w:rsidTr="005B7D01">
        <w:trPr>
          <w:trHeight w:val="238"/>
        </w:trPr>
        <w:tc>
          <w:tcPr>
            <w:tcW w:w="2836" w:type="pct"/>
            <w:shd w:val="clear" w:color="auto" w:fill="auto"/>
            <w:noWrap/>
            <w:vAlign w:val="center"/>
            <w:hideMark/>
          </w:tcPr>
          <w:p w:rsidR="00E9008A" w:rsidRPr="00316249" w:rsidRDefault="00E9008A" w:rsidP="005B7D01">
            <w:pPr>
              <w:rPr>
                <w:color w:val="000000"/>
                <w:sz w:val="16"/>
                <w:szCs w:val="16"/>
              </w:rPr>
            </w:pPr>
            <w:r w:rsidRPr="00316249">
              <w:rPr>
                <w:bCs/>
                <w:color w:val="000000"/>
                <w:sz w:val="16"/>
                <w:szCs w:val="16"/>
              </w:rPr>
              <w:t>Outros Tributos</w:t>
            </w:r>
          </w:p>
        </w:tc>
        <w:tc>
          <w:tcPr>
            <w:tcW w:w="527"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1.003 </w:t>
            </w:r>
          </w:p>
        </w:tc>
        <w:tc>
          <w:tcPr>
            <w:tcW w:w="534"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1.135 </w:t>
            </w:r>
          </w:p>
        </w:tc>
        <w:tc>
          <w:tcPr>
            <w:tcW w:w="527"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212.075 </w:t>
            </w:r>
          </w:p>
        </w:tc>
        <w:tc>
          <w:tcPr>
            <w:tcW w:w="576"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298.084 </w:t>
            </w:r>
          </w:p>
        </w:tc>
      </w:tr>
      <w:tr w:rsidR="00E9008A" w:rsidRPr="00316249" w:rsidTr="005B7D01">
        <w:trPr>
          <w:trHeight w:val="238"/>
        </w:trPr>
        <w:tc>
          <w:tcPr>
            <w:tcW w:w="2836" w:type="pct"/>
            <w:shd w:val="clear" w:color="auto" w:fill="auto"/>
            <w:vAlign w:val="center"/>
            <w:hideMark/>
          </w:tcPr>
          <w:p w:rsidR="00E9008A" w:rsidRPr="00316249" w:rsidRDefault="00E9008A" w:rsidP="005B7D01">
            <w:pPr>
              <w:rPr>
                <w:b/>
                <w:bCs/>
                <w:color w:val="000000"/>
                <w:sz w:val="16"/>
                <w:szCs w:val="16"/>
              </w:rPr>
            </w:pPr>
            <w:r w:rsidRPr="00316249">
              <w:rPr>
                <w:b/>
                <w:bCs/>
                <w:color w:val="000000"/>
                <w:sz w:val="16"/>
                <w:szCs w:val="16"/>
              </w:rPr>
              <w:t>Total</w:t>
            </w:r>
          </w:p>
        </w:tc>
        <w:tc>
          <w:tcPr>
            <w:tcW w:w="527"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98.614 </w:t>
            </w:r>
          </w:p>
        </w:tc>
        <w:tc>
          <w:tcPr>
            <w:tcW w:w="53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98.519 </w:t>
            </w:r>
          </w:p>
        </w:tc>
        <w:tc>
          <w:tcPr>
            <w:tcW w:w="527"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402.860 </w:t>
            </w:r>
          </w:p>
        </w:tc>
        <w:tc>
          <w:tcPr>
            <w:tcW w:w="576"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547.636 </w:t>
            </w:r>
          </w:p>
        </w:tc>
      </w:tr>
      <w:tr w:rsidR="00E9008A" w:rsidRPr="00316249" w:rsidTr="005B7D01">
        <w:trPr>
          <w:trHeight w:val="238"/>
        </w:trPr>
        <w:tc>
          <w:tcPr>
            <w:tcW w:w="2836" w:type="pct"/>
            <w:shd w:val="clear" w:color="auto" w:fill="auto"/>
            <w:vAlign w:val="center"/>
            <w:hideMark/>
          </w:tcPr>
          <w:p w:rsidR="00E9008A" w:rsidRPr="00316249" w:rsidRDefault="00E9008A" w:rsidP="005B7D01">
            <w:pPr>
              <w:rPr>
                <w:b/>
                <w:bCs/>
                <w:color w:val="000000"/>
                <w:sz w:val="16"/>
                <w:szCs w:val="16"/>
              </w:rPr>
            </w:pPr>
            <w:r w:rsidRPr="00316249">
              <w:rPr>
                <w:b/>
                <w:bCs/>
                <w:color w:val="000000"/>
                <w:sz w:val="16"/>
                <w:szCs w:val="16"/>
              </w:rPr>
              <w:t>Circulante</w:t>
            </w:r>
          </w:p>
        </w:tc>
        <w:tc>
          <w:tcPr>
            <w:tcW w:w="527"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1.344 </w:t>
            </w:r>
          </w:p>
        </w:tc>
        <w:tc>
          <w:tcPr>
            <w:tcW w:w="53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1.250 </w:t>
            </w:r>
          </w:p>
        </w:tc>
        <w:tc>
          <w:tcPr>
            <w:tcW w:w="527"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224.115 </w:t>
            </w:r>
          </w:p>
        </w:tc>
        <w:tc>
          <w:tcPr>
            <w:tcW w:w="576"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264.796 </w:t>
            </w:r>
          </w:p>
        </w:tc>
      </w:tr>
      <w:tr w:rsidR="00E9008A" w:rsidRPr="00316249" w:rsidTr="005B7D01">
        <w:trPr>
          <w:trHeight w:val="238"/>
        </w:trPr>
        <w:tc>
          <w:tcPr>
            <w:tcW w:w="2836" w:type="pct"/>
            <w:shd w:val="clear" w:color="auto" w:fill="auto"/>
            <w:vAlign w:val="center"/>
            <w:hideMark/>
          </w:tcPr>
          <w:p w:rsidR="00E9008A" w:rsidRPr="00316249" w:rsidRDefault="00E9008A" w:rsidP="005B7D01">
            <w:pPr>
              <w:rPr>
                <w:b/>
                <w:bCs/>
                <w:color w:val="000000"/>
                <w:sz w:val="16"/>
                <w:szCs w:val="16"/>
              </w:rPr>
            </w:pPr>
            <w:r w:rsidRPr="00316249">
              <w:rPr>
                <w:b/>
                <w:bCs/>
                <w:color w:val="000000"/>
                <w:sz w:val="16"/>
                <w:szCs w:val="16"/>
              </w:rPr>
              <w:t>Não Circulante</w:t>
            </w:r>
          </w:p>
        </w:tc>
        <w:tc>
          <w:tcPr>
            <w:tcW w:w="527"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97.270 </w:t>
            </w:r>
          </w:p>
        </w:tc>
        <w:tc>
          <w:tcPr>
            <w:tcW w:w="53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97.269 </w:t>
            </w:r>
          </w:p>
        </w:tc>
        <w:tc>
          <w:tcPr>
            <w:tcW w:w="527"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178.745 </w:t>
            </w:r>
          </w:p>
        </w:tc>
        <w:tc>
          <w:tcPr>
            <w:tcW w:w="576"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282.840 </w:t>
            </w:r>
          </w:p>
        </w:tc>
      </w:tr>
    </w:tbl>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E9008A" w:rsidRPr="001E7EF1"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1E7EF1">
        <w:rPr>
          <w:b/>
        </w:rPr>
        <w:t>Imposto de renda pessoa jurídica e contribuição social sobre o lucro líquido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04"/>
        <w:gridCol w:w="869"/>
        <w:gridCol w:w="900"/>
        <w:gridCol w:w="869"/>
        <w:gridCol w:w="869"/>
      </w:tblGrid>
      <w:tr w:rsidR="00E9008A" w:rsidRPr="00316249" w:rsidTr="005B7D01">
        <w:trPr>
          <w:trHeight w:val="238"/>
          <w:tblHeader/>
        </w:trPr>
        <w:tc>
          <w:tcPr>
            <w:tcW w:w="3104" w:type="pct"/>
            <w:vMerge w:val="restart"/>
            <w:shd w:val="clear" w:color="000000" w:fill="D9D9D9"/>
            <w:vAlign w:val="center"/>
            <w:hideMark/>
          </w:tcPr>
          <w:p w:rsidR="00E9008A" w:rsidRPr="00316249" w:rsidRDefault="00E9008A" w:rsidP="005B7D01">
            <w:pPr>
              <w:jc w:val="center"/>
              <w:rPr>
                <w:color w:val="000000"/>
                <w:sz w:val="16"/>
                <w:szCs w:val="18"/>
              </w:rPr>
            </w:pPr>
            <w:r w:rsidRPr="00316249">
              <w:rPr>
                <w:color w:val="000000"/>
                <w:sz w:val="16"/>
                <w:szCs w:val="18"/>
              </w:rPr>
              <w:t> </w:t>
            </w:r>
          </w:p>
        </w:tc>
        <w:tc>
          <w:tcPr>
            <w:tcW w:w="957" w:type="pct"/>
            <w:gridSpan w:val="2"/>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Controladora</w:t>
            </w:r>
          </w:p>
        </w:tc>
        <w:tc>
          <w:tcPr>
            <w:tcW w:w="940" w:type="pct"/>
            <w:gridSpan w:val="2"/>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Consolidado</w:t>
            </w:r>
          </w:p>
        </w:tc>
      </w:tr>
      <w:tr w:rsidR="00E9008A" w:rsidRPr="00316249" w:rsidTr="005B7D01">
        <w:trPr>
          <w:trHeight w:val="238"/>
          <w:tblHeader/>
        </w:trPr>
        <w:tc>
          <w:tcPr>
            <w:tcW w:w="3104" w:type="pct"/>
            <w:vMerge/>
            <w:vAlign w:val="center"/>
            <w:hideMark/>
          </w:tcPr>
          <w:p w:rsidR="00E9008A" w:rsidRPr="00316249" w:rsidRDefault="00E9008A" w:rsidP="005B7D01">
            <w:pPr>
              <w:rPr>
                <w:color w:val="000000"/>
                <w:sz w:val="16"/>
                <w:szCs w:val="18"/>
              </w:rPr>
            </w:pPr>
          </w:p>
        </w:tc>
        <w:tc>
          <w:tcPr>
            <w:tcW w:w="470"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31/12/2016</w:t>
            </w:r>
          </w:p>
        </w:tc>
        <w:tc>
          <w:tcPr>
            <w:tcW w:w="487"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31/12/2015</w:t>
            </w:r>
          </w:p>
        </w:tc>
        <w:tc>
          <w:tcPr>
            <w:tcW w:w="470"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31/12/2016</w:t>
            </w:r>
          </w:p>
        </w:tc>
        <w:tc>
          <w:tcPr>
            <w:tcW w:w="470"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31/12/2015</w:t>
            </w:r>
          </w:p>
        </w:tc>
      </w:tr>
      <w:tr w:rsidR="00E9008A" w:rsidRPr="00316249" w:rsidTr="005B7D01">
        <w:trPr>
          <w:trHeight w:val="238"/>
        </w:trPr>
        <w:tc>
          <w:tcPr>
            <w:tcW w:w="3104"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Imposto de Renda Pessoa Jurídica – IRPJ</w:t>
            </w:r>
          </w:p>
        </w:tc>
        <w:tc>
          <w:tcPr>
            <w:tcW w:w="470"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71.522 </w:t>
            </w:r>
          </w:p>
        </w:tc>
        <w:tc>
          <w:tcPr>
            <w:tcW w:w="487"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71.522 </w:t>
            </w:r>
          </w:p>
        </w:tc>
        <w:tc>
          <w:tcPr>
            <w:tcW w:w="470"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140.666 </w:t>
            </w:r>
          </w:p>
        </w:tc>
        <w:tc>
          <w:tcPr>
            <w:tcW w:w="470"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183.315 </w:t>
            </w:r>
          </w:p>
        </w:tc>
      </w:tr>
      <w:tr w:rsidR="00E9008A" w:rsidRPr="00316249" w:rsidTr="005B7D01">
        <w:trPr>
          <w:trHeight w:val="238"/>
        </w:trPr>
        <w:tc>
          <w:tcPr>
            <w:tcW w:w="3104"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Contribuição Social Sobre o Lucro Líquido – CSLL</w:t>
            </w:r>
          </w:p>
        </w:tc>
        <w:tc>
          <w:tcPr>
            <w:tcW w:w="470"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26.089 </w:t>
            </w:r>
          </w:p>
        </w:tc>
        <w:tc>
          <w:tcPr>
            <w:tcW w:w="487"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25.862 </w:t>
            </w:r>
          </w:p>
        </w:tc>
        <w:tc>
          <w:tcPr>
            <w:tcW w:w="470"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50.119 </w:t>
            </w:r>
          </w:p>
        </w:tc>
        <w:tc>
          <w:tcPr>
            <w:tcW w:w="470"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66.237 </w:t>
            </w:r>
          </w:p>
        </w:tc>
      </w:tr>
      <w:tr w:rsidR="00E9008A" w:rsidRPr="00316249" w:rsidTr="005B7D01">
        <w:trPr>
          <w:trHeight w:val="238"/>
        </w:trPr>
        <w:tc>
          <w:tcPr>
            <w:tcW w:w="3104" w:type="pct"/>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Total</w:t>
            </w:r>
          </w:p>
        </w:tc>
        <w:tc>
          <w:tcPr>
            <w:tcW w:w="470"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97.611 </w:t>
            </w:r>
          </w:p>
        </w:tc>
        <w:tc>
          <w:tcPr>
            <w:tcW w:w="487"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97.384 </w:t>
            </w:r>
          </w:p>
        </w:tc>
        <w:tc>
          <w:tcPr>
            <w:tcW w:w="470"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190.785 </w:t>
            </w:r>
          </w:p>
        </w:tc>
        <w:tc>
          <w:tcPr>
            <w:tcW w:w="470"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249.552 </w:t>
            </w:r>
          </w:p>
        </w:tc>
      </w:tr>
      <w:tr w:rsidR="00E9008A" w:rsidRPr="00316249" w:rsidTr="005B7D01">
        <w:trPr>
          <w:trHeight w:val="238"/>
        </w:trPr>
        <w:tc>
          <w:tcPr>
            <w:tcW w:w="3104" w:type="pct"/>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Circulante</w:t>
            </w:r>
          </w:p>
        </w:tc>
        <w:tc>
          <w:tcPr>
            <w:tcW w:w="470"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343 </w:t>
            </w:r>
          </w:p>
        </w:tc>
        <w:tc>
          <w:tcPr>
            <w:tcW w:w="487"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115 </w:t>
            </w:r>
          </w:p>
        </w:tc>
        <w:tc>
          <w:tcPr>
            <w:tcW w:w="470"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21.952 </w:t>
            </w:r>
          </w:p>
        </w:tc>
        <w:tc>
          <w:tcPr>
            <w:tcW w:w="470"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13.336 </w:t>
            </w:r>
          </w:p>
        </w:tc>
      </w:tr>
      <w:tr w:rsidR="00E9008A" w:rsidRPr="00316249" w:rsidTr="005B7D01">
        <w:trPr>
          <w:trHeight w:val="238"/>
        </w:trPr>
        <w:tc>
          <w:tcPr>
            <w:tcW w:w="3104" w:type="pct"/>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Não Circulante</w:t>
            </w:r>
          </w:p>
        </w:tc>
        <w:tc>
          <w:tcPr>
            <w:tcW w:w="470"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97.270 </w:t>
            </w:r>
          </w:p>
        </w:tc>
        <w:tc>
          <w:tcPr>
            <w:tcW w:w="487"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97.269 </w:t>
            </w:r>
          </w:p>
        </w:tc>
        <w:tc>
          <w:tcPr>
            <w:tcW w:w="470"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168.833 </w:t>
            </w:r>
          </w:p>
        </w:tc>
        <w:tc>
          <w:tcPr>
            <w:tcW w:w="470"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236.216 </w:t>
            </w:r>
          </w:p>
        </w:tc>
      </w:tr>
    </w:tbl>
    <w:p w:rsidR="00E9008A" w:rsidRPr="00316249" w:rsidRDefault="00E9008A" w:rsidP="00E9008A">
      <w:pPr>
        <w:spacing w:before="240" w:after="240"/>
        <w:jc w:val="both"/>
        <w:rPr>
          <w:sz w:val="22"/>
          <w:szCs w:val="22"/>
        </w:rPr>
      </w:pPr>
      <w:r w:rsidRPr="00316249">
        <w:rPr>
          <w:sz w:val="22"/>
          <w:szCs w:val="22"/>
        </w:rPr>
        <w:t>O imposto de renda e a contribuição social do exercício corrente são calculados com base nas alíquotas de 15%, acrescida de 10% sobre o lucro tributável que exceder a R$ 240 para o imposto de renda, e de 9% sobre o lucro tributável para a contribuição social. Também é considerada a compensação de prejuízos fiscais e base negativa de contribuição social, limitada a 30% do lucro real. A opção de tributação da Companhia e suas controladas CEB Distribuição S.A. e CEB Lajeado S.A. é o lucro real anual com antecipações mensais. As demais controladas optaram pelo regime de tributação pelo lucro presumido.</w:t>
      </w:r>
    </w:p>
    <w:p w:rsidR="00E9008A" w:rsidRPr="00316249" w:rsidRDefault="00E9008A" w:rsidP="00E9008A">
      <w:pPr>
        <w:spacing w:before="240" w:after="240"/>
        <w:jc w:val="both"/>
        <w:rPr>
          <w:sz w:val="22"/>
          <w:szCs w:val="22"/>
        </w:rPr>
      </w:pPr>
      <w:r w:rsidRPr="00316249">
        <w:rPr>
          <w:sz w:val="22"/>
          <w:szCs w:val="22"/>
        </w:rPr>
        <w:t>O quadro seguinte detalha a apuração do IRPJ e da CSLL:</w:t>
      </w:r>
    </w:p>
    <w:tbl>
      <w:tblPr>
        <w:tblW w:w="4956" w:type="pct"/>
        <w:tblCellMar>
          <w:left w:w="70" w:type="dxa"/>
          <w:right w:w="70" w:type="dxa"/>
        </w:tblCellMar>
        <w:tblLook w:val="04A0" w:firstRow="1" w:lastRow="0" w:firstColumn="1" w:lastColumn="0" w:noHBand="0" w:noVBand="1"/>
      </w:tblPr>
      <w:tblGrid>
        <w:gridCol w:w="3002"/>
        <w:gridCol w:w="737"/>
        <w:gridCol w:w="943"/>
        <w:gridCol w:w="756"/>
        <w:gridCol w:w="943"/>
        <w:gridCol w:w="756"/>
        <w:gridCol w:w="659"/>
        <w:gridCol w:w="756"/>
        <w:gridCol w:w="659"/>
      </w:tblGrid>
      <w:tr w:rsidR="00E9008A" w:rsidRPr="00586920" w:rsidTr="005B7D01">
        <w:trPr>
          <w:trHeight w:val="255"/>
          <w:tblHeader/>
        </w:trPr>
        <w:tc>
          <w:tcPr>
            <w:tcW w:w="1668"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E9008A" w:rsidRPr="00316249" w:rsidRDefault="00E9008A" w:rsidP="005B7D01">
            <w:pPr>
              <w:jc w:val="center"/>
              <w:rPr>
                <w:b/>
                <w:bCs/>
                <w:sz w:val="12"/>
                <w:szCs w:val="12"/>
              </w:rPr>
            </w:pPr>
          </w:p>
        </w:tc>
        <w:tc>
          <w:tcPr>
            <w:tcW w:w="1664" w:type="pct"/>
            <w:gridSpan w:val="4"/>
            <w:tcBorders>
              <w:top w:val="single" w:sz="4" w:space="0" w:color="auto"/>
              <w:left w:val="nil"/>
              <w:bottom w:val="single" w:sz="4" w:space="0" w:color="auto"/>
              <w:right w:val="single" w:sz="4" w:space="0" w:color="auto"/>
            </w:tcBorders>
            <w:shd w:val="clear" w:color="000000" w:fill="FFFFFF"/>
            <w:vAlign w:val="center"/>
            <w:hideMark/>
          </w:tcPr>
          <w:p w:rsidR="00E9008A" w:rsidRPr="008F2EC1" w:rsidRDefault="00E9008A" w:rsidP="005B7D01">
            <w:pPr>
              <w:jc w:val="center"/>
              <w:rPr>
                <w:b/>
                <w:bCs/>
                <w:sz w:val="12"/>
                <w:szCs w:val="12"/>
              </w:rPr>
            </w:pPr>
            <w:r w:rsidRPr="008F2EC1">
              <w:rPr>
                <w:b/>
                <w:bCs/>
                <w:sz w:val="12"/>
                <w:szCs w:val="12"/>
              </w:rPr>
              <w:t>Controladora</w:t>
            </w:r>
          </w:p>
        </w:tc>
        <w:tc>
          <w:tcPr>
            <w:tcW w:w="1667" w:type="pct"/>
            <w:gridSpan w:val="4"/>
            <w:tcBorders>
              <w:top w:val="single" w:sz="4" w:space="0" w:color="auto"/>
              <w:left w:val="nil"/>
              <w:bottom w:val="single" w:sz="4" w:space="0" w:color="auto"/>
              <w:right w:val="single" w:sz="4" w:space="0" w:color="auto"/>
            </w:tcBorders>
            <w:shd w:val="clear" w:color="000000" w:fill="FFFFFF"/>
            <w:vAlign w:val="center"/>
            <w:hideMark/>
          </w:tcPr>
          <w:p w:rsidR="00E9008A" w:rsidRPr="008F2EC1" w:rsidRDefault="00E9008A" w:rsidP="005B7D01">
            <w:pPr>
              <w:jc w:val="center"/>
              <w:rPr>
                <w:b/>
                <w:bCs/>
                <w:sz w:val="12"/>
                <w:szCs w:val="12"/>
              </w:rPr>
            </w:pPr>
            <w:r w:rsidRPr="008F2EC1">
              <w:rPr>
                <w:b/>
                <w:bCs/>
                <w:sz w:val="12"/>
                <w:szCs w:val="12"/>
              </w:rPr>
              <w:t>Consolidado</w:t>
            </w:r>
          </w:p>
        </w:tc>
      </w:tr>
      <w:tr w:rsidR="00E9008A" w:rsidRPr="00586920" w:rsidTr="005B7D01">
        <w:trPr>
          <w:trHeight w:val="255"/>
          <w:tblHeader/>
        </w:trPr>
        <w:tc>
          <w:tcPr>
            <w:tcW w:w="1668" w:type="pct"/>
            <w:vMerge/>
            <w:tcBorders>
              <w:top w:val="single" w:sz="4" w:space="0" w:color="auto"/>
              <w:left w:val="single" w:sz="4" w:space="0" w:color="auto"/>
              <w:bottom w:val="single" w:sz="4" w:space="0" w:color="auto"/>
              <w:right w:val="single" w:sz="4" w:space="0" w:color="auto"/>
            </w:tcBorders>
            <w:vAlign w:val="center"/>
            <w:hideMark/>
          </w:tcPr>
          <w:p w:rsidR="00E9008A" w:rsidRPr="00586920" w:rsidRDefault="00E9008A" w:rsidP="005B7D01">
            <w:pPr>
              <w:jc w:val="center"/>
              <w:rPr>
                <w:b/>
                <w:bCs/>
                <w:sz w:val="12"/>
                <w:szCs w:val="12"/>
                <w:highlight w:val="green"/>
              </w:rPr>
            </w:pPr>
          </w:p>
        </w:tc>
        <w:tc>
          <w:tcPr>
            <w:tcW w:w="832" w:type="pct"/>
            <w:gridSpan w:val="2"/>
            <w:tcBorders>
              <w:top w:val="single" w:sz="4" w:space="0" w:color="auto"/>
              <w:left w:val="nil"/>
              <w:bottom w:val="single" w:sz="4" w:space="0" w:color="auto"/>
              <w:right w:val="single" w:sz="4" w:space="0" w:color="auto"/>
            </w:tcBorders>
            <w:shd w:val="clear" w:color="000000" w:fill="FFFFFF"/>
            <w:vAlign w:val="center"/>
            <w:hideMark/>
          </w:tcPr>
          <w:p w:rsidR="00E9008A" w:rsidRPr="008F2EC1" w:rsidRDefault="00E9008A" w:rsidP="005B7D01">
            <w:pPr>
              <w:jc w:val="center"/>
              <w:rPr>
                <w:b/>
                <w:bCs/>
                <w:sz w:val="12"/>
                <w:szCs w:val="12"/>
              </w:rPr>
            </w:pPr>
            <w:r w:rsidRPr="008F2EC1">
              <w:rPr>
                <w:b/>
                <w:bCs/>
                <w:sz w:val="12"/>
                <w:szCs w:val="12"/>
              </w:rPr>
              <w:t>IRPJ</w:t>
            </w:r>
          </w:p>
        </w:tc>
        <w:tc>
          <w:tcPr>
            <w:tcW w:w="832" w:type="pct"/>
            <w:gridSpan w:val="2"/>
            <w:tcBorders>
              <w:top w:val="single" w:sz="4" w:space="0" w:color="auto"/>
              <w:left w:val="nil"/>
              <w:bottom w:val="single" w:sz="4" w:space="0" w:color="auto"/>
              <w:right w:val="single" w:sz="4" w:space="0" w:color="auto"/>
            </w:tcBorders>
            <w:shd w:val="clear" w:color="000000" w:fill="FFFFFF"/>
            <w:vAlign w:val="center"/>
            <w:hideMark/>
          </w:tcPr>
          <w:p w:rsidR="00E9008A" w:rsidRPr="008F2EC1" w:rsidRDefault="00E9008A" w:rsidP="005B7D01">
            <w:pPr>
              <w:jc w:val="center"/>
              <w:rPr>
                <w:b/>
                <w:bCs/>
                <w:sz w:val="12"/>
                <w:szCs w:val="12"/>
              </w:rPr>
            </w:pPr>
            <w:r w:rsidRPr="008F2EC1">
              <w:rPr>
                <w:b/>
                <w:bCs/>
                <w:sz w:val="12"/>
                <w:szCs w:val="12"/>
              </w:rPr>
              <w:t>CSLL</w:t>
            </w:r>
          </w:p>
        </w:tc>
        <w:tc>
          <w:tcPr>
            <w:tcW w:w="834" w:type="pct"/>
            <w:gridSpan w:val="2"/>
            <w:tcBorders>
              <w:top w:val="single" w:sz="4" w:space="0" w:color="auto"/>
              <w:left w:val="nil"/>
              <w:bottom w:val="single" w:sz="4" w:space="0" w:color="auto"/>
              <w:right w:val="single" w:sz="4" w:space="0" w:color="auto"/>
            </w:tcBorders>
            <w:shd w:val="clear" w:color="000000" w:fill="FFFFFF"/>
            <w:vAlign w:val="center"/>
            <w:hideMark/>
          </w:tcPr>
          <w:p w:rsidR="00E9008A" w:rsidRPr="008F2EC1" w:rsidRDefault="00E9008A" w:rsidP="005B7D01">
            <w:pPr>
              <w:jc w:val="center"/>
              <w:rPr>
                <w:b/>
                <w:bCs/>
                <w:sz w:val="12"/>
                <w:szCs w:val="12"/>
              </w:rPr>
            </w:pPr>
            <w:r w:rsidRPr="008F2EC1">
              <w:rPr>
                <w:b/>
                <w:bCs/>
                <w:sz w:val="12"/>
                <w:szCs w:val="12"/>
              </w:rPr>
              <w:t>IRPJ</w:t>
            </w:r>
          </w:p>
        </w:tc>
        <w:tc>
          <w:tcPr>
            <w:tcW w:w="833" w:type="pct"/>
            <w:gridSpan w:val="2"/>
            <w:tcBorders>
              <w:top w:val="single" w:sz="4" w:space="0" w:color="auto"/>
              <w:left w:val="nil"/>
              <w:bottom w:val="single" w:sz="4" w:space="0" w:color="auto"/>
              <w:right w:val="single" w:sz="4" w:space="0" w:color="auto"/>
            </w:tcBorders>
            <w:shd w:val="clear" w:color="000000" w:fill="FFFFFF"/>
            <w:vAlign w:val="center"/>
            <w:hideMark/>
          </w:tcPr>
          <w:p w:rsidR="00E9008A" w:rsidRPr="008F2EC1" w:rsidRDefault="00E9008A" w:rsidP="005B7D01">
            <w:pPr>
              <w:jc w:val="center"/>
              <w:rPr>
                <w:b/>
                <w:bCs/>
                <w:sz w:val="12"/>
                <w:szCs w:val="12"/>
              </w:rPr>
            </w:pPr>
            <w:r w:rsidRPr="008F2EC1">
              <w:rPr>
                <w:b/>
                <w:bCs/>
                <w:sz w:val="12"/>
                <w:szCs w:val="12"/>
              </w:rPr>
              <w:t>CSLL</w:t>
            </w:r>
          </w:p>
        </w:tc>
      </w:tr>
      <w:tr w:rsidR="00E9008A" w:rsidRPr="00586920" w:rsidTr="005B7D01">
        <w:trPr>
          <w:trHeight w:val="255"/>
          <w:tblHeader/>
        </w:trPr>
        <w:tc>
          <w:tcPr>
            <w:tcW w:w="1668" w:type="pct"/>
            <w:vMerge/>
            <w:tcBorders>
              <w:top w:val="single" w:sz="4" w:space="0" w:color="auto"/>
              <w:left w:val="single" w:sz="4" w:space="0" w:color="auto"/>
              <w:bottom w:val="single" w:sz="4" w:space="0" w:color="auto"/>
              <w:right w:val="single" w:sz="4" w:space="0" w:color="auto"/>
            </w:tcBorders>
            <w:vAlign w:val="center"/>
            <w:hideMark/>
          </w:tcPr>
          <w:p w:rsidR="00E9008A" w:rsidRPr="00586920" w:rsidRDefault="00E9008A" w:rsidP="005B7D01">
            <w:pPr>
              <w:jc w:val="center"/>
              <w:rPr>
                <w:b/>
                <w:bCs/>
                <w:sz w:val="12"/>
                <w:szCs w:val="12"/>
                <w:highlight w:val="green"/>
              </w:rPr>
            </w:pPr>
          </w:p>
        </w:tc>
        <w:tc>
          <w:tcPr>
            <w:tcW w:w="416"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31/12/2016</w:t>
            </w:r>
          </w:p>
        </w:tc>
        <w:tc>
          <w:tcPr>
            <w:tcW w:w="416"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31/12/2015</w:t>
            </w:r>
          </w:p>
          <w:p w:rsidR="00E9008A" w:rsidRPr="008F2EC1" w:rsidRDefault="00E9008A" w:rsidP="005B7D01">
            <w:pPr>
              <w:jc w:val="center"/>
              <w:rPr>
                <w:b/>
                <w:bCs/>
                <w:sz w:val="12"/>
                <w:szCs w:val="12"/>
              </w:rPr>
            </w:pPr>
            <w:r w:rsidRPr="008F2EC1">
              <w:rPr>
                <w:b/>
                <w:bCs/>
                <w:sz w:val="12"/>
                <w:szCs w:val="12"/>
              </w:rPr>
              <w:t>(Reapresentado)</w:t>
            </w:r>
          </w:p>
        </w:tc>
        <w:tc>
          <w:tcPr>
            <w:tcW w:w="416"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31/12/2016</w:t>
            </w:r>
          </w:p>
        </w:tc>
        <w:tc>
          <w:tcPr>
            <w:tcW w:w="416"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31/12/2015</w:t>
            </w:r>
          </w:p>
          <w:p w:rsidR="00E9008A" w:rsidRPr="008F2EC1" w:rsidRDefault="00E9008A" w:rsidP="005B7D01">
            <w:pPr>
              <w:jc w:val="center"/>
              <w:rPr>
                <w:b/>
                <w:bCs/>
                <w:sz w:val="12"/>
                <w:szCs w:val="12"/>
              </w:rPr>
            </w:pPr>
            <w:r w:rsidRPr="008F2EC1">
              <w:rPr>
                <w:b/>
                <w:bCs/>
                <w:sz w:val="12"/>
                <w:szCs w:val="12"/>
              </w:rPr>
              <w:t>(Reapresentado)</w:t>
            </w:r>
          </w:p>
        </w:tc>
        <w:tc>
          <w:tcPr>
            <w:tcW w:w="418"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31/12/2016</w:t>
            </w:r>
          </w:p>
        </w:tc>
        <w:tc>
          <w:tcPr>
            <w:tcW w:w="416"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31/12/2015</w:t>
            </w:r>
          </w:p>
        </w:tc>
        <w:tc>
          <w:tcPr>
            <w:tcW w:w="418"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31/12/2016</w:t>
            </w:r>
          </w:p>
        </w:tc>
        <w:tc>
          <w:tcPr>
            <w:tcW w:w="415" w:type="pct"/>
            <w:tcBorders>
              <w:top w:val="nil"/>
              <w:left w:val="nil"/>
              <w:bottom w:val="single" w:sz="4" w:space="0" w:color="auto"/>
              <w:right w:val="single" w:sz="4" w:space="0" w:color="auto"/>
            </w:tcBorders>
            <w:shd w:val="clear" w:color="000000" w:fill="FFFFFF"/>
            <w:vAlign w:val="center"/>
          </w:tcPr>
          <w:p w:rsidR="00E9008A" w:rsidRPr="008F2EC1" w:rsidRDefault="00E9008A" w:rsidP="005B7D01">
            <w:pPr>
              <w:jc w:val="center"/>
              <w:rPr>
                <w:b/>
                <w:bCs/>
                <w:sz w:val="12"/>
                <w:szCs w:val="12"/>
              </w:rPr>
            </w:pPr>
            <w:r w:rsidRPr="008F2EC1">
              <w:rPr>
                <w:b/>
                <w:bCs/>
                <w:sz w:val="12"/>
                <w:szCs w:val="12"/>
              </w:rPr>
              <w:t>31/12/2015</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b/>
                <w:bCs/>
                <w:sz w:val="12"/>
                <w:szCs w:val="12"/>
              </w:rPr>
            </w:pPr>
            <w:r w:rsidRPr="008F2EC1">
              <w:rPr>
                <w:b/>
                <w:bCs/>
                <w:sz w:val="12"/>
                <w:szCs w:val="12"/>
              </w:rPr>
              <w:t xml:space="preserve"> Resultado Antes dos Tributos Sobre o Lucro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86.373</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25.528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86.373</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25.528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168.457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148.212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168.457 </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148.212</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 xml:space="preserve">     Equivalência Patrimonial – Coligadas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 </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 </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(19.640)</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2.213</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(19.640)</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2.213</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 xml:space="preserve">     Resultado das Empresas Tributadas Pelo Lucro Presumido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 </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 </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(18.047)</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(9.765)</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(18.047)</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(9.765)</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b/>
                <w:bCs/>
                <w:sz w:val="12"/>
                <w:szCs w:val="12"/>
              </w:rPr>
            </w:pPr>
            <w:r w:rsidRPr="008F2EC1">
              <w:rPr>
                <w:b/>
                <w:bCs/>
                <w:sz w:val="12"/>
                <w:szCs w:val="12"/>
              </w:rPr>
              <w:t xml:space="preserve"> Total do Resultado Tributável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sz w:val="12"/>
                <w:szCs w:val="12"/>
              </w:rPr>
            </w:pPr>
            <w:r w:rsidRPr="008F2EC1">
              <w:rPr>
                <w:b/>
                <w:sz w:val="12"/>
                <w:szCs w:val="12"/>
              </w:rPr>
              <w:t>86.373</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sz w:val="12"/>
                <w:szCs w:val="12"/>
              </w:rPr>
            </w:pPr>
            <w:r w:rsidRPr="008F2EC1">
              <w:rPr>
                <w:b/>
                <w:sz w:val="12"/>
                <w:szCs w:val="12"/>
              </w:rPr>
              <w:t>25.528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sz w:val="12"/>
                <w:szCs w:val="12"/>
              </w:rPr>
            </w:pPr>
            <w:r w:rsidRPr="008F2EC1">
              <w:rPr>
                <w:b/>
                <w:sz w:val="12"/>
                <w:szCs w:val="12"/>
              </w:rPr>
              <w:t>86.373</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sz w:val="12"/>
                <w:szCs w:val="12"/>
              </w:rPr>
            </w:pPr>
            <w:r w:rsidRPr="008F2EC1">
              <w:rPr>
                <w:b/>
                <w:sz w:val="12"/>
                <w:szCs w:val="12"/>
              </w:rPr>
              <w:t>25.528</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130.770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140.660</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130.770 </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140.660</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 xml:space="preserve">     Equivalência Patrimonial  </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95.370</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(53.851)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95.370</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(53.851)</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118.759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118.759 </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 xml:space="preserve">     Adições/Exclusões Permanentes </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(74.746)</w:t>
            </w:r>
          </w:p>
        </w:tc>
        <w:tc>
          <w:tcPr>
            <w:tcW w:w="416" w:type="pct"/>
            <w:tcBorders>
              <w:top w:val="single" w:sz="4" w:space="0" w:color="auto"/>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7.829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(74.746)</w:t>
            </w:r>
          </w:p>
        </w:tc>
        <w:tc>
          <w:tcPr>
            <w:tcW w:w="416" w:type="pct"/>
            <w:tcBorders>
              <w:top w:val="single" w:sz="4" w:space="0" w:color="auto"/>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7.829</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(104.108)</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33.547</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(104.108)</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33.547</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 xml:space="preserve">     Adições/Exclusões Temporárias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(99.030)</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22.320</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(99.030)</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22.320</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117.737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(306.629)</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117.737 </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(306.629)</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b/>
                <w:bCs/>
                <w:sz w:val="12"/>
                <w:szCs w:val="12"/>
              </w:rPr>
            </w:pPr>
            <w:r w:rsidRPr="008F2EC1">
              <w:rPr>
                <w:b/>
                <w:bCs/>
                <w:sz w:val="12"/>
                <w:szCs w:val="12"/>
              </w:rPr>
              <w:t xml:space="preserve"> Base de Cálculo Antes da Compensação do Prejuízo Fiscal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7.967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1.826</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7.967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1.826</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263.158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(132.422)</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263.158 </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(132.422)</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 xml:space="preserve">     (-) Compensação Prejuízo Fiscal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(2.390)</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(548)</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(2.390)</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(548)</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(83.027)</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(83.027)</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b/>
                <w:bCs/>
                <w:sz w:val="12"/>
                <w:szCs w:val="12"/>
              </w:rPr>
            </w:pPr>
            <w:r w:rsidRPr="008F2EC1">
              <w:rPr>
                <w:b/>
                <w:bCs/>
                <w:sz w:val="12"/>
                <w:szCs w:val="12"/>
              </w:rPr>
              <w:t xml:space="preserve"> Base de Cálculo </w:t>
            </w:r>
          </w:p>
        </w:tc>
        <w:tc>
          <w:tcPr>
            <w:tcW w:w="416" w:type="pct"/>
            <w:tcBorders>
              <w:top w:val="nil"/>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 xml:space="preserve">5.577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1.278</w:t>
            </w:r>
          </w:p>
        </w:tc>
        <w:tc>
          <w:tcPr>
            <w:tcW w:w="416" w:type="pct"/>
            <w:tcBorders>
              <w:top w:val="nil"/>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 xml:space="preserve">            5.577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1.278</w:t>
            </w:r>
          </w:p>
        </w:tc>
        <w:tc>
          <w:tcPr>
            <w:tcW w:w="418" w:type="pct"/>
            <w:tcBorders>
              <w:top w:val="nil"/>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 xml:space="preserve">        180.131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(132.422)</w:t>
            </w:r>
          </w:p>
        </w:tc>
        <w:tc>
          <w:tcPr>
            <w:tcW w:w="418" w:type="pct"/>
            <w:tcBorders>
              <w:top w:val="nil"/>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 xml:space="preserve">        180.131 </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(132.422)</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Alíquota Aplicável</w:t>
            </w:r>
          </w:p>
        </w:tc>
        <w:tc>
          <w:tcPr>
            <w:tcW w:w="416" w:type="pct"/>
            <w:tcBorders>
              <w:top w:val="nil"/>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25%</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25%</w:t>
            </w:r>
          </w:p>
        </w:tc>
        <w:tc>
          <w:tcPr>
            <w:tcW w:w="416" w:type="pct"/>
            <w:tcBorders>
              <w:top w:val="nil"/>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9%</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9%</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25%</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25%</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9%</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9%</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bCs/>
                <w:sz w:val="12"/>
                <w:szCs w:val="12"/>
              </w:rPr>
            </w:pPr>
            <w:r w:rsidRPr="008F2EC1">
              <w:rPr>
                <w:bCs/>
                <w:sz w:val="12"/>
                <w:szCs w:val="12"/>
              </w:rPr>
              <w:t xml:space="preserve"> Imposto de Renda e Contribuição Social Corrente:</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rPr>
                <w:sz w:val="12"/>
                <w:szCs w:val="12"/>
              </w:rPr>
            </w:pPr>
            <w:r w:rsidRPr="008F2EC1">
              <w:rPr>
                <w:sz w:val="12"/>
                <w:szCs w:val="12"/>
              </w:rPr>
              <w:t>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(501)</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sz w:val="12"/>
                <w:szCs w:val="12"/>
              </w:rPr>
            </w:pPr>
            <w:r w:rsidRPr="008F2EC1">
              <w:rPr>
                <w:sz w:val="12"/>
                <w:szCs w:val="12"/>
              </w:rPr>
              <w:t xml:space="preserve"> IRPJ/CSLL – Controladora e Controladas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(1.370)</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296</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(501)</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115</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(1.371)</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13.067</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(19.102)</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4.725</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jc w:val="both"/>
              <w:rPr>
                <w:sz w:val="12"/>
                <w:szCs w:val="12"/>
              </w:rPr>
            </w:pPr>
            <w:r w:rsidRPr="008F2EC1">
              <w:rPr>
                <w:sz w:val="12"/>
                <w:szCs w:val="12"/>
              </w:rPr>
              <w:lastRenderedPageBreak/>
              <w:t xml:space="preserve"> IRPJ – Lucro Presumido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rPr>
                <w:sz w:val="12"/>
                <w:szCs w:val="12"/>
              </w:rPr>
            </w:pPr>
            <w:r w:rsidRPr="008F2EC1">
              <w:rPr>
                <w:sz w:val="12"/>
                <w:szCs w:val="12"/>
              </w:rPr>
              <w:t>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(52.785)</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1.357</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(593)</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614</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jc w:val="both"/>
              <w:rPr>
                <w:sz w:val="12"/>
                <w:szCs w:val="12"/>
              </w:rPr>
            </w:pPr>
            <w:r w:rsidRPr="008F2EC1">
              <w:rPr>
                <w:sz w:val="12"/>
                <w:szCs w:val="12"/>
              </w:rPr>
              <w:t xml:space="preserve"> Ajustes IRPJ/CSLL do Período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rPr>
                <w:sz w:val="12"/>
                <w:szCs w:val="12"/>
              </w:rPr>
            </w:pPr>
            <w:r w:rsidRPr="008F2EC1">
              <w:rPr>
                <w:sz w:val="12"/>
                <w:szCs w:val="12"/>
              </w:rPr>
              <w:t>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(244)</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(87)</w:t>
            </w:r>
          </w:p>
        </w:tc>
        <w:tc>
          <w:tcPr>
            <w:tcW w:w="418"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(1.269)</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244</w:t>
            </w:r>
          </w:p>
        </w:tc>
        <w:tc>
          <w:tcPr>
            <w:tcW w:w="418"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87</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jc w:val="both"/>
              <w:rPr>
                <w:b/>
                <w:bCs/>
                <w:sz w:val="12"/>
                <w:szCs w:val="12"/>
              </w:rPr>
            </w:pPr>
            <w:r w:rsidRPr="008F2EC1">
              <w:rPr>
                <w:b/>
                <w:bCs/>
                <w:sz w:val="12"/>
                <w:szCs w:val="12"/>
              </w:rPr>
              <w:t xml:space="preserve"> Imposto de Renda e Contribuição Social Corrente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(1.371)</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52</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 xml:space="preserve">             (501)</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28</w:t>
            </w:r>
          </w:p>
        </w:tc>
        <w:tc>
          <w:tcPr>
            <w:tcW w:w="41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 xml:space="preserve">        (55.425)</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14.668</w:t>
            </w:r>
          </w:p>
        </w:tc>
        <w:tc>
          <w:tcPr>
            <w:tcW w:w="41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 xml:space="preserve">        (20.196)</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5.426</w:t>
            </w:r>
          </w:p>
        </w:tc>
      </w:tr>
      <w:tr w:rsidR="00E9008A" w:rsidRPr="00586920"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rPr>
                <w:b/>
                <w:sz w:val="12"/>
                <w:szCs w:val="12"/>
              </w:rPr>
            </w:pPr>
            <w:r w:rsidRPr="008F2EC1">
              <w:rPr>
                <w:b/>
                <w:sz w:val="12"/>
                <w:szCs w:val="12"/>
              </w:rPr>
              <w:t xml:space="preserve"> Imposto de Renda e Contribuição Social Diferido </w:t>
            </w:r>
          </w:p>
        </w:tc>
        <w:tc>
          <w:tcPr>
            <w:tcW w:w="416" w:type="pct"/>
            <w:tcBorders>
              <w:top w:val="nil"/>
              <w:left w:val="single" w:sz="4" w:space="0" w:color="auto"/>
              <w:bottom w:val="single" w:sz="4" w:space="0" w:color="auto"/>
              <w:right w:val="single" w:sz="4" w:space="0" w:color="auto"/>
            </w:tcBorders>
            <w:shd w:val="clear" w:color="000000" w:fill="FFFFFF"/>
            <w:noWrap/>
            <w:vAlign w:val="center"/>
          </w:tcPr>
          <w:p w:rsidR="00E9008A" w:rsidRPr="008F2EC1" w:rsidRDefault="00E9008A" w:rsidP="005B7D01">
            <w:pPr>
              <w:jc w:val="right"/>
              <w:rPr>
                <w:sz w:val="12"/>
                <w:szCs w:val="12"/>
              </w:rPr>
            </w:pPr>
            <w:r w:rsidRPr="008F2EC1">
              <w:rPr>
                <w:sz w:val="12"/>
                <w:szCs w:val="12"/>
              </w:rPr>
              <w:t xml:space="preserve">          22.137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sz w:val="12"/>
                <w:szCs w:val="12"/>
              </w:rPr>
            </w:pP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rPr>
                <w:sz w:val="12"/>
                <w:szCs w:val="12"/>
              </w:rPr>
            </w:pPr>
            <w:r w:rsidRPr="008F2EC1">
              <w:rPr>
                <w:sz w:val="12"/>
                <w:szCs w:val="12"/>
              </w:rPr>
              <w:t xml:space="preserve">            7.969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sz w:val="12"/>
                <w:szCs w:val="12"/>
              </w:rPr>
            </w:pP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89.635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sz w:val="12"/>
                <w:szCs w:val="12"/>
              </w:rPr>
            </w:pPr>
            <w:r w:rsidRPr="008F2EC1">
              <w:rPr>
                <w:b/>
                <w:sz w:val="12"/>
                <w:szCs w:val="12"/>
              </w:rPr>
              <w:t>29.609</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sz w:val="12"/>
                <w:szCs w:val="12"/>
              </w:rPr>
              <w:t xml:space="preserve">          19.748 </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sz w:val="12"/>
                <w:szCs w:val="12"/>
              </w:rPr>
            </w:pPr>
            <w:r w:rsidRPr="008F2EC1">
              <w:rPr>
                <w:b/>
                <w:sz w:val="12"/>
                <w:szCs w:val="12"/>
              </w:rPr>
              <w:t>10.652</w:t>
            </w:r>
          </w:p>
        </w:tc>
      </w:tr>
      <w:tr w:rsidR="00E9008A" w:rsidRPr="00316249" w:rsidTr="005B7D01">
        <w:trPr>
          <w:trHeight w:val="255"/>
        </w:trPr>
        <w:tc>
          <w:tcPr>
            <w:tcW w:w="1668" w:type="pct"/>
            <w:tcBorders>
              <w:top w:val="nil"/>
              <w:left w:val="single" w:sz="4" w:space="0" w:color="auto"/>
              <w:bottom w:val="single" w:sz="4" w:space="0" w:color="auto"/>
              <w:right w:val="single" w:sz="4" w:space="0" w:color="auto"/>
            </w:tcBorders>
            <w:shd w:val="clear" w:color="000000" w:fill="FFFFFF"/>
            <w:noWrap/>
            <w:vAlign w:val="center"/>
            <w:hideMark/>
          </w:tcPr>
          <w:p w:rsidR="00E9008A" w:rsidRPr="008F2EC1" w:rsidRDefault="00E9008A" w:rsidP="005B7D01">
            <w:pPr>
              <w:jc w:val="both"/>
              <w:rPr>
                <w:b/>
                <w:sz w:val="12"/>
                <w:szCs w:val="12"/>
              </w:rPr>
            </w:pPr>
            <w:r w:rsidRPr="008F2EC1">
              <w:rPr>
                <w:b/>
                <w:sz w:val="12"/>
                <w:szCs w:val="12"/>
              </w:rPr>
              <w:t xml:space="preserve"> Total do Imposto de Renda e Contribuição Social </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sz w:val="12"/>
                <w:szCs w:val="12"/>
              </w:rPr>
            </w:pPr>
            <w:r w:rsidRPr="008F2EC1">
              <w:rPr>
                <w:b/>
                <w:bCs/>
                <w:sz w:val="12"/>
                <w:szCs w:val="12"/>
              </w:rPr>
              <w:t>20.766</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52</w:t>
            </w:r>
          </w:p>
        </w:tc>
        <w:tc>
          <w:tcPr>
            <w:tcW w:w="416"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7.468 </w:t>
            </w:r>
          </w:p>
        </w:tc>
        <w:tc>
          <w:tcPr>
            <w:tcW w:w="416" w:type="pct"/>
            <w:tcBorders>
              <w:top w:val="nil"/>
              <w:left w:val="nil"/>
              <w:bottom w:val="single" w:sz="4" w:space="0" w:color="auto"/>
              <w:right w:val="single" w:sz="4" w:space="0" w:color="auto"/>
            </w:tcBorders>
            <w:shd w:val="clear" w:color="000000" w:fill="FFFFFF"/>
            <w:noWrap/>
            <w:vAlign w:val="center"/>
          </w:tcPr>
          <w:p w:rsidR="00E9008A" w:rsidRPr="008F2EC1" w:rsidRDefault="00E9008A" w:rsidP="005B7D01">
            <w:pPr>
              <w:jc w:val="right"/>
              <w:rPr>
                <w:b/>
                <w:bCs/>
                <w:sz w:val="12"/>
                <w:szCs w:val="12"/>
              </w:rPr>
            </w:pPr>
            <w:r w:rsidRPr="008F2EC1">
              <w:rPr>
                <w:b/>
                <w:bCs/>
                <w:sz w:val="12"/>
                <w:szCs w:val="12"/>
              </w:rPr>
              <w:t>28</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34.210 </w:t>
            </w:r>
          </w:p>
        </w:tc>
        <w:tc>
          <w:tcPr>
            <w:tcW w:w="416"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44.277</w:t>
            </w:r>
          </w:p>
        </w:tc>
        <w:tc>
          <w:tcPr>
            <w:tcW w:w="418" w:type="pct"/>
            <w:tcBorders>
              <w:top w:val="nil"/>
              <w:left w:val="single" w:sz="4" w:space="0" w:color="auto"/>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 xml:space="preserve">             (448)</w:t>
            </w:r>
          </w:p>
        </w:tc>
        <w:tc>
          <w:tcPr>
            <w:tcW w:w="415" w:type="pct"/>
            <w:tcBorders>
              <w:top w:val="nil"/>
              <w:left w:val="nil"/>
              <w:bottom w:val="single" w:sz="4" w:space="0" w:color="auto"/>
              <w:right w:val="single" w:sz="4" w:space="0" w:color="auto"/>
            </w:tcBorders>
            <w:shd w:val="clear" w:color="auto" w:fill="auto"/>
            <w:noWrap/>
            <w:vAlign w:val="center"/>
          </w:tcPr>
          <w:p w:rsidR="00E9008A" w:rsidRPr="008F2EC1" w:rsidRDefault="00E9008A" w:rsidP="005B7D01">
            <w:pPr>
              <w:jc w:val="right"/>
              <w:rPr>
                <w:b/>
                <w:bCs/>
                <w:sz w:val="12"/>
                <w:szCs w:val="12"/>
              </w:rPr>
            </w:pPr>
            <w:r w:rsidRPr="008F2EC1">
              <w:rPr>
                <w:b/>
                <w:bCs/>
                <w:sz w:val="12"/>
                <w:szCs w:val="12"/>
              </w:rPr>
              <w:t>16.078</w:t>
            </w:r>
          </w:p>
        </w:tc>
      </w:tr>
    </w:tbl>
    <w:p w:rsidR="00E9008A" w:rsidRPr="00316249" w:rsidRDefault="001E7EF1" w:rsidP="00E9008A">
      <w:pPr>
        <w:spacing w:before="240" w:after="240"/>
        <w:rPr>
          <w:b/>
          <w:bCs/>
          <w:snapToGrid w:val="0"/>
          <w:sz w:val="22"/>
          <w:szCs w:val="22"/>
        </w:rPr>
      </w:pPr>
      <w:r>
        <w:rPr>
          <w:b/>
          <w:bCs/>
          <w:snapToGrid w:val="0"/>
          <w:sz w:val="22"/>
          <w:szCs w:val="22"/>
        </w:rPr>
        <w:t>(i)</w:t>
      </w:r>
      <w:r>
        <w:rPr>
          <w:b/>
          <w:bCs/>
          <w:snapToGrid w:val="0"/>
          <w:sz w:val="22"/>
          <w:szCs w:val="22"/>
        </w:rPr>
        <w:tab/>
      </w:r>
      <w:r w:rsidR="00E9008A" w:rsidRPr="00316249">
        <w:rPr>
          <w:b/>
          <w:bCs/>
          <w:snapToGrid w:val="0"/>
          <w:sz w:val="22"/>
          <w:szCs w:val="22"/>
        </w:rPr>
        <w:t>Passivo fiscal diferido</w:t>
      </w:r>
    </w:p>
    <w:p w:rsidR="00E9008A" w:rsidRPr="00316249" w:rsidRDefault="00E9008A" w:rsidP="00E9008A">
      <w:pPr>
        <w:spacing w:before="240" w:after="240"/>
        <w:jc w:val="both"/>
        <w:rPr>
          <w:sz w:val="22"/>
          <w:szCs w:val="22"/>
        </w:rPr>
      </w:pPr>
      <w:r w:rsidRPr="00316249">
        <w:rPr>
          <w:sz w:val="22"/>
          <w:szCs w:val="22"/>
        </w:rPr>
        <w:t>A Companhia reconheceu passivos fiscais diferidos relativos ao reconhecimento do custo atribuído dos terrenos (Nota Explicativa nº 13). Um dos imóveis avaliados foi capitalizado na controlada CEB D, como aporte de capital e está registrado como ativo não circulante mantido para venda. Outros eventos que geraram o reconhecimento de passivos fiscais diferidos foram: o ganho sobre o reconhecimento do VNR (Valor Novo de Reposição) do ativo financeiro indenizável; e sobre os ativos e passivos regulatórios, reconhecidos na CEB D de acordo com a OCPC 08. A realização dos passivos fiscais diferidos ocorrerá por ocasião da venda dos terrenos, pela realização do ativo financeiro indenizável e pela realização dos ativos e passivos regulatórios.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7"/>
        <w:gridCol w:w="1040"/>
        <w:gridCol w:w="1108"/>
        <w:gridCol w:w="1028"/>
        <w:gridCol w:w="1068"/>
      </w:tblGrid>
      <w:tr w:rsidR="00E9008A" w:rsidRPr="00316249" w:rsidTr="005B7D01">
        <w:trPr>
          <w:trHeight w:val="238"/>
          <w:tblHeader/>
        </w:trPr>
        <w:tc>
          <w:tcPr>
            <w:tcW w:w="2698" w:type="pct"/>
            <w:vMerge w:val="restart"/>
            <w:shd w:val="clear" w:color="000000" w:fill="D9D9D9"/>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1162"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140"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698" w:type="pct"/>
            <w:vMerge/>
            <w:vAlign w:val="center"/>
            <w:hideMark/>
          </w:tcPr>
          <w:p w:rsidR="00E9008A" w:rsidRPr="00316249" w:rsidRDefault="00E9008A" w:rsidP="005B7D01">
            <w:pPr>
              <w:rPr>
                <w:b/>
                <w:bCs/>
                <w:color w:val="000000"/>
                <w:sz w:val="18"/>
                <w:szCs w:val="18"/>
              </w:rPr>
            </w:pPr>
          </w:p>
        </w:tc>
        <w:tc>
          <w:tcPr>
            <w:tcW w:w="559"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03"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59"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698"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Imposto de Renda Pessoa Jurídica – IRPJ</w:t>
            </w:r>
          </w:p>
        </w:tc>
        <w:tc>
          <w:tcPr>
            <w:tcW w:w="559"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71.522 </w:t>
            </w:r>
          </w:p>
        </w:tc>
        <w:tc>
          <w:tcPr>
            <w:tcW w:w="60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71.522 </w:t>
            </w:r>
          </w:p>
        </w:tc>
        <w:tc>
          <w:tcPr>
            <w:tcW w:w="559"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124.129 </w:t>
            </w:r>
          </w:p>
        </w:tc>
        <w:tc>
          <w:tcPr>
            <w:tcW w:w="58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173.676</w:t>
            </w:r>
          </w:p>
        </w:tc>
      </w:tr>
      <w:tr w:rsidR="00E9008A" w:rsidRPr="00316249" w:rsidTr="005B7D01">
        <w:trPr>
          <w:trHeight w:val="238"/>
        </w:trPr>
        <w:tc>
          <w:tcPr>
            <w:tcW w:w="2698" w:type="pct"/>
            <w:shd w:val="clear" w:color="auto" w:fill="auto"/>
            <w:noWrap/>
            <w:vAlign w:val="center"/>
            <w:hideMark/>
          </w:tcPr>
          <w:p w:rsidR="00E9008A" w:rsidRPr="00316249" w:rsidRDefault="00E9008A" w:rsidP="005B7D01">
            <w:pPr>
              <w:rPr>
                <w:color w:val="000000"/>
                <w:sz w:val="18"/>
                <w:szCs w:val="18"/>
              </w:rPr>
            </w:pPr>
            <w:r>
              <w:rPr>
                <w:color w:val="000000"/>
                <w:sz w:val="18"/>
                <w:szCs w:val="18"/>
              </w:rPr>
              <w:t>Contribuição Social S</w:t>
            </w:r>
            <w:r w:rsidRPr="00316249">
              <w:rPr>
                <w:color w:val="000000"/>
                <w:sz w:val="18"/>
                <w:szCs w:val="18"/>
              </w:rPr>
              <w:t>obre o Lucro Líquido – CSLL</w:t>
            </w:r>
          </w:p>
        </w:tc>
        <w:tc>
          <w:tcPr>
            <w:tcW w:w="559"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25.748 </w:t>
            </w:r>
          </w:p>
        </w:tc>
        <w:tc>
          <w:tcPr>
            <w:tcW w:w="60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25.747 </w:t>
            </w:r>
          </w:p>
        </w:tc>
        <w:tc>
          <w:tcPr>
            <w:tcW w:w="559"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44.704 </w:t>
            </w:r>
          </w:p>
        </w:tc>
        <w:tc>
          <w:tcPr>
            <w:tcW w:w="58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62.540</w:t>
            </w:r>
          </w:p>
        </w:tc>
      </w:tr>
      <w:tr w:rsidR="00E9008A" w:rsidRPr="00316249" w:rsidTr="005B7D01">
        <w:trPr>
          <w:trHeight w:val="238"/>
        </w:trPr>
        <w:tc>
          <w:tcPr>
            <w:tcW w:w="2698"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559"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97.270 </w:t>
            </w:r>
          </w:p>
        </w:tc>
        <w:tc>
          <w:tcPr>
            <w:tcW w:w="603"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97.269 </w:t>
            </w:r>
          </w:p>
        </w:tc>
        <w:tc>
          <w:tcPr>
            <w:tcW w:w="559"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168.833 </w:t>
            </w:r>
          </w:p>
        </w:tc>
        <w:tc>
          <w:tcPr>
            <w:tcW w:w="581"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236.216</w:t>
            </w:r>
          </w:p>
        </w:tc>
      </w:tr>
      <w:tr w:rsidR="00E9008A" w:rsidRPr="00316249" w:rsidTr="005B7D01">
        <w:trPr>
          <w:trHeight w:val="238"/>
        </w:trPr>
        <w:tc>
          <w:tcPr>
            <w:tcW w:w="2698"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559"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97.270 </w:t>
            </w:r>
          </w:p>
        </w:tc>
        <w:tc>
          <w:tcPr>
            <w:tcW w:w="603"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97.269 </w:t>
            </w:r>
          </w:p>
        </w:tc>
        <w:tc>
          <w:tcPr>
            <w:tcW w:w="559"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168.833 </w:t>
            </w:r>
          </w:p>
        </w:tc>
        <w:tc>
          <w:tcPr>
            <w:tcW w:w="581"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236.216</w:t>
            </w:r>
          </w:p>
        </w:tc>
      </w:tr>
    </w:tbl>
    <w:p w:rsidR="00E9008A" w:rsidRPr="001E7EF1"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1E7EF1">
        <w:rPr>
          <w:b/>
        </w:rPr>
        <w:t>Outros tributos</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8"/>
        <w:gridCol w:w="925"/>
        <w:gridCol w:w="940"/>
        <w:gridCol w:w="1063"/>
        <w:gridCol w:w="1163"/>
      </w:tblGrid>
      <w:tr w:rsidR="00E9008A" w:rsidRPr="00316249" w:rsidTr="005B7D01">
        <w:trPr>
          <w:trHeight w:val="238"/>
          <w:tblHeader/>
        </w:trPr>
        <w:tc>
          <w:tcPr>
            <w:tcW w:w="2775" w:type="pct"/>
            <w:vMerge w:val="restart"/>
            <w:shd w:val="clear" w:color="000000" w:fill="D9D9D9"/>
            <w:vAlign w:val="center"/>
            <w:hideMark/>
          </w:tcPr>
          <w:p w:rsidR="00E9008A" w:rsidRPr="00316249" w:rsidRDefault="00E9008A" w:rsidP="005B7D01">
            <w:pPr>
              <w:jc w:val="center"/>
              <w:rPr>
                <w:color w:val="000000"/>
                <w:sz w:val="16"/>
                <w:szCs w:val="18"/>
              </w:rPr>
            </w:pPr>
            <w:r w:rsidRPr="00316249">
              <w:rPr>
                <w:color w:val="000000"/>
                <w:sz w:val="16"/>
                <w:szCs w:val="18"/>
              </w:rPr>
              <w:t> </w:t>
            </w:r>
          </w:p>
        </w:tc>
        <w:tc>
          <w:tcPr>
            <w:tcW w:w="1068" w:type="pct"/>
            <w:gridSpan w:val="2"/>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Controladora</w:t>
            </w:r>
          </w:p>
        </w:tc>
        <w:tc>
          <w:tcPr>
            <w:tcW w:w="1157" w:type="pct"/>
            <w:gridSpan w:val="2"/>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Consolidado</w:t>
            </w:r>
          </w:p>
        </w:tc>
      </w:tr>
      <w:tr w:rsidR="00E9008A" w:rsidRPr="00316249" w:rsidTr="005B7D01">
        <w:trPr>
          <w:trHeight w:val="238"/>
          <w:tblHeader/>
        </w:trPr>
        <w:tc>
          <w:tcPr>
            <w:tcW w:w="2775" w:type="pct"/>
            <w:vMerge/>
            <w:vAlign w:val="center"/>
            <w:hideMark/>
          </w:tcPr>
          <w:p w:rsidR="00E9008A" w:rsidRPr="00316249" w:rsidRDefault="00E9008A" w:rsidP="005B7D01">
            <w:pPr>
              <w:rPr>
                <w:color w:val="000000"/>
                <w:sz w:val="16"/>
                <w:szCs w:val="18"/>
              </w:rPr>
            </w:pPr>
          </w:p>
        </w:tc>
        <w:tc>
          <w:tcPr>
            <w:tcW w:w="534"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31/12/2016</w:t>
            </w:r>
          </w:p>
        </w:tc>
        <w:tc>
          <w:tcPr>
            <w:tcW w:w="534"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31/12/2015</w:t>
            </w:r>
          </w:p>
        </w:tc>
        <w:tc>
          <w:tcPr>
            <w:tcW w:w="618"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31/12/2016</w:t>
            </w:r>
          </w:p>
        </w:tc>
        <w:tc>
          <w:tcPr>
            <w:tcW w:w="539" w:type="pct"/>
            <w:shd w:val="clear" w:color="auto" w:fill="auto"/>
            <w:noWrap/>
            <w:vAlign w:val="center"/>
            <w:hideMark/>
          </w:tcPr>
          <w:p w:rsidR="00E9008A" w:rsidRPr="00316249" w:rsidRDefault="00E9008A" w:rsidP="005B7D01">
            <w:pPr>
              <w:jc w:val="center"/>
              <w:rPr>
                <w:b/>
                <w:bCs/>
                <w:color w:val="000000"/>
                <w:sz w:val="16"/>
                <w:szCs w:val="18"/>
              </w:rPr>
            </w:pPr>
            <w:r w:rsidRPr="00316249">
              <w:rPr>
                <w:b/>
                <w:bCs/>
                <w:color w:val="000000"/>
                <w:sz w:val="16"/>
                <w:szCs w:val="18"/>
              </w:rPr>
              <w:t>31/12/2015</w:t>
            </w:r>
          </w:p>
          <w:p w:rsidR="00E9008A" w:rsidRPr="00316249" w:rsidRDefault="00E9008A" w:rsidP="005B7D01">
            <w:pPr>
              <w:jc w:val="center"/>
              <w:rPr>
                <w:b/>
                <w:bCs/>
                <w:color w:val="000000"/>
                <w:sz w:val="16"/>
                <w:szCs w:val="18"/>
              </w:rPr>
            </w:pPr>
            <w:r w:rsidRPr="00316249">
              <w:rPr>
                <w:b/>
                <w:bCs/>
                <w:color w:val="000000"/>
                <w:sz w:val="16"/>
                <w:szCs w:val="18"/>
              </w:rPr>
              <w:t>Reapresentado</w:t>
            </w:r>
          </w:p>
        </w:tc>
      </w:tr>
      <w:tr w:rsidR="00E9008A" w:rsidRPr="00316249" w:rsidTr="005B7D01">
        <w:trPr>
          <w:trHeight w:val="238"/>
        </w:trPr>
        <w:tc>
          <w:tcPr>
            <w:tcW w:w="2775" w:type="pct"/>
            <w:shd w:val="clear" w:color="auto" w:fill="auto"/>
            <w:vAlign w:val="center"/>
            <w:hideMark/>
          </w:tcPr>
          <w:p w:rsidR="00E9008A" w:rsidRPr="00316249" w:rsidRDefault="00E9008A" w:rsidP="005B7D01">
            <w:pPr>
              <w:rPr>
                <w:color w:val="000000"/>
                <w:sz w:val="16"/>
                <w:szCs w:val="18"/>
              </w:rPr>
            </w:pPr>
            <w:r w:rsidRPr="00316249">
              <w:rPr>
                <w:color w:val="000000"/>
                <w:sz w:val="16"/>
                <w:szCs w:val="18"/>
              </w:rPr>
              <w:t xml:space="preserve">Imposto Sobre Circulação de Mercadorias e Prestações de Serviços de Transportes Estaduais, Intermunicipais e de Comunicações – ICMS </w:t>
            </w:r>
            <w:r w:rsidRPr="0093247D">
              <w:rPr>
                <w:b/>
                <w:color w:val="000000"/>
                <w:sz w:val="16"/>
                <w:szCs w:val="18"/>
              </w:rPr>
              <w:t>(a)</w:t>
            </w:r>
          </w:p>
        </w:tc>
        <w:tc>
          <w:tcPr>
            <w:tcW w:w="534"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w:t>
            </w:r>
          </w:p>
        </w:tc>
        <w:tc>
          <w:tcPr>
            <w:tcW w:w="534"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w:t>
            </w:r>
          </w:p>
        </w:tc>
        <w:tc>
          <w:tcPr>
            <w:tcW w:w="618"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180.275 </w:t>
            </w:r>
          </w:p>
        </w:tc>
        <w:tc>
          <w:tcPr>
            <w:tcW w:w="539"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223.830 </w:t>
            </w:r>
          </w:p>
        </w:tc>
      </w:tr>
      <w:tr w:rsidR="00E9008A" w:rsidRPr="00316249" w:rsidTr="005B7D01">
        <w:trPr>
          <w:trHeight w:val="238"/>
        </w:trPr>
        <w:tc>
          <w:tcPr>
            <w:tcW w:w="2775"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Contribuição Social Para Financiamento da Seguridade Social</w:t>
            </w:r>
            <w:r>
              <w:rPr>
                <w:color w:val="000000"/>
                <w:sz w:val="16"/>
                <w:szCs w:val="18"/>
              </w:rPr>
              <w:t xml:space="preserve"> –</w:t>
            </w:r>
            <w:r w:rsidRPr="00316249">
              <w:rPr>
                <w:color w:val="000000"/>
                <w:sz w:val="16"/>
                <w:szCs w:val="18"/>
              </w:rPr>
              <w:t xml:space="preserve"> COFINS</w:t>
            </w:r>
          </w:p>
        </w:tc>
        <w:tc>
          <w:tcPr>
            <w:tcW w:w="534"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753</w:t>
            </w:r>
          </w:p>
        </w:tc>
        <w:tc>
          <w:tcPr>
            <w:tcW w:w="534"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645 </w:t>
            </w:r>
          </w:p>
        </w:tc>
        <w:tc>
          <w:tcPr>
            <w:tcW w:w="618"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25.490 </w:t>
            </w:r>
          </w:p>
        </w:tc>
        <w:tc>
          <w:tcPr>
            <w:tcW w:w="539"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46.344 </w:t>
            </w:r>
          </w:p>
        </w:tc>
      </w:tr>
      <w:tr w:rsidR="00E9008A" w:rsidRPr="00316249" w:rsidTr="005B7D01">
        <w:trPr>
          <w:trHeight w:val="238"/>
        </w:trPr>
        <w:tc>
          <w:tcPr>
            <w:tcW w:w="2775"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Programa de Integração Social – PIS</w:t>
            </w:r>
          </w:p>
        </w:tc>
        <w:tc>
          <w:tcPr>
            <w:tcW w:w="534"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163</w:t>
            </w:r>
          </w:p>
        </w:tc>
        <w:tc>
          <w:tcPr>
            <w:tcW w:w="534"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139 </w:t>
            </w:r>
          </w:p>
        </w:tc>
        <w:tc>
          <w:tcPr>
            <w:tcW w:w="618"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5.522 </w:t>
            </w:r>
          </w:p>
        </w:tc>
        <w:tc>
          <w:tcPr>
            <w:tcW w:w="539"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18.029 </w:t>
            </w:r>
          </w:p>
        </w:tc>
      </w:tr>
      <w:tr w:rsidR="00E9008A" w:rsidRPr="00316249" w:rsidTr="005B7D01">
        <w:trPr>
          <w:trHeight w:val="238"/>
        </w:trPr>
        <w:tc>
          <w:tcPr>
            <w:tcW w:w="2775"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Retenções IRRF/CSLL/PIS/COFINS</w:t>
            </w:r>
          </w:p>
        </w:tc>
        <w:tc>
          <w:tcPr>
            <w:tcW w:w="534" w:type="pct"/>
            <w:shd w:val="clear" w:color="auto" w:fill="auto"/>
            <w:noWrap/>
            <w:vAlign w:val="center"/>
          </w:tcPr>
          <w:p w:rsidR="00E9008A" w:rsidRPr="00316249" w:rsidRDefault="00E9008A" w:rsidP="005B7D01">
            <w:pPr>
              <w:jc w:val="right"/>
              <w:rPr>
                <w:color w:val="000000"/>
                <w:sz w:val="16"/>
                <w:szCs w:val="18"/>
              </w:rPr>
            </w:pPr>
          </w:p>
        </w:tc>
        <w:tc>
          <w:tcPr>
            <w:tcW w:w="534"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271 </w:t>
            </w:r>
          </w:p>
        </w:tc>
        <w:tc>
          <w:tcPr>
            <w:tcW w:w="618"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686 </w:t>
            </w:r>
          </w:p>
        </w:tc>
        <w:tc>
          <w:tcPr>
            <w:tcW w:w="539"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4.661 </w:t>
            </w:r>
          </w:p>
        </w:tc>
      </w:tr>
      <w:tr w:rsidR="00E9008A" w:rsidRPr="00316249" w:rsidTr="005B7D01">
        <w:trPr>
          <w:trHeight w:val="238"/>
        </w:trPr>
        <w:tc>
          <w:tcPr>
            <w:tcW w:w="2775"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Imposto Sobre Serviços de Qualquer Natureza – ISS</w:t>
            </w:r>
          </w:p>
        </w:tc>
        <w:tc>
          <w:tcPr>
            <w:tcW w:w="534"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86</w:t>
            </w:r>
          </w:p>
        </w:tc>
        <w:tc>
          <w:tcPr>
            <w:tcW w:w="534"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31 </w:t>
            </w:r>
          </w:p>
        </w:tc>
        <w:tc>
          <w:tcPr>
            <w:tcW w:w="618" w:type="pct"/>
            <w:shd w:val="clear" w:color="auto" w:fill="auto"/>
            <w:noWrap/>
            <w:vAlign w:val="center"/>
          </w:tcPr>
          <w:p w:rsidR="00E9008A" w:rsidRPr="00316249" w:rsidRDefault="00E9008A" w:rsidP="005B7D01">
            <w:pPr>
              <w:jc w:val="right"/>
              <w:rPr>
                <w:color w:val="000000"/>
                <w:sz w:val="16"/>
                <w:szCs w:val="18"/>
              </w:rPr>
            </w:pPr>
            <w:r w:rsidRPr="00316249">
              <w:rPr>
                <w:color w:val="000000"/>
                <w:sz w:val="16"/>
                <w:szCs w:val="18"/>
              </w:rPr>
              <w:t xml:space="preserve">102 </w:t>
            </w:r>
          </w:p>
        </w:tc>
        <w:tc>
          <w:tcPr>
            <w:tcW w:w="539"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1.589 </w:t>
            </w:r>
          </w:p>
        </w:tc>
      </w:tr>
      <w:tr w:rsidR="00E9008A" w:rsidRPr="00316249" w:rsidTr="005B7D01">
        <w:trPr>
          <w:trHeight w:val="238"/>
        </w:trPr>
        <w:tc>
          <w:tcPr>
            <w:tcW w:w="2775" w:type="pct"/>
            <w:shd w:val="clear" w:color="auto" w:fill="auto"/>
            <w:noWrap/>
            <w:vAlign w:val="center"/>
            <w:hideMark/>
          </w:tcPr>
          <w:p w:rsidR="00E9008A" w:rsidRPr="00316249" w:rsidRDefault="00E9008A" w:rsidP="005B7D01">
            <w:pPr>
              <w:rPr>
                <w:color w:val="000000"/>
                <w:sz w:val="16"/>
                <w:szCs w:val="18"/>
              </w:rPr>
            </w:pPr>
            <w:r w:rsidRPr="00316249">
              <w:rPr>
                <w:color w:val="000000"/>
                <w:sz w:val="16"/>
                <w:szCs w:val="18"/>
              </w:rPr>
              <w:t>Outros</w:t>
            </w:r>
          </w:p>
        </w:tc>
        <w:tc>
          <w:tcPr>
            <w:tcW w:w="534" w:type="pct"/>
            <w:shd w:val="clear" w:color="auto" w:fill="auto"/>
            <w:noWrap/>
            <w:vAlign w:val="center"/>
          </w:tcPr>
          <w:p w:rsidR="00E9008A" w:rsidRPr="00316249" w:rsidRDefault="00E9008A" w:rsidP="005B7D01">
            <w:pPr>
              <w:jc w:val="right"/>
              <w:rPr>
                <w:color w:val="000000"/>
                <w:sz w:val="16"/>
                <w:szCs w:val="18"/>
              </w:rPr>
            </w:pPr>
          </w:p>
        </w:tc>
        <w:tc>
          <w:tcPr>
            <w:tcW w:w="534"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49 </w:t>
            </w:r>
          </w:p>
        </w:tc>
        <w:tc>
          <w:tcPr>
            <w:tcW w:w="618" w:type="pct"/>
            <w:shd w:val="clear" w:color="auto" w:fill="auto"/>
            <w:noWrap/>
            <w:vAlign w:val="center"/>
          </w:tcPr>
          <w:p w:rsidR="00E9008A" w:rsidRPr="00316249" w:rsidRDefault="00E9008A" w:rsidP="005B7D01">
            <w:pPr>
              <w:jc w:val="right"/>
              <w:rPr>
                <w:b/>
                <w:bCs/>
                <w:color w:val="000000"/>
                <w:sz w:val="16"/>
                <w:szCs w:val="18"/>
              </w:rPr>
            </w:pPr>
          </w:p>
        </w:tc>
        <w:tc>
          <w:tcPr>
            <w:tcW w:w="539" w:type="pct"/>
            <w:shd w:val="clear" w:color="auto" w:fill="auto"/>
            <w:noWrap/>
            <w:vAlign w:val="center"/>
            <w:hideMark/>
          </w:tcPr>
          <w:p w:rsidR="00E9008A" w:rsidRPr="00316249" w:rsidRDefault="00E9008A" w:rsidP="005B7D01">
            <w:pPr>
              <w:jc w:val="right"/>
              <w:rPr>
                <w:color w:val="000000"/>
                <w:sz w:val="16"/>
                <w:szCs w:val="18"/>
              </w:rPr>
            </w:pPr>
            <w:r w:rsidRPr="00316249">
              <w:rPr>
                <w:color w:val="000000"/>
                <w:sz w:val="16"/>
                <w:szCs w:val="18"/>
              </w:rPr>
              <w:t xml:space="preserve">          3.631 </w:t>
            </w:r>
          </w:p>
        </w:tc>
      </w:tr>
      <w:tr w:rsidR="00E9008A" w:rsidRPr="00316249" w:rsidTr="005B7D01">
        <w:trPr>
          <w:trHeight w:val="238"/>
        </w:trPr>
        <w:tc>
          <w:tcPr>
            <w:tcW w:w="2775" w:type="pct"/>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Total</w:t>
            </w:r>
          </w:p>
        </w:tc>
        <w:tc>
          <w:tcPr>
            <w:tcW w:w="534"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1.002</w:t>
            </w:r>
          </w:p>
        </w:tc>
        <w:tc>
          <w:tcPr>
            <w:tcW w:w="534"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1.135 </w:t>
            </w:r>
          </w:p>
        </w:tc>
        <w:tc>
          <w:tcPr>
            <w:tcW w:w="618"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212.075 </w:t>
            </w:r>
          </w:p>
        </w:tc>
        <w:tc>
          <w:tcPr>
            <w:tcW w:w="539"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298.084 </w:t>
            </w:r>
          </w:p>
        </w:tc>
      </w:tr>
      <w:tr w:rsidR="00E9008A" w:rsidRPr="00316249" w:rsidTr="005B7D01">
        <w:trPr>
          <w:trHeight w:val="238"/>
        </w:trPr>
        <w:tc>
          <w:tcPr>
            <w:tcW w:w="2775" w:type="pct"/>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Circulante</w:t>
            </w:r>
          </w:p>
        </w:tc>
        <w:tc>
          <w:tcPr>
            <w:tcW w:w="534"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1.002</w:t>
            </w:r>
          </w:p>
        </w:tc>
        <w:tc>
          <w:tcPr>
            <w:tcW w:w="534"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1.135 </w:t>
            </w:r>
          </w:p>
        </w:tc>
        <w:tc>
          <w:tcPr>
            <w:tcW w:w="618"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202.163 </w:t>
            </w:r>
          </w:p>
        </w:tc>
        <w:tc>
          <w:tcPr>
            <w:tcW w:w="539"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251.460 </w:t>
            </w:r>
          </w:p>
        </w:tc>
      </w:tr>
      <w:tr w:rsidR="00E9008A" w:rsidRPr="00316249" w:rsidTr="005B7D01">
        <w:trPr>
          <w:trHeight w:val="238"/>
        </w:trPr>
        <w:tc>
          <w:tcPr>
            <w:tcW w:w="2775" w:type="pct"/>
            <w:shd w:val="clear" w:color="auto" w:fill="auto"/>
            <w:vAlign w:val="center"/>
            <w:hideMark/>
          </w:tcPr>
          <w:p w:rsidR="00E9008A" w:rsidRPr="00316249" w:rsidRDefault="00E9008A" w:rsidP="005B7D01">
            <w:pPr>
              <w:rPr>
                <w:b/>
                <w:bCs/>
                <w:color w:val="000000"/>
                <w:sz w:val="16"/>
                <w:szCs w:val="18"/>
              </w:rPr>
            </w:pPr>
            <w:r w:rsidRPr="00316249">
              <w:rPr>
                <w:b/>
                <w:bCs/>
                <w:color w:val="000000"/>
                <w:sz w:val="16"/>
                <w:szCs w:val="18"/>
              </w:rPr>
              <w:t>Não Circulante</w:t>
            </w:r>
          </w:p>
        </w:tc>
        <w:tc>
          <w:tcPr>
            <w:tcW w:w="534"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w:t>
            </w:r>
          </w:p>
        </w:tc>
        <w:tc>
          <w:tcPr>
            <w:tcW w:w="534" w:type="pct"/>
            <w:shd w:val="clear" w:color="auto" w:fill="auto"/>
            <w:noWrap/>
            <w:vAlign w:val="center"/>
            <w:hideMark/>
          </w:tcPr>
          <w:p w:rsidR="00E9008A" w:rsidRPr="00316249" w:rsidRDefault="00E9008A" w:rsidP="005B7D01">
            <w:pPr>
              <w:jc w:val="right"/>
              <w:rPr>
                <w:b/>
                <w:bCs/>
                <w:color w:val="000000"/>
                <w:sz w:val="16"/>
                <w:szCs w:val="18"/>
              </w:rPr>
            </w:pPr>
          </w:p>
        </w:tc>
        <w:tc>
          <w:tcPr>
            <w:tcW w:w="618" w:type="pct"/>
            <w:shd w:val="clear" w:color="auto" w:fill="auto"/>
            <w:noWrap/>
            <w:vAlign w:val="center"/>
          </w:tcPr>
          <w:p w:rsidR="00E9008A" w:rsidRPr="00316249" w:rsidRDefault="00E9008A" w:rsidP="005B7D01">
            <w:pPr>
              <w:jc w:val="right"/>
              <w:rPr>
                <w:b/>
                <w:bCs/>
                <w:color w:val="000000"/>
                <w:sz w:val="16"/>
                <w:szCs w:val="18"/>
              </w:rPr>
            </w:pPr>
            <w:r w:rsidRPr="00316249">
              <w:rPr>
                <w:b/>
                <w:bCs/>
                <w:color w:val="000000"/>
                <w:sz w:val="16"/>
                <w:szCs w:val="18"/>
              </w:rPr>
              <w:t xml:space="preserve">9.912 </w:t>
            </w:r>
          </w:p>
        </w:tc>
        <w:tc>
          <w:tcPr>
            <w:tcW w:w="539" w:type="pct"/>
            <w:shd w:val="clear" w:color="auto" w:fill="auto"/>
            <w:noWrap/>
            <w:vAlign w:val="center"/>
            <w:hideMark/>
          </w:tcPr>
          <w:p w:rsidR="00E9008A" w:rsidRPr="00316249" w:rsidRDefault="00E9008A" w:rsidP="005B7D01">
            <w:pPr>
              <w:jc w:val="right"/>
              <w:rPr>
                <w:b/>
                <w:bCs/>
                <w:color w:val="000000"/>
                <w:sz w:val="16"/>
                <w:szCs w:val="18"/>
              </w:rPr>
            </w:pPr>
            <w:r w:rsidRPr="00316249">
              <w:rPr>
                <w:b/>
                <w:bCs/>
                <w:color w:val="000000"/>
                <w:sz w:val="16"/>
                <w:szCs w:val="18"/>
              </w:rPr>
              <w:t xml:space="preserve">        46.624 </w:t>
            </w:r>
          </w:p>
        </w:tc>
      </w:tr>
    </w:tbl>
    <w:p w:rsidR="00E9008A" w:rsidRPr="00316249" w:rsidRDefault="00E9008A" w:rsidP="00E9008A">
      <w:pPr>
        <w:spacing w:before="240" w:after="240"/>
        <w:jc w:val="both"/>
        <w:rPr>
          <w:snapToGrid w:val="0"/>
          <w:color w:val="000000"/>
          <w:sz w:val="22"/>
          <w:szCs w:val="22"/>
        </w:rPr>
      </w:pPr>
      <w:r w:rsidRPr="0093247D">
        <w:rPr>
          <w:b/>
          <w:snapToGrid w:val="0"/>
          <w:color w:val="000000"/>
          <w:sz w:val="22"/>
          <w:szCs w:val="22"/>
        </w:rPr>
        <w:t>(a)</w:t>
      </w:r>
      <w:r w:rsidRPr="00316249">
        <w:rPr>
          <w:snapToGrid w:val="0"/>
          <w:color w:val="000000"/>
          <w:sz w:val="22"/>
          <w:szCs w:val="22"/>
        </w:rPr>
        <w:t xml:space="preserve"> Em 25 de novembro de 2010, atendendo demanda da CEB Distribuição S.A., foi baixado o Decreto </w:t>
      </w:r>
      <w:r>
        <w:rPr>
          <w:snapToGrid w:val="0"/>
          <w:color w:val="000000"/>
          <w:sz w:val="22"/>
          <w:szCs w:val="22"/>
        </w:rPr>
        <w:t xml:space="preserve">             </w:t>
      </w:r>
      <w:r w:rsidRPr="00316249">
        <w:rPr>
          <w:snapToGrid w:val="0"/>
          <w:color w:val="000000"/>
          <w:sz w:val="22"/>
          <w:szCs w:val="22"/>
        </w:rPr>
        <w:t>nº 32.514, que autorizou o adiamento em três meses do pagamento do ICMS de cada mês, a partir dos fatos geradores praticados em outubro daquele ano, estabelecendo o dia 20 como vencimento. Os valores postergados deveriam sofrer apenas atualização monetária por meio do Índice Nacional de Preços ao Consumidor – INPC, portanto, sem a incidência de juros e multas decorrentes das postergações.</w:t>
      </w:r>
    </w:p>
    <w:p w:rsidR="00E9008A" w:rsidRPr="000F2313" w:rsidRDefault="00E9008A" w:rsidP="00E9008A">
      <w:pPr>
        <w:spacing w:before="240" w:after="240"/>
        <w:jc w:val="both"/>
        <w:rPr>
          <w:snapToGrid w:val="0"/>
          <w:color w:val="000000"/>
          <w:sz w:val="22"/>
          <w:szCs w:val="22"/>
        </w:rPr>
      </w:pPr>
      <w:r w:rsidRPr="000F2313">
        <w:rPr>
          <w:snapToGrid w:val="0"/>
          <w:color w:val="000000"/>
          <w:sz w:val="22"/>
          <w:szCs w:val="22"/>
        </w:rPr>
        <w:lastRenderedPageBreak/>
        <w:t>Em 20 de dezembro de 2013, foi publicado o Decreto nº 34.990, que autorizou a mudança do vencimento do dia 20 para o penúltimo dia útil, mantendo o adiamento de três meses e a cobrança apenas da correção monetária.</w:t>
      </w:r>
    </w:p>
    <w:p w:rsidR="00E9008A" w:rsidRPr="00DA2DA0" w:rsidRDefault="00E9008A" w:rsidP="00E9008A">
      <w:pPr>
        <w:spacing w:before="240" w:after="240"/>
        <w:jc w:val="both"/>
        <w:rPr>
          <w:snapToGrid w:val="0"/>
          <w:color w:val="000000"/>
          <w:sz w:val="22"/>
          <w:szCs w:val="22"/>
        </w:rPr>
      </w:pPr>
      <w:r w:rsidRPr="00747E73">
        <w:rPr>
          <w:snapToGrid w:val="0"/>
          <w:color w:val="000000"/>
          <w:sz w:val="22"/>
          <w:szCs w:val="22"/>
        </w:rPr>
        <w:t>Em 27 de agosto de 2014, foi publicado o Decreto nº 35.762, que alterou a redação do artigo 74 do Regulamento do ICMS, em relação ao seu vencimento, que passou a ser no penúltimo dia útil do mês subsequente.</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CONTRIBUIÇÃO DE ILUMINAÇÃO PÚBLICA</w:t>
      </w:r>
    </w:p>
    <w:p w:rsidR="00E9008A" w:rsidRPr="00316249" w:rsidRDefault="00E9008A" w:rsidP="00E9008A">
      <w:pPr>
        <w:spacing w:before="240" w:after="240"/>
        <w:jc w:val="both"/>
        <w:rPr>
          <w:snapToGrid w:val="0"/>
          <w:color w:val="000000"/>
          <w:sz w:val="22"/>
          <w:szCs w:val="22"/>
        </w:rPr>
      </w:pPr>
      <w:r w:rsidRPr="00316249">
        <w:rPr>
          <w:snapToGrid w:val="0"/>
          <w:color w:val="000000"/>
          <w:sz w:val="22"/>
          <w:szCs w:val="22"/>
        </w:rPr>
        <w:t xml:space="preserve">A Contribuição de iluminação pública </w:t>
      </w:r>
      <w:r w:rsidRPr="00316249">
        <w:rPr>
          <w:color w:val="000000"/>
          <w:sz w:val="22"/>
          <w:szCs w:val="22"/>
        </w:rPr>
        <w:t>–</w:t>
      </w:r>
      <w:r w:rsidRPr="00316249">
        <w:rPr>
          <w:snapToGrid w:val="0"/>
          <w:color w:val="000000"/>
          <w:sz w:val="22"/>
          <w:szCs w:val="22"/>
        </w:rPr>
        <w:t xml:space="preserve"> CIP foi instituída no Distrito Federal pela Lei Complementar nº 673, de 27 de dezembro de 2002, para custeio dos serviços de iluminação pública prestados aos contribuintes nas vias e logradouros públicos do Distrito Federal.</w:t>
      </w:r>
    </w:p>
    <w:p w:rsidR="00E9008A" w:rsidRPr="00316249" w:rsidRDefault="00E9008A" w:rsidP="00E9008A">
      <w:pPr>
        <w:spacing w:before="240" w:after="240"/>
        <w:jc w:val="both"/>
        <w:rPr>
          <w:snapToGrid w:val="0"/>
          <w:color w:val="000000"/>
          <w:sz w:val="22"/>
          <w:szCs w:val="22"/>
        </w:rPr>
      </w:pPr>
      <w:r w:rsidRPr="00316249">
        <w:rPr>
          <w:snapToGrid w:val="0"/>
          <w:color w:val="000000"/>
          <w:sz w:val="22"/>
          <w:szCs w:val="22"/>
        </w:rPr>
        <w:t>O custeio do serviço de iluminação pública compreende:</w:t>
      </w:r>
    </w:p>
    <w:p w:rsidR="00E9008A" w:rsidRPr="00316249" w:rsidRDefault="00E9008A" w:rsidP="00E9008A">
      <w:pPr>
        <w:spacing w:before="240" w:after="240"/>
        <w:jc w:val="both"/>
        <w:rPr>
          <w:snapToGrid w:val="0"/>
          <w:color w:val="000000"/>
          <w:sz w:val="22"/>
          <w:szCs w:val="22"/>
        </w:rPr>
      </w:pPr>
      <w:r w:rsidRPr="00316249">
        <w:rPr>
          <w:snapToGrid w:val="0"/>
          <w:color w:val="000000"/>
          <w:sz w:val="22"/>
          <w:szCs w:val="22"/>
        </w:rPr>
        <w:t>I – despesas com energia consumida pelos serviços de iluminação pública; e</w:t>
      </w:r>
    </w:p>
    <w:p w:rsidR="00E9008A" w:rsidRPr="00316249" w:rsidRDefault="00E9008A" w:rsidP="00E9008A">
      <w:pPr>
        <w:spacing w:before="240" w:after="240"/>
        <w:jc w:val="both"/>
        <w:rPr>
          <w:snapToGrid w:val="0"/>
          <w:color w:val="000000"/>
          <w:sz w:val="22"/>
          <w:szCs w:val="22"/>
        </w:rPr>
      </w:pPr>
      <w:r w:rsidRPr="00316249">
        <w:rPr>
          <w:snapToGrid w:val="0"/>
          <w:color w:val="000000"/>
          <w:sz w:val="22"/>
          <w:szCs w:val="22"/>
        </w:rPr>
        <w:t xml:space="preserve">II – despesas com administração, operações, manutenção, </w:t>
      </w:r>
      <w:proofErr w:type="spellStart"/>
      <w:r w:rsidRPr="00316249">
        <w:rPr>
          <w:snapToGrid w:val="0"/>
          <w:color w:val="000000"/>
          <w:sz w:val="22"/>
          <w:szCs w:val="22"/>
        </w:rPr>
        <w:t>eficientização</w:t>
      </w:r>
      <w:proofErr w:type="spellEnd"/>
      <w:r w:rsidRPr="00316249">
        <w:rPr>
          <w:snapToGrid w:val="0"/>
          <w:color w:val="000000"/>
          <w:sz w:val="22"/>
          <w:szCs w:val="22"/>
        </w:rPr>
        <w:t xml:space="preserve"> e ampliação do sistema de iluminação pública. </w:t>
      </w:r>
    </w:p>
    <w:p w:rsidR="00E9008A" w:rsidRPr="00316249" w:rsidRDefault="00E9008A" w:rsidP="00E9008A">
      <w:pPr>
        <w:spacing w:before="240" w:after="240"/>
        <w:jc w:val="both"/>
        <w:rPr>
          <w:sz w:val="22"/>
          <w:szCs w:val="22"/>
        </w:rPr>
      </w:pPr>
      <w:r w:rsidRPr="00316249">
        <w:rPr>
          <w:sz w:val="22"/>
          <w:szCs w:val="22"/>
        </w:rPr>
        <w:t xml:space="preserve">A cobrança da CIP é efetuada na fatura de consumo de energia elétrica e devida ao Governo do Distrito Federal (GDF), sendo o saldo não repassado atualizado pelo INPC. </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Em 23 de dezembro de 2014, foi publicada a Lei nº 5.434 que estabeleceu medidas de apoio à CEB D, preparatórias à prorrogação do Contrato de Concessão de Distribuição de Energia. Dentre as medidas adotadas foi autorizado o parcelamento, em 60 parcelas mensais e sucessivas, do saldo arrecadado e não repassado da CIP nos exercícios de 2013 e 2014, que serão corrigidos</w:t>
      </w:r>
      <w:r w:rsidRPr="00316249">
        <w:t xml:space="preserve"> </w:t>
      </w:r>
      <w:r w:rsidRPr="00316249">
        <w:rPr>
          <w:sz w:val="22"/>
          <w:szCs w:val="22"/>
        </w:rPr>
        <w:t>pelo INPC, a partir do segundo mês subsequente ao</w:t>
      </w:r>
      <w:r w:rsidRPr="00316249">
        <w:t xml:space="preserve"> </w:t>
      </w:r>
      <w:r w:rsidRPr="00316249">
        <w:rPr>
          <w:sz w:val="22"/>
          <w:szCs w:val="22"/>
        </w:rPr>
        <w:t xml:space="preserve">da sua arrecadação, até o mês de início do pagamento do parcelamento. Este saldo corresponde a R$ 161.875 e as parcelas terão vencimento no 15º dia útil de cada mês. </w:t>
      </w:r>
    </w:p>
    <w:p w:rsidR="00E9008A" w:rsidRPr="00316249" w:rsidRDefault="00E9008A" w:rsidP="00E9008A">
      <w:pPr>
        <w:spacing w:before="240" w:after="240"/>
        <w:jc w:val="both"/>
        <w:rPr>
          <w:sz w:val="22"/>
          <w:szCs w:val="22"/>
        </w:rPr>
      </w:pPr>
      <w:r w:rsidRPr="00316249">
        <w:rPr>
          <w:sz w:val="22"/>
          <w:szCs w:val="22"/>
        </w:rPr>
        <w:t xml:space="preserve">Em 31 de dezembro de 2016, o montante a repassar ao GDF era de R$ 207.412 e apresentava a seguinte movimentação: </w:t>
      </w:r>
    </w:p>
    <w:tbl>
      <w:tblPr>
        <w:tblW w:w="5000" w:type="pct"/>
        <w:tblCellMar>
          <w:left w:w="70" w:type="dxa"/>
          <w:right w:w="70" w:type="dxa"/>
        </w:tblCellMar>
        <w:tblLook w:val="04A0" w:firstRow="1" w:lastRow="0" w:firstColumn="1" w:lastColumn="0" w:noHBand="0" w:noVBand="1"/>
      </w:tblPr>
      <w:tblGrid>
        <w:gridCol w:w="7863"/>
        <w:gridCol w:w="1348"/>
      </w:tblGrid>
      <w:tr w:rsidR="00E9008A" w:rsidRPr="00316249" w:rsidTr="005B7D01">
        <w:trPr>
          <w:trHeight w:val="261"/>
        </w:trPr>
        <w:tc>
          <w:tcPr>
            <w:tcW w:w="4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2015</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245.195</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Faturamento Arrecadado</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191.</w:t>
            </w:r>
            <w:r w:rsidRPr="00316249" w:rsidDel="0085506E">
              <w:rPr>
                <w:color w:val="000000"/>
                <w:sz w:val="18"/>
                <w:szCs w:val="18"/>
              </w:rPr>
              <w:t xml:space="preserve"> </w:t>
            </w:r>
            <w:r w:rsidRPr="00316249">
              <w:rPr>
                <w:color w:val="000000"/>
                <w:sz w:val="18"/>
                <w:szCs w:val="18"/>
              </w:rPr>
              <w:t>410</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Faturamento não Arrecadado</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2.022</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Atualização Monetária</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16.264</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Repasses ao Governo do Distrito Federal</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(203.995)</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Cs/>
                <w:color w:val="000000"/>
                <w:sz w:val="18"/>
                <w:szCs w:val="18"/>
              </w:rPr>
            </w:pPr>
            <w:r w:rsidRPr="00316249">
              <w:rPr>
                <w:bCs/>
                <w:color w:val="000000"/>
                <w:sz w:val="18"/>
                <w:szCs w:val="18"/>
              </w:rPr>
              <w:t>Reversão por Prescrição</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(43.349)</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r w:rsidRPr="00316249">
              <w:rPr>
                <w:b/>
                <w:bCs/>
                <w:color w:val="000000"/>
                <w:sz w:val="18"/>
                <w:szCs w:val="18"/>
              </w:rPr>
              <w:t>Saldo em 31 de dezembro de 2016</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207.412</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127.532</w:t>
            </w:r>
          </w:p>
        </w:tc>
      </w:tr>
      <w:tr w:rsidR="00E9008A" w:rsidRPr="00316249" w:rsidTr="005B7D01">
        <w:trPr>
          <w:trHeight w:val="238"/>
        </w:trPr>
        <w:tc>
          <w:tcPr>
            <w:tcW w:w="426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73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79.880</w:t>
            </w:r>
          </w:p>
        </w:tc>
      </w:tr>
    </w:tbl>
    <w:p w:rsidR="00E9008A" w:rsidRPr="00316249" w:rsidRDefault="00E9008A" w:rsidP="00E9008A">
      <w:pPr>
        <w:spacing w:before="240" w:after="240"/>
        <w:jc w:val="both"/>
        <w:rPr>
          <w:sz w:val="22"/>
          <w:szCs w:val="22"/>
        </w:rPr>
      </w:pPr>
      <w:r w:rsidRPr="00316249">
        <w:rPr>
          <w:sz w:val="22"/>
          <w:szCs w:val="22"/>
        </w:rPr>
        <w:t>A movimentação do valor do parcelamento da CIP é apresentada no quadro a seguir: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0"/>
        <w:gridCol w:w="1901"/>
      </w:tblGrid>
      <w:tr w:rsidR="00E9008A" w:rsidRPr="00316249" w:rsidTr="005B7D01">
        <w:trPr>
          <w:trHeight w:val="240"/>
        </w:trPr>
        <w:tc>
          <w:tcPr>
            <w:tcW w:w="3968" w:type="pct"/>
            <w:shd w:val="clear" w:color="auto" w:fill="auto"/>
            <w:noWrap/>
            <w:vAlign w:val="center"/>
          </w:tcPr>
          <w:p w:rsidR="00E9008A" w:rsidRPr="00316249" w:rsidRDefault="00E9008A" w:rsidP="005B7D01">
            <w:pPr>
              <w:rPr>
                <w:b/>
                <w:bCs/>
                <w:color w:val="000000"/>
                <w:sz w:val="18"/>
                <w:szCs w:val="18"/>
              </w:rPr>
            </w:pPr>
            <w:r w:rsidRPr="00316249">
              <w:rPr>
                <w:b/>
                <w:bCs/>
                <w:color w:val="000000"/>
                <w:sz w:val="18"/>
                <w:szCs w:val="18"/>
              </w:rPr>
              <w:t>Saldo em 31 de dezembro de 2015</w:t>
            </w:r>
          </w:p>
        </w:tc>
        <w:tc>
          <w:tcPr>
            <w:tcW w:w="1032" w:type="pct"/>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 xml:space="preserve">       145.792 </w:t>
            </w:r>
          </w:p>
        </w:tc>
      </w:tr>
      <w:tr w:rsidR="00E9008A" w:rsidRPr="00316249" w:rsidTr="005B7D01">
        <w:trPr>
          <w:trHeight w:val="240"/>
        </w:trPr>
        <w:tc>
          <w:tcPr>
            <w:tcW w:w="396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Amortização no Exercício</w:t>
            </w:r>
          </w:p>
        </w:tc>
        <w:tc>
          <w:tcPr>
            <w:tcW w:w="1032"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(37.337)</w:t>
            </w:r>
          </w:p>
        </w:tc>
      </w:tr>
      <w:tr w:rsidR="00E9008A" w:rsidRPr="00316249" w:rsidTr="005B7D01">
        <w:trPr>
          <w:trHeight w:val="240"/>
        </w:trPr>
        <w:tc>
          <w:tcPr>
            <w:tcW w:w="396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Atualização no Exercício</w:t>
            </w:r>
          </w:p>
        </w:tc>
        <w:tc>
          <w:tcPr>
            <w:tcW w:w="1032" w:type="pct"/>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9.767</w:t>
            </w:r>
          </w:p>
        </w:tc>
      </w:tr>
      <w:tr w:rsidR="00E9008A" w:rsidRPr="00316249" w:rsidTr="005B7D01">
        <w:trPr>
          <w:trHeight w:val="240"/>
        </w:trPr>
        <w:tc>
          <w:tcPr>
            <w:tcW w:w="3968"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2016</w:t>
            </w:r>
          </w:p>
        </w:tc>
        <w:tc>
          <w:tcPr>
            <w:tcW w:w="1032" w:type="pct"/>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118.222</w:t>
            </w:r>
          </w:p>
        </w:tc>
      </w:tr>
      <w:tr w:rsidR="00E9008A" w:rsidRPr="00316249" w:rsidTr="005B7D01">
        <w:trPr>
          <w:trHeight w:val="240"/>
        </w:trPr>
        <w:tc>
          <w:tcPr>
            <w:tcW w:w="3968"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1032" w:type="pct"/>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38.342</w:t>
            </w:r>
          </w:p>
        </w:tc>
      </w:tr>
      <w:tr w:rsidR="00E9008A" w:rsidRPr="00316249" w:rsidTr="005B7D01">
        <w:trPr>
          <w:trHeight w:val="240"/>
        </w:trPr>
        <w:tc>
          <w:tcPr>
            <w:tcW w:w="3968"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lastRenderedPageBreak/>
              <w:t>Não Circulante</w:t>
            </w:r>
          </w:p>
        </w:tc>
        <w:tc>
          <w:tcPr>
            <w:tcW w:w="1032" w:type="pct"/>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79.880</w:t>
            </w:r>
          </w:p>
        </w:tc>
      </w:tr>
    </w:tbl>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ENCARGOS REGULATÓRIOS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5"/>
        <w:gridCol w:w="1670"/>
        <w:gridCol w:w="1306"/>
      </w:tblGrid>
      <w:tr w:rsidR="00E9008A" w:rsidRPr="00316249" w:rsidTr="005B7D01">
        <w:trPr>
          <w:trHeight w:val="238"/>
          <w:tblHeader/>
        </w:trPr>
        <w:tc>
          <w:tcPr>
            <w:tcW w:w="3425" w:type="pct"/>
            <w:vMerge w:val="restart"/>
            <w:shd w:val="clear" w:color="000000" w:fill="D9D9D9"/>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w:t>
            </w:r>
          </w:p>
        </w:tc>
        <w:tc>
          <w:tcPr>
            <w:tcW w:w="1575"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3425" w:type="pct"/>
            <w:vMerge/>
            <w:vAlign w:val="center"/>
            <w:hideMark/>
          </w:tcPr>
          <w:p w:rsidR="00E9008A" w:rsidRPr="00316249" w:rsidRDefault="00E9008A" w:rsidP="005B7D01">
            <w:pPr>
              <w:rPr>
                <w:b/>
                <w:bCs/>
                <w:color w:val="000000"/>
                <w:sz w:val="18"/>
                <w:szCs w:val="18"/>
              </w:rPr>
            </w:pPr>
          </w:p>
        </w:tc>
        <w:tc>
          <w:tcPr>
            <w:tcW w:w="82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49"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425"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Superávit de Baixa Renda </w:t>
            </w:r>
            <w:r w:rsidRPr="0067534F">
              <w:rPr>
                <w:b/>
                <w:color w:val="000000"/>
                <w:sz w:val="18"/>
                <w:szCs w:val="18"/>
              </w:rPr>
              <w:t>(a)</w:t>
            </w:r>
          </w:p>
        </w:tc>
        <w:tc>
          <w:tcPr>
            <w:tcW w:w="82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140.322 </w:t>
            </w:r>
          </w:p>
        </w:tc>
        <w:tc>
          <w:tcPr>
            <w:tcW w:w="749"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123.291 </w:t>
            </w:r>
          </w:p>
        </w:tc>
      </w:tr>
      <w:tr w:rsidR="00E9008A" w:rsidRPr="00316249" w:rsidTr="005B7D01">
        <w:trPr>
          <w:trHeight w:val="238"/>
        </w:trPr>
        <w:tc>
          <w:tcPr>
            <w:tcW w:w="3425"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Pesquisa &amp; Desenvolvimento e Eficiência Energética </w:t>
            </w:r>
            <w:r w:rsidRPr="0067534F">
              <w:rPr>
                <w:b/>
                <w:color w:val="000000"/>
                <w:sz w:val="18"/>
                <w:szCs w:val="18"/>
              </w:rPr>
              <w:t>(b)</w:t>
            </w:r>
          </w:p>
        </w:tc>
        <w:tc>
          <w:tcPr>
            <w:tcW w:w="82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117.987 </w:t>
            </w:r>
          </w:p>
        </w:tc>
        <w:tc>
          <w:tcPr>
            <w:tcW w:w="749"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93.674 </w:t>
            </w:r>
          </w:p>
        </w:tc>
      </w:tr>
      <w:tr w:rsidR="00E9008A" w:rsidRPr="00316249" w:rsidTr="005B7D01">
        <w:trPr>
          <w:trHeight w:val="238"/>
        </w:trPr>
        <w:tc>
          <w:tcPr>
            <w:tcW w:w="3425"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Encargos do Consumidor a Recolher </w:t>
            </w:r>
            <w:r w:rsidRPr="0067534F">
              <w:rPr>
                <w:b/>
                <w:color w:val="000000"/>
                <w:sz w:val="18"/>
                <w:szCs w:val="18"/>
              </w:rPr>
              <w:t>(c)</w:t>
            </w:r>
          </w:p>
        </w:tc>
        <w:tc>
          <w:tcPr>
            <w:tcW w:w="826"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166.002 </w:t>
            </w:r>
          </w:p>
        </w:tc>
        <w:tc>
          <w:tcPr>
            <w:tcW w:w="749"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83.909 </w:t>
            </w:r>
          </w:p>
        </w:tc>
      </w:tr>
      <w:tr w:rsidR="00E9008A" w:rsidRPr="00316249" w:rsidTr="005B7D01">
        <w:trPr>
          <w:trHeight w:val="238"/>
        </w:trPr>
        <w:tc>
          <w:tcPr>
            <w:tcW w:w="3425"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82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424.311 </w:t>
            </w:r>
          </w:p>
        </w:tc>
        <w:tc>
          <w:tcPr>
            <w:tcW w:w="749"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300.874 </w:t>
            </w:r>
          </w:p>
        </w:tc>
      </w:tr>
      <w:tr w:rsidR="00E9008A" w:rsidRPr="00316249" w:rsidTr="005B7D01">
        <w:trPr>
          <w:trHeight w:val="238"/>
        </w:trPr>
        <w:tc>
          <w:tcPr>
            <w:tcW w:w="3425"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82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202.102 </w:t>
            </w:r>
          </w:p>
        </w:tc>
        <w:tc>
          <w:tcPr>
            <w:tcW w:w="749"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118.605 </w:t>
            </w:r>
          </w:p>
        </w:tc>
      </w:tr>
      <w:tr w:rsidR="00E9008A" w:rsidRPr="00316249" w:rsidTr="005B7D01">
        <w:trPr>
          <w:trHeight w:val="238"/>
        </w:trPr>
        <w:tc>
          <w:tcPr>
            <w:tcW w:w="3425"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826"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222.209 </w:t>
            </w:r>
          </w:p>
        </w:tc>
        <w:tc>
          <w:tcPr>
            <w:tcW w:w="749"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182.269 </w:t>
            </w:r>
          </w:p>
        </w:tc>
      </w:tr>
    </w:tbl>
    <w:p w:rsidR="00E9008A" w:rsidRPr="00316249" w:rsidRDefault="00E9008A" w:rsidP="00E9008A">
      <w:pPr>
        <w:spacing w:before="240" w:after="240"/>
        <w:rPr>
          <w:b/>
          <w:bCs/>
          <w:snapToGrid w:val="0"/>
          <w:sz w:val="22"/>
          <w:szCs w:val="22"/>
        </w:rPr>
      </w:pPr>
      <w:r w:rsidRPr="00316249">
        <w:rPr>
          <w:b/>
          <w:bCs/>
          <w:snapToGrid w:val="0"/>
          <w:sz w:val="22"/>
          <w:szCs w:val="22"/>
        </w:rPr>
        <w:t>(a)</w:t>
      </w:r>
      <w:r w:rsidRPr="00316249">
        <w:rPr>
          <w:b/>
          <w:bCs/>
          <w:snapToGrid w:val="0"/>
          <w:sz w:val="22"/>
          <w:szCs w:val="22"/>
        </w:rPr>
        <w:tab/>
      </w:r>
      <w:proofErr w:type="spellStart"/>
      <w:r>
        <w:rPr>
          <w:b/>
          <w:bCs/>
          <w:snapToGrid w:val="0"/>
          <w:sz w:val="22"/>
          <w:szCs w:val="22"/>
        </w:rPr>
        <w:t>Supera</w:t>
      </w:r>
      <w:r w:rsidRPr="00316249">
        <w:rPr>
          <w:b/>
          <w:bCs/>
          <w:snapToGrid w:val="0"/>
          <w:sz w:val="22"/>
          <w:szCs w:val="22"/>
        </w:rPr>
        <w:t>vit</w:t>
      </w:r>
      <w:proofErr w:type="spellEnd"/>
      <w:r w:rsidRPr="00316249">
        <w:rPr>
          <w:b/>
          <w:bCs/>
          <w:snapToGrid w:val="0"/>
          <w:sz w:val="22"/>
          <w:szCs w:val="22"/>
        </w:rPr>
        <w:t xml:space="preserve"> de baixa renda </w:t>
      </w:r>
    </w:p>
    <w:p w:rsidR="00E9008A" w:rsidRPr="00316249" w:rsidRDefault="00E9008A" w:rsidP="00E9008A">
      <w:pPr>
        <w:spacing w:before="240" w:after="240"/>
        <w:jc w:val="both"/>
        <w:rPr>
          <w:sz w:val="22"/>
          <w:szCs w:val="22"/>
        </w:rPr>
      </w:pPr>
      <w:r w:rsidRPr="00316249">
        <w:rPr>
          <w:sz w:val="22"/>
          <w:szCs w:val="22"/>
        </w:rPr>
        <w:t>A aplicação da tarifa social de baixa renda, que causou impacto significativo nas receitas operacionais das concessionárias, foi instituída pela Lei nº 10.438, de 26 de abril de 2002. O Decreto nº 4.538, de 23 de dezembro de 2002, e a Lei nº 10.604, de 17 de dezembro de 2002, foram os instrumentos legais instituídos para regulamentar o processo de subvenção econômica, com a finalidade de contribuir para a modicidade da tarifa de fornecimento de energia elétrica dos consumidores finais integrantes da subclasse residencial.</w:t>
      </w:r>
    </w:p>
    <w:p w:rsidR="00E9008A" w:rsidRPr="00316249" w:rsidRDefault="00E9008A" w:rsidP="00E9008A">
      <w:pPr>
        <w:spacing w:before="240" w:after="240"/>
        <w:jc w:val="both"/>
        <w:rPr>
          <w:sz w:val="22"/>
          <w:szCs w:val="22"/>
        </w:rPr>
      </w:pPr>
      <w:r w:rsidRPr="00316249">
        <w:rPr>
          <w:sz w:val="22"/>
          <w:szCs w:val="22"/>
        </w:rPr>
        <w:t>O montante apurado refere-se ao valor a ser ressarcido aos consumidores em decorrência do processo de migração de determinados consumidores residenciais, anteriormente enquadrados na subclasse de baixa renda, para consumidores normais. O ressarcimento deve-se ao fato de as tarifas concedidas à Companhia já terem considerado o enquadramento anterior dos consumidores como de baixa renda.</w:t>
      </w:r>
    </w:p>
    <w:p w:rsidR="00E9008A" w:rsidRDefault="00E9008A" w:rsidP="00E9008A">
      <w:pPr>
        <w:spacing w:before="240" w:after="240"/>
        <w:jc w:val="both"/>
        <w:rPr>
          <w:sz w:val="22"/>
          <w:szCs w:val="22"/>
        </w:rPr>
      </w:pPr>
      <w:r>
        <w:rPr>
          <w:sz w:val="22"/>
          <w:szCs w:val="22"/>
        </w:rPr>
        <w:t>Em função de argumentos apresentados pela CEB Distribuição S.A., a Superintendência de Fiscalização Financeira – SFF da ANEEL editou a Nota Técnica nº 167/2016-SFF/ANEEL, de 29 de setembro de 2016, em que conclui pela não desconformidade da Distribuidora no tratamento do passivo de baixa renda ao longo dos processos tarifários correspondentes. Destaca, inclusive, o fato do valor do passivo estar devidamente provisionado nas demonstrações financeiras da Empresa.</w:t>
      </w:r>
    </w:p>
    <w:p w:rsidR="00E9008A" w:rsidRDefault="00E9008A" w:rsidP="00E9008A">
      <w:pPr>
        <w:spacing w:before="240" w:after="240"/>
        <w:jc w:val="both"/>
        <w:rPr>
          <w:sz w:val="22"/>
          <w:szCs w:val="22"/>
        </w:rPr>
      </w:pPr>
      <w:r>
        <w:rPr>
          <w:sz w:val="22"/>
          <w:szCs w:val="22"/>
        </w:rPr>
        <w:t>Não obstante, a SFF encaminhou o assunto para o pronunciamento das Superintendências de Regulação dos Serviços de Distribuição – SRD e de Fiscalização dos Serviços de Eletricidade – SFE, orientando à CEB Distribuição S.A. que não baixasse o valor do passivo até a decisão final da Agência Reguladora.</w:t>
      </w:r>
    </w:p>
    <w:p w:rsidR="00E9008A" w:rsidRDefault="00E9008A" w:rsidP="00E9008A">
      <w:pPr>
        <w:spacing w:before="240" w:after="240"/>
        <w:jc w:val="both"/>
        <w:rPr>
          <w:sz w:val="22"/>
          <w:szCs w:val="22"/>
        </w:rPr>
      </w:pPr>
      <w:r w:rsidRPr="00747E73">
        <w:rPr>
          <w:sz w:val="22"/>
          <w:szCs w:val="22"/>
        </w:rPr>
        <w:t>O assunto continua ainda pendente de solução por parte do Órgão Regulador.</w:t>
      </w:r>
    </w:p>
    <w:p w:rsidR="00E9008A" w:rsidRPr="00316249" w:rsidRDefault="00E9008A" w:rsidP="00E9008A">
      <w:pPr>
        <w:spacing w:before="240" w:after="240"/>
        <w:rPr>
          <w:b/>
          <w:bCs/>
          <w:snapToGrid w:val="0"/>
          <w:sz w:val="22"/>
          <w:szCs w:val="22"/>
        </w:rPr>
      </w:pPr>
      <w:r w:rsidRPr="00316249">
        <w:rPr>
          <w:b/>
          <w:bCs/>
          <w:snapToGrid w:val="0"/>
          <w:sz w:val="22"/>
          <w:szCs w:val="22"/>
        </w:rPr>
        <w:t xml:space="preserve"> (b)</w:t>
      </w:r>
      <w:r w:rsidRPr="00316249">
        <w:rPr>
          <w:b/>
          <w:bCs/>
          <w:snapToGrid w:val="0"/>
          <w:sz w:val="22"/>
          <w:szCs w:val="22"/>
        </w:rPr>
        <w:tab/>
        <w:t xml:space="preserve">Obrigações de Pesquisa e Desenvolvimento – P&amp;D e Eficiência Energética – PEE </w:t>
      </w:r>
    </w:p>
    <w:p w:rsidR="00E9008A" w:rsidRPr="00316249" w:rsidRDefault="00E9008A" w:rsidP="00E9008A">
      <w:pPr>
        <w:spacing w:before="240" w:after="240"/>
        <w:jc w:val="both"/>
        <w:rPr>
          <w:sz w:val="22"/>
          <w:szCs w:val="22"/>
        </w:rPr>
      </w:pPr>
      <w:r w:rsidRPr="00316249">
        <w:rPr>
          <w:sz w:val="22"/>
          <w:szCs w:val="22"/>
        </w:rPr>
        <w:t xml:space="preserve">A controlada CEB D, por ser uma distribuidora do segmento de energia elétrica, é obrigada a aplicar 1% de sua receita operacional líquida (ROL) em ações que tenham como objetivo o combate ao desperdício de energia elétrica e o desenvolvimento tecnológico do setor elétrico.  A obrigatoriedade na aplicação desses recursos está prevista em lei e no contrato de concessão, cabendo à ANEEL regulamentar os investimentos nos programas, acompanhar a execução dos projetos e avaliar seus resultados. O montante de 1% é destinado aos Programas de Eficiência Energética – PEE; Pesquisa e Desenvolvimento – P&amp;D; ao Fundo Nacional de Desenvolvimento Científico e Tecnológico – FNDCT; e ao Ministério de Minas e Energia – MME. A participação de cada um dos programas está </w:t>
      </w:r>
      <w:r w:rsidRPr="00316249">
        <w:rPr>
          <w:sz w:val="22"/>
          <w:szCs w:val="22"/>
        </w:rPr>
        <w:lastRenderedPageBreak/>
        <w:t>definida pelas leis nº 10.848 e nº 11.465, de 15 de março de 2004 e 28 março de 2007, respectivamente.</w:t>
      </w:r>
    </w:p>
    <w:p w:rsidR="00E9008A" w:rsidRPr="00316249" w:rsidRDefault="00E9008A" w:rsidP="00E9008A">
      <w:pPr>
        <w:spacing w:before="240" w:after="240"/>
        <w:jc w:val="both"/>
        <w:rPr>
          <w:sz w:val="22"/>
          <w:szCs w:val="22"/>
        </w:rPr>
      </w:pPr>
      <w:r w:rsidRPr="00316249">
        <w:rPr>
          <w:sz w:val="22"/>
          <w:szCs w:val="22"/>
        </w:rPr>
        <w:t>A atualização das parcelas referentes ao PEE e ao P&amp;D é efetuada pela taxa de juros SELIC, de acordo com as Resoluções Normativas ANEEL nº 176, de 28 de novembro de 2005; nº 219, de 11 de abril de 2006; nº 300, de 12 de fevereiro de 2008; e nº 316, de 13 de maio de 2008, além do Ofício Circular nº 1.644/2009-SFF/ANEEL, de 28 dezembro de 2009.</w:t>
      </w:r>
    </w:p>
    <w:p w:rsidR="00E9008A" w:rsidRPr="00316249" w:rsidRDefault="00E9008A" w:rsidP="00E9008A">
      <w:pPr>
        <w:spacing w:before="240" w:after="240"/>
        <w:jc w:val="both"/>
        <w:rPr>
          <w:sz w:val="22"/>
          <w:szCs w:val="22"/>
        </w:rPr>
      </w:pPr>
      <w:r w:rsidRPr="00316249">
        <w:rPr>
          <w:sz w:val="22"/>
          <w:szCs w:val="22"/>
        </w:rPr>
        <w:t>Por meio da Resolução Normativa nº 233, de 24 de outubro de 2006, com validade a partir de 1</w:t>
      </w:r>
      <w:r>
        <w:rPr>
          <w:sz w:val="22"/>
          <w:szCs w:val="22"/>
        </w:rPr>
        <w:t>º</w:t>
      </w:r>
      <w:r w:rsidRPr="00316249">
        <w:rPr>
          <w:sz w:val="22"/>
          <w:szCs w:val="22"/>
        </w:rPr>
        <w:t xml:space="preserve"> de janeiro de 2007, a ANEEL estabeleceu novos critérios para cálculo, aplicação e recolhimento dos recursos do PEE. Entre esses novos critérios, foram definidos os itens que compõem a base de cálculo das obrigações, ou seja, a receita operacional líquida e o cronograma de recolhimento ao FNDCT e ao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8"/>
        <w:gridCol w:w="1444"/>
        <w:gridCol w:w="1199"/>
      </w:tblGrid>
      <w:tr w:rsidR="00E9008A" w:rsidRPr="00316249" w:rsidTr="005B7D01">
        <w:trPr>
          <w:trHeight w:val="238"/>
          <w:tblHeader/>
        </w:trPr>
        <w:tc>
          <w:tcPr>
            <w:tcW w:w="3565" w:type="pct"/>
            <w:vMerge w:val="restart"/>
            <w:shd w:val="clear" w:color="000000" w:fill="D9D9D9"/>
            <w:noWrap/>
            <w:vAlign w:val="center"/>
            <w:hideMark/>
          </w:tcPr>
          <w:p w:rsidR="00E9008A" w:rsidRPr="00316249" w:rsidRDefault="00E9008A" w:rsidP="005B7D01">
            <w:pPr>
              <w:spacing w:before="240" w:after="240"/>
              <w:jc w:val="center"/>
              <w:rPr>
                <w:color w:val="000000"/>
                <w:sz w:val="18"/>
                <w:szCs w:val="18"/>
              </w:rPr>
            </w:pPr>
            <w:r w:rsidRPr="00316249">
              <w:rPr>
                <w:color w:val="000000"/>
                <w:sz w:val="18"/>
                <w:szCs w:val="18"/>
              </w:rPr>
              <w:t> </w:t>
            </w:r>
          </w:p>
        </w:tc>
        <w:tc>
          <w:tcPr>
            <w:tcW w:w="1435"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3565" w:type="pct"/>
            <w:vMerge/>
            <w:vAlign w:val="center"/>
            <w:hideMark/>
          </w:tcPr>
          <w:p w:rsidR="00E9008A" w:rsidRPr="00316249" w:rsidRDefault="00E9008A" w:rsidP="005B7D01">
            <w:pPr>
              <w:rPr>
                <w:color w:val="000000"/>
                <w:sz w:val="18"/>
                <w:szCs w:val="18"/>
              </w:rPr>
            </w:pPr>
          </w:p>
        </w:tc>
        <w:tc>
          <w:tcPr>
            <w:tcW w:w="78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5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565"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Programa de Eficiência Energética – PEE</w:t>
            </w:r>
          </w:p>
        </w:tc>
        <w:tc>
          <w:tcPr>
            <w:tcW w:w="7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80.077 </w:t>
            </w:r>
          </w:p>
        </w:tc>
        <w:tc>
          <w:tcPr>
            <w:tcW w:w="65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68.459 </w:t>
            </w:r>
          </w:p>
        </w:tc>
      </w:tr>
      <w:tr w:rsidR="00E9008A" w:rsidRPr="00316249" w:rsidTr="005B7D01">
        <w:trPr>
          <w:trHeight w:val="238"/>
        </w:trPr>
        <w:tc>
          <w:tcPr>
            <w:tcW w:w="3565"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Pesquisa e Desenvolvimento – P &amp;D</w:t>
            </w:r>
          </w:p>
        </w:tc>
        <w:tc>
          <w:tcPr>
            <w:tcW w:w="7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36.747 </w:t>
            </w:r>
          </w:p>
        </w:tc>
        <w:tc>
          <w:tcPr>
            <w:tcW w:w="65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23.917 </w:t>
            </w:r>
          </w:p>
        </w:tc>
      </w:tr>
      <w:tr w:rsidR="00E9008A" w:rsidRPr="00316249" w:rsidTr="005B7D01">
        <w:trPr>
          <w:trHeight w:val="238"/>
        </w:trPr>
        <w:tc>
          <w:tcPr>
            <w:tcW w:w="3565"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Fundo Nacional Desenvolvimento Científico e Tecnológico – FNDCT</w:t>
            </w:r>
          </w:p>
        </w:tc>
        <w:tc>
          <w:tcPr>
            <w:tcW w:w="7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955 </w:t>
            </w:r>
          </w:p>
        </w:tc>
        <w:tc>
          <w:tcPr>
            <w:tcW w:w="65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899 </w:t>
            </w:r>
          </w:p>
        </w:tc>
      </w:tr>
      <w:tr w:rsidR="00E9008A" w:rsidRPr="00316249" w:rsidTr="005B7D01">
        <w:trPr>
          <w:trHeight w:val="238"/>
        </w:trPr>
        <w:tc>
          <w:tcPr>
            <w:tcW w:w="3565"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Ministério de Minas e Energia – MME</w:t>
            </w:r>
          </w:p>
        </w:tc>
        <w:tc>
          <w:tcPr>
            <w:tcW w:w="7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208 </w:t>
            </w:r>
          </w:p>
        </w:tc>
        <w:tc>
          <w:tcPr>
            <w:tcW w:w="65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399 </w:t>
            </w:r>
          </w:p>
        </w:tc>
      </w:tr>
      <w:tr w:rsidR="00E9008A" w:rsidRPr="00316249" w:rsidTr="005B7D01">
        <w:trPr>
          <w:trHeight w:val="238"/>
        </w:trPr>
        <w:tc>
          <w:tcPr>
            <w:tcW w:w="3565"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117.987 </w:t>
            </w:r>
          </w:p>
        </w:tc>
        <w:tc>
          <w:tcPr>
            <w:tcW w:w="651"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93.674 </w:t>
            </w:r>
          </w:p>
        </w:tc>
      </w:tr>
    </w:tbl>
    <w:p w:rsidR="00E9008A" w:rsidRDefault="00E9008A" w:rsidP="00E9008A">
      <w:pPr>
        <w:spacing w:before="240" w:after="240"/>
        <w:jc w:val="both"/>
        <w:rPr>
          <w:bCs/>
          <w:snapToGrid w:val="0"/>
          <w:sz w:val="22"/>
          <w:szCs w:val="22"/>
        </w:rPr>
      </w:pPr>
      <w:r>
        <w:rPr>
          <w:bCs/>
          <w:snapToGrid w:val="0"/>
          <w:sz w:val="22"/>
          <w:szCs w:val="22"/>
        </w:rPr>
        <w:t>Visando o planejamento da aplicação dos valores acumulados no passivo da Distribuidora, o Plano de Negócio do Período de 2017 a 2021, aprovado pelo Conselho de Administração, em 14 de dezembro de 2016, prevê metas para a destinação de recursos para tal fim. Dessa forma, ao longo do mencionado horizonte de planejamento, a Empresa voltará a exibir valores compatíveis com a regulamentação vigente.</w:t>
      </w:r>
    </w:p>
    <w:p w:rsidR="00E9008A" w:rsidRDefault="00E9008A" w:rsidP="00E9008A">
      <w:pPr>
        <w:rPr>
          <w:b/>
          <w:bCs/>
          <w:snapToGrid w:val="0"/>
          <w:sz w:val="22"/>
          <w:szCs w:val="22"/>
        </w:rPr>
      </w:pPr>
      <w:r>
        <w:rPr>
          <w:b/>
          <w:bCs/>
          <w:snapToGrid w:val="0"/>
          <w:sz w:val="22"/>
          <w:szCs w:val="22"/>
        </w:rPr>
        <w:br w:type="page"/>
      </w:r>
    </w:p>
    <w:p w:rsidR="00E9008A" w:rsidRPr="00316249" w:rsidRDefault="00E9008A" w:rsidP="00E9008A">
      <w:pPr>
        <w:spacing w:before="240" w:after="240"/>
        <w:rPr>
          <w:b/>
          <w:bCs/>
          <w:snapToGrid w:val="0"/>
          <w:sz w:val="22"/>
          <w:szCs w:val="22"/>
        </w:rPr>
      </w:pPr>
      <w:r>
        <w:rPr>
          <w:b/>
          <w:bCs/>
          <w:snapToGrid w:val="0"/>
          <w:sz w:val="22"/>
          <w:szCs w:val="22"/>
        </w:rPr>
        <w:lastRenderedPageBreak/>
        <w:t>(c)</w:t>
      </w:r>
      <w:r w:rsidRPr="00316249">
        <w:rPr>
          <w:b/>
          <w:bCs/>
          <w:snapToGrid w:val="0"/>
          <w:sz w:val="22"/>
          <w:szCs w:val="22"/>
        </w:rPr>
        <w:tab/>
        <w:t xml:space="preserve">Encargos do consumidor a recolher </w:t>
      </w:r>
    </w:p>
    <w:p w:rsidR="00E9008A" w:rsidRPr="00316249" w:rsidRDefault="00E9008A" w:rsidP="00E9008A">
      <w:pPr>
        <w:spacing w:before="240" w:after="240"/>
        <w:jc w:val="both"/>
        <w:rPr>
          <w:sz w:val="22"/>
          <w:szCs w:val="22"/>
        </w:rPr>
      </w:pPr>
      <w:r w:rsidRPr="00316249">
        <w:rPr>
          <w:sz w:val="22"/>
          <w:szCs w:val="22"/>
        </w:rPr>
        <w:t xml:space="preserve">Em 27 de fevereiro de 2015, a ANEEL publicou a Resolução Homologatória nº 1.857, que estabeleceu a Cota Anual da Conta de Desenvolvimento Energético – CDE, a ser repassada pela CEB Distribuição S.A. à Eletrobrás, em 2015, no montante de R$ 391.473. Em 31 de dezembro de 2016, os montantes devidos pela CEB Distribuição S.A. à Eletrobrás totalizaram R$ 166.002 (R$ 83.909 – 2015). Os valores de CDE foram reconhecidos e homologados na Revisão Tarifária Extraordinária – RTE, para serem repassados aos consumidores de energia da CEB Distribuição </w:t>
      </w:r>
      <w:proofErr w:type="gramStart"/>
      <w:r w:rsidRPr="00316249">
        <w:rPr>
          <w:sz w:val="22"/>
          <w:szCs w:val="22"/>
        </w:rPr>
        <w:t>S.A..</w:t>
      </w:r>
      <w:proofErr w:type="gramEnd"/>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DEBÊNTURES</w:t>
      </w:r>
    </w:p>
    <w:p w:rsidR="00E9008A" w:rsidRPr="00316249" w:rsidRDefault="00E9008A" w:rsidP="00E9008A">
      <w:pPr>
        <w:rPr>
          <w:color w:val="000000"/>
          <w:sz w:val="22"/>
          <w:szCs w:val="22"/>
        </w:rPr>
      </w:pPr>
      <w:r w:rsidRPr="00316249">
        <w:rPr>
          <w:color w:val="000000"/>
          <w:sz w:val="22"/>
          <w:szCs w:val="22"/>
        </w:rPr>
        <w:t>Informações sobre as debêntures</w:t>
      </w:r>
      <w:r>
        <w:rPr>
          <w:color w:val="000000"/>
          <w:sz w:val="22"/>
          <w:szCs w:val="22"/>
        </w:rPr>
        <w:t>:</w:t>
      </w:r>
    </w:p>
    <w:p w:rsidR="00E9008A" w:rsidRPr="00316249" w:rsidRDefault="00E9008A" w:rsidP="00E9008A">
      <w:pPr>
        <w:rPr>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8"/>
        <w:gridCol w:w="1420"/>
        <w:gridCol w:w="1256"/>
        <w:gridCol w:w="1208"/>
        <w:gridCol w:w="1879"/>
        <w:gridCol w:w="980"/>
      </w:tblGrid>
      <w:tr w:rsidR="00E9008A" w:rsidRPr="00316249" w:rsidTr="005B7D01">
        <w:trPr>
          <w:trHeight w:val="390"/>
          <w:tblHeader/>
        </w:trPr>
        <w:tc>
          <w:tcPr>
            <w:tcW w:w="1339" w:type="pct"/>
            <w:shd w:val="clear" w:color="auto" w:fill="D9D9D9" w:themeFill="background1" w:themeFillShade="D9"/>
            <w:noWrap/>
            <w:vAlign w:val="center"/>
            <w:hideMark/>
          </w:tcPr>
          <w:p w:rsidR="00E9008A" w:rsidRPr="00316249" w:rsidRDefault="00E9008A" w:rsidP="005B7D01">
            <w:pPr>
              <w:jc w:val="center"/>
              <w:rPr>
                <w:color w:val="000000"/>
                <w:sz w:val="16"/>
                <w:szCs w:val="14"/>
              </w:rPr>
            </w:pPr>
          </w:p>
        </w:tc>
        <w:tc>
          <w:tcPr>
            <w:tcW w:w="771" w:type="pct"/>
            <w:shd w:val="clear" w:color="auto" w:fill="D9D9D9" w:themeFill="background1" w:themeFillShade="D9"/>
            <w:vAlign w:val="center"/>
            <w:hideMark/>
          </w:tcPr>
          <w:p w:rsidR="00E9008A" w:rsidRPr="00316249" w:rsidRDefault="00E9008A" w:rsidP="005B7D01">
            <w:pPr>
              <w:jc w:val="center"/>
              <w:rPr>
                <w:b/>
                <w:bCs/>
                <w:color w:val="000000"/>
                <w:sz w:val="16"/>
                <w:szCs w:val="14"/>
              </w:rPr>
            </w:pPr>
            <w:r w:rsidRPr="00316249">
              <w:rPr>
                <w:b/>
                <w:bCs/>
                <w:color w:val="000000"/>
                <w:sz w:val="16"/>
                <w:szCs w:val="14"/>
              </w:rPr>
              <w:t>Quantidade em circulação</w:t>
            </w:r>
          </w:p>
        </w:tc>
        <w:tc>
          <w:tcPr>
            <w:tcW w:w="682" w:type="pct"/>
            <w:shd w:val="clear" w:color="auto" w:fill="D9D9D9" w:themeFill="background1" w:themeFillShade="D9"/>
            <w:vAlign w:val="center"/>
            <w:hideMark/>
          </w:tcPr>
          <w:p w:rsidR="00E9008A" w:rsidRPr="00316249" w:rsidRDefault="00E9008A" w:rsidP="005B7D01">
            <w:pPr>
              <w:jc w:val="center"/>
              <w:rPr>
                <w:b/>
                <w:bCs/>
                <w:color w:val="000000"/>
                <w:sz w:val="16"/>
                <w:szCs w:val="14"/>
              </w:rPr>
            </w:pPr>
            <w:r w:rsidRPr="00316249">
              <w:rPr>
                <w:b/>
                <w:bCs/>
                <w:color w:val="000000"/>
                <w:sz w:val="16"/>
                <w:szCs w:val="14"/>
              </w:rPr>
              <w:t>Remuneração a.a.</w:t>
            </w:r>
          </w:p>
        </w:tc>
        <w:tc>
          <w:tcPr>
            <w:tcW w:w="656" w:type="pct"/>
            <w:shd w:val="clear" w:color="auto" w:fill="D9D9D9" w:themeFill="background1" w:themeFillShade="D9"/>
            <w:vAlign w:val="center"/>
            <w:hideMark/>
          </w:tcPr>
          <w:p w:rsidR="00E9008A" w:rsidRPr="00316249" w:rsidRDefault="00E9008A" w:rsidP="005B7D01">
            <w:pPr>
              <w:jc w:val="center"/>
              <w:rPr>
                <w:b/>
                <w:bCs/>
                <w:color w:val="000000"/>
                <w:sz w:val="16"/>
                <w:szCs w:val="14"/>
              </w:rPr>
            </w:pPr>
            <w:r w:rsidRPr="00316249">
              <w:rPr>
                <w:b/>
                <w:bCs/>
                <w:color w:val="000000"/>
                <w:sz w:val="16"/>
                <w:szCs w:val="14"/>
              </w:rPr>
              <w:t>Taxa efetiva a.a.</w:t>
            </w:r>
          </w:p>
        </w:tc>
        <w:tc>
          <w:tcPr>
            <w:tcW w:w="1020" w:type="pct"/>
            <w:shd w:val="clear" w:color="auto" w:fill="D9D9D9" w:themeFill="background1" w:themeFillShade="D9"/>
            <w:vAlign w:val="center"/>
            <w:hideMark/>
          </w:tcPr>
          <w:p w:rsidR="00E9008A" w:rsidRPr="00316249" w:rsidRDefault="00E9008A" w:rsidP="005B7D01">
            <w:pPr>
              <w:jc w:val="center"/>
              <w:rPr>
                <w:b/>
                <w:bCs/>
                <w:color w:val="000000"/>
                <w:sz w:val="16"/>
                <w:szCs w:val="14"/>
              </w:rPr>
            </w:pPr>
            <w:r w:rsidRPr="00316249">
              <w:rPr>
                <w:b/>
                <w:bCs/>
                <w:color w:val="000000"/>
                <w:sz w:val="16"/>
                <w:szCs w:val="14"/>
              </w:rPr>
              <w:t>Condições de amortização</w:t>
            </w:r>
          </w:p>
        </w:tc>
        <w:tc>
          <w:tcPr>
            <w:tcW w:w="532" w:type="pct"/>
            <w:shd w:val="clear" w:color="auto" w:fill="D9D9D9" w:themeFill="background1" w:themeFillShade="D9"/>
            <w:vAlign w:val="center"/>
            <w:hideMark/>
          </w:tcPr>
          <w:p w:rsidR="00E9008A" w:rsidRPr="00316249" w:rsidRDefault="00E9008A" w:rsidP="005B7D01">
            <w:pPr>
              <w:jc w:val="center"/>
              <w:rPr>
                <w:b/>
                <w:bCs/>
                <w:color w:val="000000"/>
                <w:sz w:val="16"/>
                <w:szCs w:val="14"/>
              </w:rPr>
            </w:pPr>
            <w:r w:rsidRPr="00316249">
              <w:rPr>
                <w:b/>
                <w:bCs/>
                <w:color w:val="000000"/>
                <w:sz w:val="16"/>
                <w:szCs w:val="14"/>
              </w:rPr>
              <w:t>Garantias</w:t>
            </w:r>
          </w:p>
        </w:tc>
      </w:tr>
      <w:tr w:rsidR="00E9008A" w:rsidRPr="001C751A" w:rsidTr="005B7D01">
        <w:trPr>
          <w:trHeight w:val="570"/>
        </w:trPr>
        <w:tc>
          <w:tcPr>
            <w:tcW w:w="1339" w:type="pct"/>
            <w:shd w:val="clear" w:color="000000" w:fill="FFFFFF"/>
            <w:vAlign w:val="center"/>
            <w:hideMark/>
          </w:tcPr>
          <w:p w:rsidR="00E9008A" w:rsidRPr="001C751A" w:rsidRDefault="00E9008A" w:rsidP="005B7D01">
            <w:pPr>
              <w:rPr>
                <w:b/>
                <w:bCs/>
                <w:color w:val="000000"/>
                <w:sz w:val="16"/>
                <w:szCs w:val="14"/>
              </w:rPr>
            </w:pPr>
            <w:r w:rsidRPr="001C751A">
              <w:rPr>
                <w:b/>
                <w:bCs/>
                <w:color w:val="000000"/>
                <w:sz w:val="16"/>
                <w:szCs w:val="14"/>
              </w:rPr>
              <w:t>1ª Emissão – Série Única</w:t>
            </w:r>
          </w:p>
        </w:tc>
        <w:tc>
          <w:tcPr>
            <w:tcW w:w="771" w:type="pct"/>
            <w:shd w:val="clear" w:color="000000" w:fill="FFFFFF"/>
            <w:noWrap/>
            <w:vAlign w:val="center"/>
            <w:hideMark/>
          </w:tcPr>
          <w:p w:rsidR="00E9008A" w:rsidRPr="001C751A" w:rsidRDefault="00E9008A" w:rsidP="005B7D01">
            <w:pPr>
              <w:jc w:val="center"/>
              <w:rPr>
                <w:color w:val="000000"/>
                <w:sz w:val="16"/>
                <w:szCs w:val="14"/>
              </w:rPr>
            </w:pPr>
            <w:r w:rsidRPr="001C751A">
              <w:rPr>
                <w:color w:val="000000"/>
                <w:sz w:val="16"/>
                <w:szCs w:val="14"/>
              </w:rPr>
              <w:t>1.300</w:t>
            </w:r>
          </w:p>
        </w:tc>
        <w:tc>
          <w:tcPr>
            <w:tcW w:w="682" w:type="pct"/>
            <w:shd w:val="clear" w:color="000000" w:fill="FFFFFF"/>
            <w:noWrap/>
            <w:vAlign w:val="center"/>
            <w:hideMark/>
          </w:tcPr>
          <w:p w:rsidR="00E9008A" w:rsidRPr="001C751A" w:rsidRDefault="00E9008A" w:rsidP="005B7D01">
            <w:pPr>
              <w:jc w:val="center"/>
              <w:rPr>
                <w:color w:val="000000"/>
                <w:sz w:val="16"/>
                <w:szCs w:val="14"/>
              </w:rPr>
            </w:pPr>
            <w:r w:rsidRPr="001C751A">
              <w:rPr>
                <w:color w:val="000000"/>
                <w:sz w:val="16"/>
                <w:szCs w:val="14"/>
              </w:rPr>
              <w:t>CDI + 6,8%</w:t>
            </w:r>
          </w:p>
        </w:tc>
        <w:tc>
          <w:tcPr>
            <w:tcW w:w="656" w:type="pct"/>
            <w:shd w:val="clear" w:color="000000" w:fill="FFFFFF"/>
            <w:noWrap/>
            <w:vAlign w:val="center"/>
            <w:hideMark/>
          </w:tcPr>
          <w:p w:rsidR="00E9008A" w:rsidRPr="001C751A" w:rsidRDefault="00E9008A" w:rsidP="005B7D01">
            <w:pPr>
              <w:jc w:val="center"/>
              <w:rPr>
                <w:color w:val="000000"/>
                <w:sz w:val="16"/>
                <w:szCs w:val="14"/>
              </w:rPr>
            </w:pPr>
            <w:r w:rsidRPr="001C751A">
              <w:rPr>
                <w:color w:val="000000"/>
                <w:sz w:val="16"/>
                <w:szCs w:val="14"/>
              </w:rPr>
              <w:t>CDI + 6,8%</w:t>
            </w:r>
          </w:p>
        </w:tc>
        <w:tc>
          <w:tcPr>
            <w:tcW w:w="1020" w:type="pct"/>
            <w:shd w:val="clear" w:color="000000" w:fill="FFFFFF"/>
            <w:vAlign w:val="center"/>
            <w:hideMark/>
          </w:tcPr>
          <w:p w:rsidR="00E9008A" w:rsidRPr="001C751A" w:rsidRDefault="00E9008A" w:rsidP="005B7D01">
            <w:pPr>
              <w:jc w:val="center"/>
              <w:rPr>
                <w:color w:val="000000"/>
                <w:sz w:val="16"/>
                <w:szCs w:val="14"/>
              </w:rPr>
            </w:pPr>
            <w:r w:rsidRPr="001C751A">
              <w:rPr>
                <w:color w:val="000000"/>
                <w:sz w:val="16"/>
                <w:szCs w:val="14"/>
              </w:rPr>
              <w:t>Parcelas mensais a partir de junho de 2016.</w:t>
            </w:r>
          </w:p>
        </w:tc>
        <w:tc>
          <w:tcPr>
            <w:tcW w:w="532" w:type="pct"/>
            <w:shd w:val="clear" w:color="000000" w:fill="FFFFFF"/>
            <w:vAlign w:val="center"/>
            <w:hideMark/>
          </w:tcPr>
          <w:p w:rsidR="00E9008A" w:rsidRPr="001C751A" w:rsidRDefault="00E9008A" w:rsidP="005B7D01">
            <w:pPr>
              <w:jc w:val="center"/>
              <w:rPr>
                <w:color w:val="000000"/>
                <w:sz w:val="16"/>
                <w:szCs w:val="14"/>
              </w:rPr>
            </w:pPr>
            <w:r w:rsidRPr="001C751A">
              <w:rPr>
                <w:color w:val="000000"/>
                <w:sz w:val="16"/>
                <w:szCs w:val="14"/>
              </w:rPr>
              <w:t xml:space="preserve">Recebíveis + Alienação de </w:t>
            </w:r>
            <w:r>
              <w:rPr>
                <w:color w:val="000000"/>
                <w:sz w:val="16"/>
                <w:szCs w:val="14"/>
              </w:rPr>
              <w:t>I</w:t>
            </w:r>
            <w:r w:rsidRPr="001C751A">
              <w:rPr>
                <w:color w:val="000000"/>
                <w:sz w:val="16"/>
                <w:szCs w:val="14"/>
              </w:rPr>
              <w:t>móvel</w:t>
            </w:r>
          </w:p>
        </w:tc>
      </w:tr>
      <w:tr w:rsidR="00E9008A" w:rsidRPr="001C751A" w:rsidTr="005B7D01">
        <w:trPr>
          <w:trHeight w:val="570"/>
        </w:trPr>
        <w:tc>
          <w:tcPr>
            <w:tcW w:w="1339" w:type="pct"/>
            <w:shd w:val="clear" w:color="000000" w:fill="FFFFFF"/>
            <w:vAlign w:val="center"/>
            <w:hideMark/>
          </w:tcPr>
          <w:p w:rsidR="00E9008A" w:rsidRPr="001C751A" w:rsidRDefault="00E9008A" w:rsidP="005B7D01">
            <w:pPr>
              <w:rPr>
                <w:b/>
                <w:bCs/>
                <w:color w:val="000000"/>
                <w:sz w:val="16"/>
                <w:szCs w:val="14"/>
              </w:rPr>
            </w:pPr>
            <w:r w:rsidRPr="001C751A">
              <w:rPr>
                <w:b/>
                <w:bCs/>
                <w:color w:val="000000"/>
                <w:sz w:val="16"/>
                <w:szCs w:val="14"/>
              </w:rPr>
              <w:t xml:space="preserve"> 2ª Emissão </w:t>
            </w:r>
            <w:r>
              <w:rPr>
                <w:b/>
                <w:bCs/>
                <w:color w:val="000000"/>
                <w:sz w:val="16"/>
                <w:szCs w:val="14"/>
              </w:rPr>
              <w:t>–</w:t>
            </w:r>
            <w:r w:rsidRPr="001C751A">
              <w:rPr>
                <w:b/>
                <w:bCs/>
                <w:color w:val="000000"/>
                <w:sz w:val="16"/>
                <w:szCs w:val="14"/>
              </w:rPr>
              <w:t xml:space="preserve"> Série Única</w:t>
            </w:r>
          </w:p>
        </w:tc>
        <w:tc>
          <w:tcPr>
            <w:tcW w:w="771" w:type="pct"/>
            <w:shd w:val="clear" w:color="000000" w:fill="FFFFFF"/>
            <w:noWrap/>
            <w:vAlign w:val="center"/>
            <w:hideMark/>
          </w:tcPr>
          <w:p w:rsidR="00E9008A" w:rsidRPr="001C751A" w:rsidRDefault="00E9008A" w:rsidP="005B7D01">
            <w:pPr>
              <w:jc w:val="center"/>
              <w:rPr>
                <w:color w:val="000000"/>
                <w:sz w:val="16"/>
                <w:szCs w:val="14"/>
              </w:rPr>
            </w:pPr>
            <w:r w:rsidRPr="001C751A">
              <w:rPr>
                <w:color w:val="000000"/>
                <w:sz w:val="16"/>
                <w:szCs w:val="14"/>
              </w:rPr>
              <w:t xml:space="preserve">710 </w:t>
            </w:r>
          </w:p>
        </w:tc>
        <w:tc>
          <w:tcPr>
            <w:tcW w:w="682" w:type="pct"/>
            <w:shd w:val="clear" w:color="000000" w:fill="FFFFFF"/>
            <w:noWrap/>
            <w:vAlign w:val="center"/>
            <w:hideMark/>
          </w:tcPr>
          <w:p w:rsidR="00E9008A" w:rsidRPr="001C751A" w:rsidRDefault="00E9008A" w:rsidP="005B7D01">
            <w:pPr>
              <w:jc w:val="center"/>
              <w:rPr>
                <w:color w:val="000000"/>
                <w:sz w:val="16"/>
                <w:szCs w:val="14"/>
              </w:rPr>
            </w:pPr>
            <w:r w:rsidRPr="001C751A">
              <w:rPr>
                <w:color w:val="000000"/>
                <w:sz w:val="16"/>
                <w:szCs w:val="14"/>
              </w:rPr>
              <w:t>CDI + 6,8%</w:t>
            </w:r>
          </w:p>
        </w:tc>
        <w:tc>
          <w:tcPr>
            <w:tcW w:w="656" w:type="pct"/>
            <w:shd w:val="clear" w:color="000000" w:fill="FFFFFF"/>
            <w:noWrap/>
            <w:vAlign w:val="center"/>
            <w:hideMark/>
          </w:tcPr>
          <w:p w:rsidR="00E9008A" w:rsidRPr="001C751A" w:rsidRDefault="00E9008A" w:rsidP="005B7D01">
            <w:pPr>
              <w:jc w:val="center"/>
              <w:rPr>
                <w:color w:val="000000"/>
                <w:sz w:val="16"/>
                <w:szCs w:val="14"/>
              </w:rPr>
            </w:pPr>
            <w:r w:rsidRPr="001C751A">
              <w:rPr>
                <w:color w:val="000000"/>
                <w:sz w:val="16"/>
                <w:szCs w:val="14"/>
              </w:rPr>
              <w:t>CDI + 6,8%</w:t>
            </w:r>
          </w:p>
        </w:tc>
        <w:tc>
          <w:tcPr>
            <w:tcW w:w="1020" w:type="pct"/>
            <w:shd w:val="clear" w:color="000000" w:fill="FFFFFF"/>
            <w:vAlign w:val="center"/>
            <w:hideMark/>
          </w:tcPr>
          <w:p w:rsidR="00E9008A" w:rsidRPr="001C751A" w:rsidRDefault="00E9008A" w:rsidP="005B7D01">
            <w:pPr>
              <w:jc w:val="center"/>
              <w:rPr>
                <w:color w:val="000000"/>
                <w:sz w:val="16"/>
                <w:szCs w:val="14"/>
              </w:rPr>
            </w:pPr>
            <w:r w:rsidRPr="001C751A">
              <w:rPr>
                <w:color w:val="000000"/>
                <w:sz w:val="16"/>
                <w:szCs w:val="14"/>
              </w:rPr>
              <w:t>Parcelas mensais a partir de junho de 2017.</w:t>
            </w:r>
          </w:p>
        </w:tc>
        <w:tc>
          <w:tcPr>
            <w:tcW w:w="532" w:type="pct"/>
            <w:shd w:val="clear" w:color="000000" w:fill="FFFFFF"/>
            <w:vAlign w:val="center"/>
            <w:hideMark/>
          </w:tcPr>
          <w:p w:rsidR="00E9008A" w:rsidRPr="001C751A" w:rsidRDefault="00E9008A" w:rsidP="005B7D01">
            <w:pPr>
              <w:jc w:val="center"/>
              <w:rPr>
                <w:color w:val="000000"/>
                <w:sz w:val="16"/>
                <w:szCs w:val="14"/>
              </w:rPr>
            </w:pPr>
            <w:r w:rsidRPr="001C751A">
              <w:rPr>
                <w:color w:val="000000"/>
                <w:sz w:val="16"/>
                <w:szCs w:val="14"/>
              </w:rPr>
              <w:t xml:space="preserve">Recebíveis + Alienação de </w:t>
            </w:r>
            <w:r>
              <w:rPr>
                <w:color w:val="000000"/>
                <w:sz w:val="16"/>
                <w:szCs w:val="14"/>
              </w:rPr>
              <w:t>I</w:t>
            </w:r>
            <w:r w:rsidRPr="001C751A">
              <w:rPr>
                <w:color w:val="000000"/>
                <w:sz w:val="16"/>
                <w:szCs w:val="14"/>
              </w:rPr>
              <w:t>móvel</w:t>
            </w:r>
          </w:p>
        </w:tc>
      </w:tr>
    </w:tbl>
    <w:p w:rsidR="00E9008A" w:rsidRPr="001C751A" w:rsidRDefault="00E9008A" w:rsidP="00E9008A">
      <w:pPr>
        <w:rPr>
          <w:color w:val="000000"/>
          <w:sz w:val="22"/>
          <w:szCs w:val="22"/>
        </w:rPr>
      </w:pPr>
    </w:p>
    <w:tbl>
      <w:tblPr>
        <w:tblW w:w="5000" w:type="pct"/>
        <w:tblCellMar>
          <w:left w:w="70" w:type="dxa"/>
          <w:right w:w="70" w:type="dxa"/>
        </w:tblCellMar>
        <w:tblLook w:val="04A0" w:firstRow="1" w:lastRow="0" w:firstColumn="1" w:lastColumn="0" w:noHBand="0" w:noVBand="1"/>
      </w:tblPr>
      <w:tblGrid>
        <w:gridCol w:w="2720"/>
        <w:gridCol w:w="1291"/>
        <w:gridCol w:w="1074"/>
        <w:gridCol w:w="980"/>
        <w:gridCol w:w="1094"/>
        <w:gridCol w:w="1074"/>
        <w:gridCol w:w="978"/>
      </w:tblGrid>
      <w:tr w:rsidR="00E9008A" w:rsidRPr="001C751A" w:rsidTr="005B7D01">
        <w:trPr>
          <w:trHeight w:val="343"/>
        </w:trPr>
        <w:tc>
          <w:tcPr>
            <w:tcW w:w="147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rsidR="00E9008A" w:rsidRPr="001C751A" w:rsidRDefault="00E9008A" w:rsidP="005B7D01">
            <w:pPr>
              <w:jc w:val="center"/>
              <w:rPr>
                <w:color w:val="000000"/>
                <w:sz w:val="16"/>
                <w:szCs w:val="16"/>
              </w:rPr>
            </w:pPr>
            <w:r w:rsidRPr="001C751A">
              <w:rPr>
                <w:color w:val="000000"/>
                <w:sz w:val="16"/>
                <w:szCs w:val="16"/>
              </w:rPr>
              <w:t> </w:t>
            </w:r>
          </w:p>
        </w:tc>
        <w:tc>
          <w:tcPr>
            <w:tcW w:w="1816"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E9008A" w:rsidRPr="001C751A" w:rsidRDefault="00E9008A" w:rsidP="005B7D01">
            <w:pPr>
              <w:jc w:val="center"/>
              <w:rPr>
                <w:b/>
                <w:bCs/>
                <w:color w:val="000000"/>
                <w:sz w:val="16"/>
                <w:szCs w:val="16"/>
              </w:rPr>
            </w:pPr>
            <w:r w:rsidRPr="001C751A">
              <w:rPr>
                <w:b/>
                <w:bCs/>
                <w:color w:val="000000"/>
                <w:sz w:val="16"/>
                <w:szCs w:val="16"/>
              </w:rPr>
              <w:t>2016</w:t>
            </w:r>
          </w:p>
        </w:tc>
        <w:tc>
          <w:tcPr>
            <w:tcW w:w="1708"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E9008A" w:rsidRPr="001C751A" w:rsidRDefault="00E9008A" w:rsidP="005B7D01">
            <w:pPr>
              <w:jc w:val="center"/>
              <w:rPr>
                <w:b/>
                <w:bCs/>
                <w:color w:val="000000"/>
                <w:sz w:val="16"/>
                <w:szCs w:val="16"/>
              </w:rPr>
            </w:pPr>
            <w:r w:rsidRPr="001C751A">
              <w:rPr>
                <w:b/>
                <w:bCs/>
                <w:color w:val="000000"/>
                <w:sz w:val="16"/>
                <w:szCs w:val="16"/>
              </w:rPr>
              <w:t>2015</w:t>
            </w:r>
          </w:p>
        </w:tc>
      </w:tr>
      <w:tr w:rsidR="00E9008A" w:rsidRPr="001C751A" w:rsidTr="005B7D01">
        <w:trPr>
          <w:trHeight w:val="343"/>
        </w:trPr>
        <w:tc>
          <w:tcPr>
            <w:tcW w:w="1476" w:type="pct"/>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rsidR="00E9008A" w:rsidRPr="001C751A" w:rsidRDefault="00E9008A" w:rsidP="005B7D01">
            <w:pPr>
              <w:jc w:val="center"/>
              <w:rPr>
                <w:color w:val="000000"/>
                <w:sz w:val="16"/>
                <w:szCs w:val="16"/>
              </w:rPr>
            </w:pPr>
          </w:p>
        </w:tc>
        <w:tc>
          <w:tcPr>
            <w:tcW w:w="701" w:type="pct"/>
            <w:tcBorders>
              <w:top w:val="nil"/>
              <w:left w:val="nil"/>
              <w:bottom w:val="single" w:sz="4" w:space="0" w:color="auto"/>
              <w:right w:val="single" w:sz="4" w:space="0" w:color="auto"/>
            </w:tcBorders>
            <w:shd w:val="clear" w:color="auto" w:fill="D9D9D9" w:themeFill="background1" w:themeFillShade="D9"/>
            <w:vAlign w:val="center"/>
            <w:hideMark/>
          </w:tcPr>
          <w:p w:rsidR="00E9008A" w:rsidRPr="001C751A" w:rsidRDefault="00E9008A" w:rsidP="005B7D01">
            <w:pPr>
              <w:jc w:val="center"/>
              <w:rPr>
                <w:b/>
                <w:bCs/>
                <w:color w:val="000000"/>
                <w:sz w:val="16"/>
                <w:szCs w:val="16"/>
              </w:rPr>
            </w:pPr>
            <w:r w:rsidRPr="001C751A">
              <w:rPr>
                <w:b/>
                <w:bCs/>
                <w:color w:val="000000"/>
                <w:sz w:val="16"/>
                <w:szCs w:val="16"/>
              </w:rPr>
              <w:t>Circulante</w:t>
            </w: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rsidR="00E9008A" w:rsidRPr="001C751A" w:rsidRDefault="00E9008A" w:rsidP="005B7D01">
            <w:pPr>
              <w:jc w:val="center"/>
              <w:rPr>
                <w:b/>
                <w:bCs/>
                <w:color w:val="000000"/>
                <w:sz w:val="16"/>
                <w:szCs w:val="16"/>
              </w:rPr>
            </w:pPr>
            <w:r w:rsidRPr="001C751A">
              <w:rPr>
                <w:b/>
                <w:bCs/>
                <w:color w:val="000000"/>
                <w:sz w:val="16"/>
                <w:szCs w:val="16"/>
              </w:rPr>
              <w:t>Não circulante</w:t>
            </w:r>
          </w:p>
        </w:tc>
        <w:tc>
          <w:tcPr>
            <w:tcW w:w="532" w:type="pct"/>
            <w:tcBorders>
              <w:top w:val="nil"/>
              <w:left w:val="nil"/>
              <w:bottom w:val="single" w:sz="4" w:space="0" w:color="auto"/>
              <w:right w:val="single" w:sz="4" w:space="0" w:color="auto"/>
            </w:tcBorders>
            <w:shd w:val="clear" w:color="auto" w:fill="D9D9D9" w:themeFill="background1" w:themeFillShade="D9"/>
            <w:vAlign w:val="center"/>
            <w:hideMark/>
          </w:tcPr>
          <w:p w:rsidR="00E9008A" w:rsidRPr="001C751A" w:rsidRDefault="00E9008A" w:rsidP="005B7D01">
            <w:pPr>
              <w:jc w:val="center"/>
              <w:rPr>
                <w:b/>
                <w:bCs/>
                <w:color w:val="000000"/>
                <w:sz w:val="16"/>
                <w:szCs w:val="16"/>
              </w:rPr>
            </w:pPr>
            <w:r w:rsidRPr="001C751A">
              <w:rPr>
                <w:b/>
                <w:bCs/>
                <w:color w:val="000000"/>
                <w:sz w:val="16"/>
                <w:szCs w:val="16"/>
              </w:rPr>
              <w:t>Total</w:t>
            </w:r>
          </w:p>
        </w:tc>
        <w:tc>
          <w:tcPr>
            <w:tcW w:w="594" w:type="pct"/>
            <w:tcBorders>
              <w:top w:val="nil"/>
              <w:left w:val="nil"/>
              <w:bottom w:val="single" w:sz="4" w:space="0" w:color="auto"/>
              <w:right w:val="single" w:sz="4" w:space="0" w:color="auto"/>
            </w:tcBorders>
            <w:shd w:val="clear" w:color="auto" w:fill="D9D9D9" w:themeFill="background1" w:themeFillShade="D9"/>
            <w:vAlign w:val="center"/>
          </w:tcPr>
          <w:p w:rsidR="00E9008A" w:rsidRPr="001C751A" w:rsidRDefault="00E9008A" w:rsidP="005B7D01">
            <w:pPr>
              <w:jc w:val="center"/>
              <w:rPr>
                <w:b/>
                <w:bCs/>
                <w:color w:val="000000"/>
                <w:sz w:val="16"/>
                <w:szCs w:val="16"/>
              </w:rPr>
            </w:pPr>
            <w:r w:rsidRPr="001C751A">
              <w:rPr>
                <w:b/>
                <w:bCs/>
                <w:color w:val="000000"/>
                <w:sz w:val="16"/>
                <w:szCs w:val="16"/>
              </w:rPr>
              <w:t>Circulante</w:t>
            </w:r>
          </w:p>
        </w:tc>
        <w:tc>
          <w:tcPr>
            <w:tcW w:w="583" w:type="pct"/>
            <w:tcBorders>
              <w:top w:val="nil"/>
              <w:left w:val="nil"/>
              <w:bottom w:val="single" w:sz="4" w:space="0" w:color="auto"/>
              <w:right w:val="single" w:sz="4" w:space="0" w:color="auto"/>
            </w:tcBorders>
            <w:shd w:val="clear" w:color="auto" w:fill="D9D9D9" w:themeFill="background1" w:themeFillShade="D9"/>
            <w:vAlign w:val="center"/>
          </w:tcPr>
          <w:p w:rsidR="00E9008A" w:rsidRPr="001C751A" w:rsidRDefault="00E9008A" w:rsidP="005B7D01">
            <w:pPr>
              <w:jc w:val="center"/>
              <w:rPr>
                <w:b/>
                <w:bCs/>
                <w:color w:val="000000"/>
                <w:sz w:val="16"/>
                <w:szCs w:val="16"/>
              </w:rPr>
            </w:pPr>
            <w:r w:rsidRPr="001C751A">
              <w:rPr>
                <w:b/>
                <w:bCs/>
                <w:color w:val="000000"/>
                <w:sz w:val="16"/>
                <w:szCs w:val="16"/>
              </w:rPr>
              <w:t>Não circulante</w:t>
            </w:r>
          </w:p>
        </w:tc>
        <w:tc>
          <w:tcPr>
            <w:tcW w:w="531" w:type="pct"/>
            <w:tcBorders>
              <w:top w:val="nil"/>
              <w:left w:val="nil"/>
              <w:bottom w:val="single" w:sz="4" w:space="0" w:color="auto"/>
              <w:right w:val="single" w:sz="4" w:space="0" w:color="auto"/>
            </w:tcBorders>
            <w:shd w:val="clear" w:color="auto" w:fill="D9D9D9" w:themeFill="background1" w:themeFillShade="D9"/>
            <w:vAlign w:val="center"/>
          </w:tcPr>
          <w:p w:rsidR="00E9008A" w:rsidRPr="001C751A" w:rsidRDefault="00E9008A" w:rsidP="005B7D01">
            <w:pPr>
              <w:jc w:val="center"/>
              <w:rPr>
                <w:b/>
                <w:bCs/>
                <w:color w:val="000000"/>
                <w:sz w:val="16"/>
                <w:szCs w:val="16"/>
              </w:rPr>
            </w:pPr>
            <w:r w:rsidRPr="001C751A">
              <w:rPr>
                <w:b/>
                <w:bCs/>
                <w:color w:val="000000"/>
                <w:sz w:val="16"/>
                <w:szCs w:val="16"/>
              </w:rPr>
              <w:t>Total</w:t>
            </w:r>
          </w:p>
        </w:tc>
      </w:tr>
      <w:tr w:rsidR="00E9008A" w:rsidRPr="001C751A" w:rsidTr="005B7D01">
        <w:trPr>
          <w:trHeight w:val="264"/>
        </w:trPr>
        <w:tc>
          <w:tcPr>
            <w:tcW w:w="1476"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1C751A" w:rsidRDefault="00E9008A" w:rsidP="005B7D01">
            <w:pPr>
              <w:rPr>
                <w:b/>
                <w:color w:val="000000"/>
                <w:sz w:val="16"/>
                <w:szCs w:val="16"/>
              </w:rPr>
            </w:pPr>
            <w:r w:rsidRPr="001C751A">
              <w:rPr>
                <w:b/>
                <w:color w:val="000000"/>
                <w:sz w:val="16"/>
                <w:szCs w:val="16"/>
              </w:rPr>
              <w:t> </w:t>
            </w:r>
          </w:p>
        </w:tc>
        <w:tc>
          <w:tcPr>
            <w:tcW w:w="701"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 </w:t>
            </w:r>
          </w:p>
        </w:tc>
        <w:tc>
          <w:tcPr>
            <w:tcW w:w="583"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 </w:t>
            </w:r>
          </w:p>
        </w:tc>
        <w:tc>
          <w:tcPr>
            <w:tcW w:w="532"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 </w:t>
            </w:r>
          </w:p>
        </w:tc>
        <w:tc>
          <w:tcPr>
            <w:tcW w:w="594"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p>
        </w:tc>
        <w:tc>
          <w:tcPr>
            <w:tcW w:w="583"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p>
        </w:tc>
        <w:tc>
          <w:tcPr>
            <w:tcW w:w="531"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p>
        </w:tc>
      </w:tr>
      <w:tr w:rsidR="00E9008A" w:rsidRPr="001C751A" w:rsidTr="005B7D01">
        <w:trPr>
          <w:trHeight w:val="56"/>
        </w:trPr>
        <w:tc>
          <w:tcPr>
            <w:tcW w:w="1476" w:type="pct"/>
            <w:tcBorders>
              <w:top w:val="nil"/>
              <w:left w:val="single" w:sz="4" w:space="0" w:color="auto"/>
              <w:bottom w:val="single" w:sz="4" w:space="0" w:color="auto"/>
              <w:right w:val="single" w:sz="4" w:space="0" w:color="auto"/>
            </w:tcBorders>
            <w:shd w:val="clear" w:color="000000" w:fill="FFFFFF"/>
            <w:vAlign w:val="bottom"/>
            <w:hideMark/>
          </w:tcPr>
          <w:p w:rsidR="00E9008A" w:rsidRPr="001C751A" w:rsidRDefault="00E9008A" w:rsidP="005B7D01">
            <w:pPr>
              <w:rPr>
                <w:b/>
                <w:bCs/>
                <w:color w:val="000000"/>
                <w:sz w:val="16"/>
                <w:szCs w:val="16"/>
              </w:rPr>
            </w:pPr>
            <w:r w:rsidRPr="001C751A">
              <w:rPr>
                <w:b/>
                <w:bCs/>
                <w:color w:val="000000"/>
                <w:sz w:val="16"/>
                <w:szCs w:val="16"/>
              </w:rPr>
              <w:t>Saldo Inicial</w:t>
            </w:r>
          </w:p>
        </w:tc>
        <w:tc>
          <w:tcPr>
            <w:tcW w:w="701"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52.399</w:t>
            </w:r>
          </w:p>
        </w:tc>
        <w:tc>
          <w:tcPr>
            <w:tcW w:w="583"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130.273</w:t>
            </w:r>
          </w:p>
        </w:tc>
        <w:tc>
          <w:tcPr>
            <w:tcW w:w="532"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182.672</w:t>
            </w:r>
          </w:p>
        </w:tc>
        <w:tc>
          <w:tcPr>
            <w:tcW w:w="594"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15.918</w:t>
            </w:r>
          </w:p>
        </w:tc>
        <w:tc>
          <w:tcPr>
            <w:tcW w:w="583"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114.082</w:t>
            </w:r>
          </w:p>
        </w:tc>
        <w:tc>
          <w:tcPr>
            <w:tcW w:w="531"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130.000</w:t>
            </w:r>
          </w:p>
        </w:tc>
      </w:tr>
      <w:tr w:rsidR="00E9008A" w:rsidRPr="001C751A" w:rsidTr="005B7D01">
        <w:trPr>
          <w:trHeight w:val="146"/>
        </w:trPr>
        <w:tc>
          <w:tcPr>
            <w:tcW w:w="1476" w:type="pct"/>
            <w:tcBorders>
              <w:top w:val="nil"/>
              <w:left w:val="single" w:sz="4" w:space="0" w:color="auto"/>
              <w:bottom w:val="single" w:sz="4" w:space="0" w:color="auto"/>
              <w:right w:val="single" w:sz="4" w:space="0" w:color="auto"/>
            </w:tcBorders>
            <w:shd w:val="clear" w:color="000000" w:fill="FFFFFF"/>
            <w:vAlign w:val="bottom"/>
            <w:hideMark/>
          </w:tcPr>
          <w:p w:rsidR="00E9008A" w:rsidRPr="001C751A" w:rsidRDefault="00E9008A" w:rsidP="005B7D01">
            <w:pPr>
              <w:rPr>
                <w:bCs/>
                <w:color w:val="000000"/>
                <w:sz w:val="16"/>
                <w:szCs w:val="16"/>
              </w:rPr>
            </w:pPr>
            <w:r w:rsidRPr="001C751A">
              <w:rPr>
                <w:bCs/>
                <w:color w:val="000000"/>
                <w:sz w:val="16"/>
                <w:szCs w:val="16"/>
              </w:rPr>
              <w:t>Encargos</w:t>
            </w:r>
          </w:p>
        </w:tc>
        <w:tc>
          <w:tcPr>
            <w:tcW w:w="701"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1.178</w:t>
            </w:r>
          </w:p>
        </w:tc>
        <w:tc>
          <w:tcPr>
            <w:tcW w:w="583"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 </w:t>
            </w:r>
          </w:p>
        </w:tc>
        <w:tc>
          <w:tcPr>
            <w:tcW w:w="532"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1.178</w:t>
            </w:r>
          </w:p>
        </w:tc>
        <w:tc>
          <w:tcPr>
            <w:tcW w:w="594"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1.082</w:t>
            </w:r>
          </w:p>
        </w:tc>
        <w:tc>
          <w:tcPr>
            <w:tcW w:w="583"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p>
        </w:tc>
        <w:tc>
          <w:tcPr>
            <w:tcW w:w="531"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1.082</w:t>
            </w:r>
          </w:p>
        </w:tc>
      </w:tr>
      <w:tr w:rsidR="00E9008A" w:rsidRPr="001C751A" w:rsidTr="005B7D01">
        <w:trPr>
          <w:trHeight w:val="91"/>
        </w:trPr>
        <w:tc>
          <w:tcPr>
            <w:tcW w:w="1476" w:type="pct"/>
            <w:tcBorders>
              <w:top w:val="nil"/>
              <w:left w:val="single" w:sz="4" w:space="0" w:color="auto"/>
              <w:bottom w:val="single" w:sz="4" w:space="0" w:color="auto"/>
              <w:right w:val="single" w:sz="4" w:space="0" w:color="auto"/>
            </w:tcBorders>
            <w:shd w:val="clear" w:color="000000" w:fill="FFFFFF"/>
            <w:vAlign w:val="bottom"/>
            <w:hideMark/>
          </w:tcPr>
          <w:p w:rsidR="00E9008A" w:rsidRPr="001C751A" w:rsidRDefault="00E9008A" w:rsidP="005B7D01">
            <w:pPr>
              <w:rPr>
                <w:bCs/>
                <w:color w:val="000000"/>
                <w:sz w:val="16"/>
                <w:szCs w:val="16"/>
              </w:rPr>
            </w:pPr>
            <w:r w:rsidRPr="001C751A">
              <w:rPr>
                <w:bCs/>
                <w:color w:val="000000"/>
                <w:sz w:val="16"/>
                <w:szCs w:val="16"/>
              </w:rPr>
              <w:t>Custos da Emissão</w:t>
            </w:r>
          </w:p>
        </w:tc>
        <w:tc>
          <w:tcPr>
            <w:tcW w:w="701"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(432)</w:t>
            </w:r>
          </w:p>
        </w:tc>
        <w:tc>
          <w:tcPr>
            <w:tcW w:w="583"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(1.511)</w:t>
            </w:r>
          </w:p>
        </w:tc>
        <w:tc>
          <w:tcPr>
            <w:tcW w:w="532"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color w:val="000000"/>
                <w:sz w:val="16"/>
                <w:szCs w:val="16"/>
              </w:rPr>
            </w:pPr>
            <w:r w:rsidRPr="001C751A">
              <w:rPr>
                <w:color w:val="000000"/>
                <w:sz w:val="16"/>
                <w:szCs w:val="16"/>
              </w:rPr>
              <w:t>(1.943)</w:t>
            </w:r>
          </w:p>
        </w:tc>
        <w:tc>
          <w:tcPr>
            <w:tcW w:w="594"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(432)</w:t>
            </w:r>
          </w:p>
        </w:tc>
        <w:tc>
          <w:tcPr>
            <w:tcW w:w="583"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(1.511)</w:t>
            </w:r>
          </w:p>
        </w:tc>
        <w:tc>
          <w:tcPr>
            <w:tcW w:w="531"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color w:val="000000"/>
                <w:sz w:val="16"/>
                <w:szCs w:val="16"/>
              </w:rPr>
            </w:pPr>
            <w:r w:rsidRPr="001C751A">
              <w:rPr>
                <w:color w:val="000000"/>
                <w:sz w:val="16"/>
                <w:szCs w:val="16"/>
              </w:rPr>
              <w:t>(1.934)</w:t>
            </w:r>
          </w:p>
        </w:tc>
      </w:tr>
      <w:tr w:rsidR="00E9008A" w:rsidRPr="001C751A" w:rsidTr="005B7D01">
        <w:trPr>
          <w:trHeight w:val="138"/>
        </w:trPr>
        <w:tc>
          <w:tcPr>
            <w:tcW w:w="1476" w:type="pct"/>
            <w:tcBorders>
              <w:top w:val="nil"/>
              <w:left w:val="single" w:sz="4" w:space="0" w:color="auto"/>
              <w:bottom w:val="single" w:sz="4" w:space="0" w:color="auto"/>
              <w:right w:val="single" w:sz="4" w:space="0" w:color="auto"/>
            </w:tcBorders>
            <w:shd w:val="clear" w:color="000000" w:fill="FFFFFF"/>
            <w:noWrap/>
            <w:vAlign w:val="bottom"/>
            <w:hideMark/>
          </w:tcPr>
          <w:p w:rsidR="00E9008A" w:rsidRPr="001C751A" w:rsidRDefault="00E9008A" w:rsidP="005B7D01">
            <w:pPr>
              <w:rPr>
                <w:b/>
                <w:color w:val="000000"/>
                <w:sz w:val="16"/>
                <w:szCs w:val="16"/>
              </w:rPr>
            </w:pPr>
            <w:r w:rsidRPr="001C751A">
              <w:rPr>
                <w:color w:val="000000"/>
                <w:sz w:val="16"/>
                <w:szCs w:val="16"/>
              </w:rPr>
              <w:t> </w:t>
            </w:r>
            <w:r w:rsidRPr="001C751A">
              <w:rPr>
                <w:b/>
                <w:color w:val="000000"/>
                <w:sz w:val="16"/>
                <w:szCs w:val="16"/>
              </w:rPr>
              <w:t>Saldo Final</w:t>
            </w:r>
          </w:p>
        </w:tc>
        <w:tc>
          <w:tcPr>
            <w:tcW w:w="701"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b/>
                <w:bCs/>
                <w:color w:val="000000"/>
                <w:sz w:val="16"/>
                <w:szCs w:val="16"/>
              </w:rPr>
            </w:pPr>
            <w:r w:rsidRPr="001C751A">
              <w:rPr>
                <w:b/>
                <w:bCs/>
                <w:color w:val="000000"/>
                <w:sz w:val="16"/>
                <w:szCs w:val="16"/>
              </w:rPr>
              <w:t>53.145</w:t>
            </w:r>
          </w:p>
        </w:tc>
        <w:tc>
          <w:tcPr>
            <w:tcW w:w="583"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b/>
                <w:bCs/>
                <w:color w:val="000000"/>
                <w:sz w:val="16"/>
                <w:szCs w:val="16"/>
              </w:rPr>
            </w:pPr>
            <w:r w:rsidRPr="001C751A">
              <w:rPr>
                <w:b/>
                <w:bCs/>
                <w:color w:val="000000"/>
                <w:sz w:val="16"/>
                <w:szCs w:val="16"/>
              </w:rPr>
              <w:t>128.762</w:t>
            </w:r>
          </w:p>
        </w:tc>
        <w:tc>
          <w:tcPr>
            <w:tcW w:w="532" w:type="pct"/>
            <w:tcBorders>
              <w:top w:val="nil"/>
              <w:left w:val="nil"/>
              <w:bottom w:val="single" w:sz="4" w:space="0" w:color="auto"/>
              <w:right w:val="single" w:sz="4" w:space="0" w:color="auto"/>
            </w:tcBorders>
            <w:shd w:val="clear" w:color="000000" w:fill="FFFFFF"/>
            <w:noWrap/>
            <w:vAlign w:val="center"/>
            <w:hideMark/>
          </w:tcPr>
          <w:p w:rsidR="00E9008A" w:rsidRPr="001C751A" w:rsidRDefault="00E9008A" w:rsidP="005B7D01">
            <w:pPr>
              <w:jc w:val="right"/>
              <w:rPr>
                <w:b/>
                <w:bCs/>
                <w:color w:val="000000"/>
                <w:sz w:val="16"/>
                <w:szCs w:val="16"/>
              </w:rPr>
            </w:pPr>
            <w:r w:rsidRPr="001C751A">
              <w:rPr>
                <w:b/>
                <w:bCs/>
                <w:color w:val="000000"/>
                <w:sz w:val="16"/>
                <w:szCs w:val="16"/>
              </w:rPr>
              <w:t>181.907</w:t>
            </w:r>
          </w:p>
        </w:tc>
        <w:tc>
          <w:tcPr>
            <w:tcW w:w="594"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b/>
                <w:bCs/>
                <w:color w:val="000000"/>
                <w:sz w:val="16"/>
                <w:szCs w:val="16"/>
              </w:rPr>
            </w:pPr>
            <w:r w:rsidRPr="001C751A">
              <w:rPr>
                <w:b/>
                <w:bCs/>
                <w:color w:val="000000"/>
                <w:sz w:val="16"/>
                <w:szCs w:val="16"/>
              </w:rPr>
              <w:t>16.568</w:t>
            </w:r>
          </w:p>
        </w:tc>
        <w:tc>
          <w:tcPr>
            <w:tcW w:w="583"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b/>
                <w:bCs/>
                <w:color w:val="000000"/>
                <w:sz w:val="16"/>
                <w:szCs w:val="16"/>
              </w:rPr>
            </w:pPr>
            <w:r w:rsidRPr="001C751A">
              <w:rPr>
                <w:b/>
                <w:bCs/>
                <w:color w:val="000000"/>
                <w:sz w:val="16"/>
                <w:szCs w:val="16"/>
              </w:rPr>
              <w:t>112.571</w:t>
            </w:r>
          </w:p>
        </w:tc>
        <w:tc>
          <w:tcPr>
            <w:tcW w:w="531" w:type="pct"/>
            <w:tcBorders>
              <w:top w:val="nil"/>
              <w:left w:val="nil"/>
              <w:bottom w:val="single" w:sz="4" w:space="0" w:color="auto"/>
              <w:right w:val="single" w:sz="4" w:space="0" w:color="auto"/>
            </w:tcBorders>
            <w:shd w:val="clear" w:color="000000" w:fill="FFFFFF"/>
            <w:vAlign w:val="center"/>
          </w:tcPr>
          <w:p w:rsidR="00E9008A" w:rsidRPr="001C751A" w:rsidRDefault="00E9008A" w:rsidP="005B7D01">
            <w:pPr>
              <w:jc w:val="right"/>
              <w:rPr>
                <w:b/>
                <w:bCs/>
                <w:color w:val="000000"/>
                <w:sz w:val="16"/>
                <w:szCs w:val="16"/>
              </w:rPr>
            </w:pPr>
            <w:r w:rsidRPr="001C751A">
              <w:rPr>
                <w:b/>
                <w:bCs/>
                <w:color w:val="000000"/>
                <w:sz w:val="16"/>
                <w:szCs w:val="16"/>
              </w:rPr>
              <w:t>129.139</w:t>
            </w:r>
          </w:p>
        </w:tc>
      </w:tr>
    </w:tbl>
    <w:p w:rsidR="00E9008A" w:rsidRPr="001C751A" w:rsidRDefault="00E9008A" w:rsidP="00E9008A">
      <w:pPr>
        <w:spacing w:before="240" w:after="240"/>
        <w:jc w:val="both"/>
        <w:rPr>
          <w:sz w:val="22"/>
          <w:szCs w:val="22"/>
        </w:rPr>
      </w:pPr>
      <w:r w:rsidRPr="001C751A">
        <w:rPr>
          <w:sz w:val="22"/>
          <w:szCs w:val="22"/>
        </w:rPr>
        <w:t>Em 14 de maio de 2015, por meio do Despacho nº 1.500, a ANEEL anuiu à emissão de debêntures no valor de R$ 130.000 à CEB D. A controlada optou por operações simples não conversíveis em ações, com garantia real nos termos da Instrução CVM nº 476, de 16 de janeiro de 2009, e legislação aplicável.</w:t>
      </w:r>
    </w:p>
    <w:p w:rsidR="00E9008A" w:rsidRPr="001C751A" w:rsidRDefault="00E9008A" w:rsidP="00E9008A">
      <w:pPr>
        <w:spacing w:before="240" w:after="240"/>
        <w:jc w:val="both"/>
        <w:rPr>
          <w:sz w:val="22"/>
          <w:szCs w:val="22"/>
        </w:rPr>
      </w:pPr>
      <w:r w:rsidRPr="001C751A">
        <w:rPr>
          <w:sz w:val="22"/>
          <w:szCs w:val="22"/>
        </w:rPr>
        <w:t>Tais debêntures têm prazo de vencimento de 60 (sessenta) meses contados a partir da sua emissão, em 15 de junho de 2015, com vencimento em 15 de junho de 2020, observadas as hipóteses de vencimento antecipado, de resgate antecipado facultativo e de amortizações extraordinárias facultativas. Os montantes provenientes desta emissão foram destinados, principalmente, para: (a) investimentos na infraestrutura de distribuição de energia; e (b) no cumprimento de obrigações setoriais.</w:t>
      </w:r>
    </w:p>
    <w:p w:rsidR="00E9008A" w:rsidRPr="001C751A" w:rsidRDefault="00E9008A" w:rsidP="00E9008A">
      <w:pPr>
        <w:spacing w:before="240" w:after="240"/>
        <w:jc w:val="both"/>
        <w:rPr>
          <w:sz w:val="22"/>
          <w:szCs w:val="22"/>
        </w:rPr>
      </w:pPr>
      <w:r w:rsidRPr="001C751A">
        <w:rPr>
          <w:sz w:val="22"/>
          <w:szCs w:val="22"/>
        </w:rPr>
        <w:t>Em 24 de novembro de 2015, mediante o Despacho nº 3.788, a ANEEL anuiu à segunda emissão de debêntures no valor de R$ 120.000, igualmente para a CEB D, nos termos e condições aplicáveis à primeira emissão.</w:t>
      </w:r>
    </w:p>
    <w:p w:rsidR="00E9008A" w:rsidRPr="001C751A" w:rsidRDefault="00E9008A" w:rsidP="00E9008A">
      <w:pPr>
        <w:spacing w:before="240" w:after="240"/>
        <w:jc w:val="both"/>
        <w:rPr>
          <w:sz w:val="22"/>
          <w:szCs w:val="22"/>
        </w:rPr>
      </w:pPr>
      <w:r w:rsidRPr="001C751A">
        <w:rPr>
          <w:sz w:val="22"/>
          <w:szCs w:val="22"/>
        </w:rPr>
        <w:t>Em 15 de maio de 2016, a controlada realizou parcialmente a emissão das debêntures, perfazendo o montante de R$ 71.000, nas mesmas condições de prazo e taxa da operação anterior, com vencimento em 15 de maio de 2021. Os recursos líquidos obtidos pela controlada foram destinados, principalmente, para: (a) cumprimento de obrigações junto a fornecedores; e (b) efetivação de obrigações setoriais.</w:t>
      </w:r>
    </w:p>
    <w:p w:rsidR="00E9008A" w:rsidRPr="008C4734" w:rsidRDefault="00E9008A" w:rsidP="00E9008A">
      <w:pPr>
        <w:spacing w:before="240" w:after="240"/>
        <w:jc w:val="both"/>
        <w:rPr>
          <w:sz w:val="22"/>
          <w:szCs w:val="22"/>
        </w:rPr>
      </w:pPr>
      <w:r w:rsidRPr="001C751A">
        <w:rPr>
          <w:sz w:val="22"/>
          <w:szCs w:val="22"/>
        </w:rPr>
        <w:lastRenderedPageBreak/>
        <w:t>As referidas debêntures, primeira e segunda emissão, possuem carência de 12 meses, contados da data de sua emissão para amortização do principal, bem como são remuneradas a 100% (cem por cento) da Taxa DI, capitalizada exponencialmente com sobretaxa (</w:t>
      </w:r>
      <w:r w:rsidRPr="001C751A">
        <w:rPr>
          <w:i/>
          <w:sz w:val="22"/>
          <w:szCs w:val="22"/>
        </w:rPr>
        <w:t>spread</w:t>
      </w:r>
      <w:r w:rsidRPr="001C751A">
        <w:rPr>
          <w:sz w:val="22"/>
          <w:szCs w:val="22"/>
        </w:rPr>
        <w:t>) de 6,80%, base 252 (duzentos e cinquenta e dois) dias úteis ao ano.</w:t>
      </w:r>
    </w:p>
    <w:p w:rsidR="00E9008A" w:rsidRDefault="00E9008A" w:rsidP="00E9008A">
      <w:pPr>
        <w:rPr>
          <w:color w:val="000000"/>
          <w:sz w:val="22"/>
          <w:szCs w:val="22"/>
        </w:rPr>
      </w:pPr>
      <w:r>
        <w:rPr>
          <w:color w:val="000000"/>
          <w:sz w:val="22"/>
          <w:szCs w:val="22"/>
        </w:rPr>
        <w:br w:type="page"/>
      </w:r>
    </w:p>
    <w:p w:rsidR="00E9008A" w:rsidRPr="00316249" w:rsidRDefault="00E9008A" w:rsidP="00E9008A">
      <w:pPr>
        <w:spacing w:before="240" w:after="240"/>
        <w:rPr>
          <w:color w:val="000000"/>
          <w:sz w:val="22"/>
          <w:szCs w:val="22"/>
        </w:rPr>
      </w:pPr>
      <w:r w:rsidRPr="00316249">
        <w:rPr>
          <w:color w:val="000000"/>
          <w:sz w:val="22"/>
          <w:szCs w:val="22"/>
        </w:rPr>
        <w:lastRenderedPageBreak/>
        <w:t>O saldo de debêntures registrado no passivo têm seus vencimentos assim programados:</w:t>
      </w:r>
    </w:p>
    <w:tbl>
      <w:tblPr>
        <w:tblW w:w="5000" w:type="pct"/>
        <w:tblCellMar>
          <w:left w:w="70" w:type="dxa"/>
          <w:right w:w="70" w:type="dxa"/>
        </w:tblCellMar>
        <w:tblLook w:val="04A0" w:firstRow="1" w:lastRow="0" w:firstColumn="1" w:lastColumn="0" w:noHBand="0" w:noVBand="1"/>
      </w:tblPr>
      <w:tblGrid>
        <w:gridCol w:w="7721"/>
        <w:gridCol w:w="1490"/>
      </w:tblGrid>
      <w:tr w:rsidR="00E9008A" w:rsidRPr="00316249" w:rsidTr="005B7D01">
        <w:trPr>
          <w:trHeight w:val="227"/>
          <w:tblHeader/>
        </w:trPr>
        <w:tc>
          <w:tcPr>
            <w:tcW w:w="419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9008A" w:rsidRPr="00316249" w:rsidRDefault="00E9008A" w:rsidP="005B7D01">
            <w:pPr>
              <w:spacing w:before="240" w:after="240"/>
              <w:rPr>
                <w:b/>
                <w:bCs/>
                <w:color w:val="000000"/>
                <w:sz w:val="18"/>
                <w:szCs w:val="18"/>
              </w:rPr>
            </w:pPr>
            <w:r w:rsidRPr="00316249">
              <w:rPr>
                <w:b/>
                <w:bCs/>
                <w:color w:val="000000"/>
                <w:sz w:val="18"/>
                <w:szCs w:val="18"/>
              </w:rPr>
              <w:t> </w:t>
            </w:r>
          </w:p>
        </w:tc>
        <w:tc>
          <w:tcPr>
            <w:tcW w:w="809"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27"/>
        </w:trPr>
        <w:tc>
          <w:tcPr>
            <w:tcW w:w="419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2017</w:t>
            </w:r>
          </w:p>
        </w:tc>
        <w:tc>
          <w:tcPr>
            <w:tcW w:w="80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53.145 </w:t>
            </w:r>
          </w:p>
        </w:tc>
      </w:tr>
      <w:tr w:rsidR="00E9008A" w:rsidRPr="00316249" w:rsidTr="005B7D01">
        <w:trPr>
          <w:trHeight w:val="227"/>
        </w:trPr>
        <w:tc>
          <w:tcPr>
            <w:tcW w:w="419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2018</w:t>
            </w:r>
          </w:p>
        </w:tc>
        <w:tc>
          <w:tcPr>
            <w:tcW w:w="80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42.911 </w:t>
            </w:r>
          </w:p>
        </w:tc>
      </w:tr>
      <w:tr w:rsidR="00E9008A" w:rsidRPr="00316249" w:rsidTr="005B7D01">
        <w:trPr>
          <w:trHeight w:val="227"/>
        </w:trPr>
        <w:tc>
          <w:tcPr>
            <w:tcW w:w="419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2019</w:t>
            </w:r>
          </w:p>
        </w:tc>
        <w:tc>
          <w:tcPr>
            <w:tcW w:w="80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37.199 </w:t>
            </w:r>
          </w:p>
        </w:tc>
      </w:tr>
      <w:tr w:rsidR="00E9008A" w:rsidRPr="00316249" w:rsidTr="005B7D01">
        <w:trPr>
          <w:trHeight w:val="227"/>
        </w:trPr>
        <w:tc>
          <w:tcPr>
            <w:tcW w:w="419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2020</w:t>
            </w:r>
          </w:p>
        </w:tc>
        <w:tc>
          <w:tcPr>
            <w:tcW w:w="80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37.199 </w:t>
            </w:r>
          </w:p>
        </w:tc>
      </w:tr>
      <w:tr w:rsidR="00E9008A" w:rsidRPr="00316249" w:rsidTr="005B7D01">
        <w:trPr>
          <w:trHeight w:val="227"/>
        </w:trPr>
        <w:tc>
          <w:tcPr>
            <w:tcW w:w="4191" w:type="pct"/>
            <w:tcBorders>
              <w:top w:val="nil"/>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rPr>
                <w:color w:val="000000"/>
                <w:sz w:val="18"/>
                <w:szCs w:val="18"/>
              </w:rPr>
            </w:pPr>
            <w:r w:rsidRPr="00316249">
              <w:rPr>
                <w:color w:val="000000"/>
                <w:sz w:val="18"/>
                <w:szCs w:val="18"/>
              </w:rPr>
              <w:t>2021</w:t>
            </w:r>
          </w:p>
        </w:tc>
        <w:tc>
          <w:tcPr>
            <w:tcW w:w="80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11.453</w:t>
            </w:r>
          </w:p>
        </w:tc>
      </w:tr>
      <w:tr w:rsidR="00E9008A" w:rsidRPr="00316249" w:rsidTr="005B7D01">
        <w:trPr>
          <w:trHeight w:val="227"/>
        </w:trPr>
        <w:tc>
          <w:tcPr>
            <w:tcW w:w="4191"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Total</w:t>
            </w:r>
          </w:p>
        </w:tc>
        <w:tc>
          <w:tcPr>
            <w:tcW w:w="80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181.907 </w:t>
            </w:r>
          </w:p>
        </w:tc>
      </w:tr>
    </w:tbl>
    <w:p w:rsidR="00E9008A" w:rsidRPr="002A42CC" w:rsidRDefault="00E9008A" w:rsidP="00E9008A">
      <w:pPr>
        <w:spacing w:before="240" w:after="240"/>
        <w:rPr>
          <w:color w:val="000000"/>
          <w:sz w:val="22"/>
          <w:szCs w:val="22"/>
        </w:rPr>
      </w:pPr>
      <w:r w:rsidRPr="00316249">
        <w:rPr>
          <w:bCs/>
          <w:color w:val="000000"/>
          <w:sz w:val="22"/>
          <w:szCs w:val="22"/>
        </w:rPr>
        <w:t>Condições restritivas:</w:t>
      </w:r>
      <w:r w:rsidRPr="00316249">
        <w:rPr>
          <w:b/>
          <w:bCs/>
          <w:color w:val="000000"/>
          <w:sz w:val="22"/>
          <w:szCs w:val="22"/>
        </w:rPr>
        <w:t xml:space="preserve"> </w:t>
      </w:r>
      <w:r w:rsidRPr="00316249">
        <w:rPr>
          <w:color w:val="000000"/>
          <w:sz w:val="22"/>
          <w:szCs w:val="22"/>
        </w:rPr>
        <w:t xml:space="preserve">Qualquer operação de FIDC a ser realizada pela CEB Distribuição S.A. restringe-se ao Banco </w:t>
      </w:r>
      <w:proofErr w:type="spellStart"/>
      <w:r w:rsidRPr="00316249">
        <w:rPr>
          <w:i/>
          <w:color w:val="000000"/>
          <w:sz w:val="22"/>
          <w:szCs w:val="22"/>
        </w:rPr>
        <w:t>Credit</w:t>
      </w:r>
      <w:proofErr w:type="spellEnd"/>
      <w:r w:rsidRPr="00316249">
        <w:rPr>
          <w:i/>
          <w:color w:val="000000"/>
          <w:sz w:val="22"/>
          <w:szCs w:val="22"/>
        </w:rPr>
        <w:t xml:space="preserve"> </w:t>
      </w:r>
      <w:proofErr w:type="spellStart"/>
      <w:r w:rsidRPr="00316249">
        <w:rPr>
          <w:i/>
          <w:color w:val="000000"/>
          <w:sz w:val="22"/>
          <w:szCs w:val="22"/>
        </w:rPr>
        <w:t>Suisse</w:t>
      </w:r>
      <w:proofErr w:type="spellEnd"/>
      <w:r w:rsidRPr="00316249">
        <w:rPr>
          <w:i/>
          <w:color w:val="000000"/>
          <w:sz w:val="22"/>
          <w:szCs w:val="22"/>
        </w:rPr>
        <w:t>.</w:t>
      </w:r>
    </w:p>
    <w:p w:rsidR="00E9008A" w:rsidRPr="001E7EF1" w:rsidRDefault="00E9008A"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1E7EF1">
        <w:rPr>
          <w:rFonts w:ascii="Times New Roman" w:eastAsia="Arial Unicode MS" w:hAnsi="Times New Roman" w:cs="Times New Roman"/>
          <w:b/>
          <w:bCs/>
          <w:iCs/>
          <w:lang w:val="pt-BR"/>
        </w:rPr>
        <w:t>Movimentação das Debêntures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6"/>
        <w:gridCol w:w="2435"/>
      </w:tblGrid>
      <w:tr w:rsidR="00E9008A" w:rsidRPr="00316249" w:rsidTr="005B7D01">
        <w:trPr>
          <w:trHeight w:val="227"/>
          <w:tblHeader/>
        </w:trPr>
        <w:tc>
          <w:tcPr>
            <w:tcW w:w="3678"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2015</w:t>
            </w:r>
          </w:p>
        </w:tc>
        <w:tc>
          <w:tcPr>
            <w:tcW w:w="1322"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129.139</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Emissão </w:t>
            </w:r>
          </w:p>
        </w:tc>
        <w:tc>
          <w:tcPr>
            <w:tcW w:w="1322"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71.000</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Encargos Incorridos</w:t>
            </w:r>
          </w:p>
        </w:tc>
        <w:tc>
          <w:tcPr>
            <w:tcW w:w="1322"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34.667</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Custo de Transação </w:t>
            </w:r>
          </w:p>
        </w:tc>
        <w:tc>
          <w:tcPr>
            <w:tcW w:w="1322"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(113)</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Encargos Pagos</w:t>
            </w:r>
          </w:p>
        </w:tc>
        <w:tc>
          <w:tcPr>
            <w:tcW w:w="1322"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(33.376)</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Amortização do </w:t>
            </w:r>
            <w:r>
              <w:rPr>
                <w:color w:val="000000"/>
                <w:sz w:val="18"/>
                <w:szCs w:val="18"/>
              </w:rPr>
              <w:t>P</w:t>
            </w:r>
            <w:r w:rsidRPr="00316249">
              <w:rPr>
                <w:color w:val="000000"/>
                <w:sz w:val="18"/>
                <w:szCs w:val="18"/>
              </w:rPr>
              <w:t>rincipal</w:t>
            </w:r>
          </w:p>
        </w:tc>
        <w:tc>
          <w:tcPr>
            <w:tcW w:w="1322"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(18.565)</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Deságio</w:t>
            </w:r>
          </w:p>
        </w:tc>
        <w:tc>
          <w:tcPr>
            <w:tcW w:w="1322"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(844)</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Saldo em 31 de dezembro de 2016</w:t>
            </w:r>
          </w:p>
        </w:tc>
        <w:tc>
          <w:tcPr>
            <w:tcW w:w="1322" w:type="pct"/>
            <w:shd w:val="clear" w:color="auto" w:fill="auto"/>
            <w:noWrap/>
            <w:vAlign w:val="bottom"/>
            <w:hideMark/>
          </w:tcPr>
          <w:p w:rsidR="00E9008A" w:rsidRPr="00316249" w:rsidRDefault="00E9008A" w:rsidP="005B7D01">
            <w:pPr>
              <w:jc w:val="right"/>
              <w:rPr>
                <w:b/>
                <w:bCs/>
                <w:color w:val="000000"/>
                <w:sz w:val="18"/>
                <w:szCs w:val="18"/>
              </w:rPr>
            </w:pPr>
            <w:r w:rsidRPr="00316249">
              <w:rPr>
                <w:b/>
                <w:bCs/>
                <w:color w:val="000000"/>
                <w:sz w:val="18"/>
                <w:szCs w:val="18"/>
              </w:rPr>
              <w:t>181.908</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1322" w:type="pct"/>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53.145</w:t>
            </w:r>
          </w:p>
        </w:tc>
      </w:tr>
      <w:tr w:rsidR="00E9008A" w:rsidRPr="00316249" w:rsidTr="005B7D01">
        <w:trPr>
          <w:trHeight w:val="227"/>
        </w:trPr>
        <w:tc>
          <w:tcPr>
            <w:tcW w:w="3678"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1322" w:type="pct"/>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128.763</w:t>
            </w:r>
          </w:p>
        </w:tc>
      </w:tr>
    </w:tbl>
    <w:p w:rsidR="00E9008A" w:rsidRPr="001E7EF1" w:rsidRDefault="00E9008A"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1E7EF1">
        <w:rPr>
          <w:rFonts w:ascii="Times New Roman" w:eastAsia="Arial Unicode MS" w:hAnsi="Times New Roman" w:cs="Times New Roman"/>
          <w:b/>
          <w:bCs/>
          <w:iCs/>
          <w:lang w:val="pt-BR"/>
        </w:rPr>
        <w:t>Garantias na Emissão das Debêntures</w:t>
      </w:r>
    </w:p>
    <w:p w:rsidR="00E9008A" w:rsidRPr="00747E73" w:rsidRDefault="00E9008A" w:rsidP="00E9008A">
      <w:pPr>
        <w:spacing w:before="240" w:after="240"/>
        <w:rPr>
          <w:bCs/>
          <w:color w:val="000000"/>
          <w:sz w:val="22"/>
          <w:szCs w:val="22"/>
        </w:rPr>
      </w:pPr>
      <w:r w:rsidRPr="00747E73">
        <w:rPr>
          <w:bCs/>
          <w:color w:val="000000"/>
          <w:sz w:val="22"/>
          <w:szCs w:val="22"/>
        </w:rPr>
        <w:t xml:space="preserve">Os pagamentos das obrigações contratuais das debêntures emitidas são garantidos pela cessão fiduciária de direitos creditórios, presentes e futuros, vincendos, provenientes de faturas de fornecimento de energia, no período compreendido entre a data da primeira integralização das debêntures até sua liquidação total e dos vencimentos das demais obrigações acessórias. </w:t>
      </w:r>
    </w:p>
    <w:p w:rsidR="00E9008A" w:rsidRPr="00B01C6F" w:rsidRDefault="00E9008A" w:rsidP="00E9008A">
      <w:pPr>
        <w:spacing w:before="240" w:after="240"/>
        <w:rPr>
          <w:bCs/>
          <w:color w:val="000000"/>
          <w:sz w:val="22"/>
          <w:szCs w:val="22"/>
        </w:rPr>
      </w:pPr>
      <w:r w:rsidRPr="00747E73">
        <w:rPr>
          <w:bCs/>
          <w:color w:val="000000"/>
          <w:sz w:val="22"/>
          <w:szCs w:val="22"/>
        </w:rPr>
        <w:t>A primeira emissão de debêntures possui ainda como garantia a alienação fiduciária do imóvel localizado no Setor Noroeste SAI Norte PR 155/1/DF, atualmente classificado como ativo não circulante disponível para venda, cujo valor de liquidação forçada foi equivalente a 150% do saldo principal das debêntures.</w:t>
      </w:r>
    </w:p>
    <w:p w:rsidR="00E9008A" w:rsidRDefault="00E9008A" w:rsidP="00E9008A">
      <w:pPr>
        <w:rPr>
          <w:b/>
          <w:bCs/>
          <w:color w:val="000000"/>
          <w:sz w:val="22"/>
          <w:szCs w:val="22"/>
        </w:rPr>
      </w:pPr>
      <w:r>
        <w:rPr>
          <w:b/>
          <w:bCs/>
          <w:color w:val="000000"/>
          <w:sz w:val="22"/>
          <w:szCs w:val="22"/>
        </w:rPr>
        <w:br w:type="page"/>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lastRenderedPageBreak/>
        <w:t>EMPRÉSTIMOS E FINANCIAMENTOS</w:t>
      </w:r>
    </w:p>
    <w:tbl>
      <w:tblPr>
        <w:tblW w:w="5000" w:type="pct"/>
        <w:tblCellMar>
          <w:left w:w="70" w:type="dxa"/>
          <w:right w:w="70" w:type="dxa"/>
        </w:tblCellMar>
        <w:tblLook w:val="04A0" w:firstRow="1" w:lastRow="0" w:firstColumn="1" w:lastColumn="0" w:noHBand="0" w:noVBand="1"/>
      </w:tblPr>
      <w:tblGrid>
        <w:gridCol w:w="3005"/>
        <w:gridCol w:w="991"/>
        <w:gridCol w:w="992"/>
        <w:gridCol w:w="4223"/>
      </w:tblGrid>
      <w:tr w:rsidR="00E9008A" w:rsidRPr="00316249" w:rsidTr="005B7D01">
        <w:trPr>
          <w:trHeight w:val="238"/>
          <w:tblHeader/>
        </w:trPr>
        <w:tc>
          <w:tcPr>
            <w:tcW w:w="149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xml:space="preserve">Entidades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Consolidado </w:t>
            </w:r>
          </w:p>
        </w:tc>
        <w:tc>
          <w:tcPr>
            <w:tcW w:w="233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Encargos</w:t>
            </w:r>
          </w:p>
        </w:tc>
      </w:tr>
      <w:tr w:rsidR="00E9008A" w:rsidRPr="00316249" w:rsidTr="005B7D01">
        <w:trPr>
          <w:trHeight w:val="238"/>
          <w:tblHeader/>
        </w:trPr>
        <w:tc>
          <w:tcPr>
            <w:tcW w:w="1494"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2339"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Eletrobrás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839</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9.325 </w:t>
            </w:r>
          </w:p>
        </w:tc>
        <w:tc>
          <w:tcPr>
            <w:tcW w:w="2339"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Juros entre 5% a 8% a.a. 1% a 2% de </w:t>
            </w:r>
            <w:proofErr w:type="spellStart"/>
            <w:r w:rsidRPr="00316249">
              <w:rPr>
                <w:color w:val="000000"/>
                <w:sz w:val="18"/>
                <w:szCs w:val="18"/>
              </w:rPr>
              <w:t>Tx</w:t>
            </w:r>
            <w:proofErr w:type="spellEnd"/>
            <w:r w:rsidRPr="00316249">
              <w:rPr>
                <w:color w:val="000000"/>
                <w:sz w:val="18"/>
                <w:szCs w:val="18"/>
              </w:rPr>
              <w:t>. Adm. + Variação da UFIR/IGPM</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Banco do Brasil S.A</w:t>
            </w:r>
            <w:r>
              <w:rPr>
                <w:color w:val="000000"/>
                <w:sz w:val="18"/>
                <w:szCs w:val="18"/>
              </w:rPr>
              <w:t>.</w:t>
            </w:r>
            <w:r w:rsidRPr="00316249">
              <w:rPr>
                <w:color w:val="000000"/>
                <w:sz w:val="18"/>
                <w:szCs w:val="18"/>
              </w:rPr>
              <w:t xml:space="preserve"> (Finame)</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3.005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4.008 </w:t>
            </w:r>
          </w:p>
        </w:tc>
        <w:tc>
          <w:tcPr>
            <w:tcW w:w="233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747E73">
              <w:rPr>
                <w:color w:val="000000"/>
                <w:sz w:val="18"/>
                <w:szCs w:val="18"/>
              </w:rPr>
              <w:t>4,5% a.a. + TJLP</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Banco do Brasil S.A</w:t>
            </w:r>
            <w:r>
              <w:rPr>
                <w:color w:val="000000"/>
                <w:sz w:val="18"/>
                <w:szCs w:val="18"/>
              </w:rPr>
              <w:t>.</w:t>
            </w:r>
            <w:r w:rsidRPr="00316249">
              <w:rPr>
                <w:color w:val="000000"/>
                <w:sz w:val="18"/>
                <w:szCs w:val="18"/>
              </w:rPr>
              <w:t xml:space="preserve"> (FCO I a IV)</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39.971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54.849 </w:t>
            </w:r>
          </w:p>
        </w:tc>
        <w:tc>
          <w:tcPr>
            <w:tcW w:w="2339"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Juros de 10% a.a. de atualização pela TJLP e Bônus de Adimplência de 15%.</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Banco do Brasil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1.413 </w:t>
            </w:r>
          </w:p>
        </w:tc>
        <w:tc>
          <w:tcPr>
            <w:tcW w:w="2339"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CDI + juros de 1,7% a.a.</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Caixa Econômica Federal S.A.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88.207</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94.497 </w:t>
            </w:r>
          </w:p>
        </w:tc>
        <w:tc>
          <w:tcPr>
            <w:tcW w:w="233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140% do CDI CETIP (durante o período de utilização). </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Caixa Econômica Federal S.A./BNDES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22.763</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28.029 </w:t>
            </w:r>
          </w:p>
        </w:tc>
        <w:tc>
          <w:tcPr>
            <w:tcW w:w="233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4,5% </w:t>
            </w:r>
            <w:proofErr w:type="spellStart"/>
            <w:r w:rsidRPr="00316249">
              <w:rPr>
                <w:color w:val="000000"/>
                <w:sz w:val="18"/>
                <w:szCs w:val="18"/>
              </w:rPr>
              <w:t>a.a</w:t>
            </w:r>
            <w:proofErr w:type="spellEnd"/>
            <w:r w:rsidRPr="00316249">
              <w:rPr>
                <w:color w:val="000000"/>
                <w:sz w:val="18"/>
                <w:szCs w:val="18"/>
              </w:rPr>
              <w:t xml:space="preserve"> + TJLP</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Caixa Econômica Federal S.A./BNDES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13.204</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19.092 </w:t>
            </w:r>
          </w:p>
        </w:tc>
        <w:tc>
          <w:tcPr>
            <w:tcW w:w="233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4,5% </w:t>
            </w:r>
            <w:proofErr w:type="spellStart"/>
            <w:r w:rsidRPr="00316249">
              <w:rPr>
                <w:color w:val="000000"/>
                <w:sz w:val="18"/>
                <w:szCs w:val="18"/>
              </w:rPr>
              <w:t>a.a</w:t>
            </w:r>
            <w:proofErr w:type="spellEnd"/>
            <w:r w:rsidRPr="00316249">
              <w:rPr>
                <w:color w:val="000000"/>
                <w:sz w:val="18"/>
                <w:szCs w:val="18"/>
              </w:rPr>
              <w:t xml:space="preserve"> + UMBNDES</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Caixa Econômica Federal S.A./BNDES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35.959</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40.436 </w:t>
            </w:r>
          </w:p>
        </w:tc>
        <w:tc>
          <w:tcPr>
            <w:tcW w:w="233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6% </w:t>
            </w:r>
            <w:proofErr w:type="spellStart"/>
            <w:r w:rsidRPr="00316249">
              <w:rPr>
                <w:color w:val="000000"/>
                <w:sz w:val="18"/>
                <w:szCs w:val="18"/>
              </w:rPr>
              <w:t>a.a</w:t>
            </w:r>
            <w:proofErr w:type="spellEnd"/>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Banco </w:t>
            </w:r>
            <w:proofErr w:type="spellStart"/>
            <w:r w:rsidRPr="00316249">
              <w:rPr>
                <w:color w:val="000000"/>
                <w:sz w:val="18"/>
                <w:szCs w:val="18"/>
              </w:rPr>
              <w:t>Daycoval</w:t>
            </w:r>
            <w:proofErr w:type="spellEnd"/>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5.185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11.720 </w:t>
            </w:r>
          </w:p>
        </w:tc>
        <w:tc>
          <w:tcPr>
            <w:tcW w:w="233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0,5% </w:t>
            </w:r>
            <w:proofErr w:type="spellStart"/>
            <w:r w:rsidRPr="00316249">
              <w:rPr>
                <w:color w:val="000000"/>
                <w:sz w:val="18"/>
                <w:szCs w:val="18"/>
              </w:rPr>
              <w:t>a.m</w:t>
            </w:r>
            <w:proofErr w:type="spellEnd"/>
            <w:r w:rsidRPr="00316249">
              <w:rPr>
                <w:color w:val="000000"/>
                <w:sz w:val="18"/>
                <w:szCs w:val="18"/>
              </w:rPr>
              <w:t xml:space="preserve"> + CDI CETIP</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Banco BCV</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10.712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16.663 </w:t>
            </w:r>
          </w:p>
        </w:tc>
        <w:tc>
          <w:tcPr>
            <w:tcW w:w="233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6,5% </w:t>
            </w:r>
            <w:proofErr w:type="spellStart"/>
            <w:r w:rsidRPr="00316249">
              <w:rPr>
                <w:color w:val="000000"/>
                <w:sz w:val="18"/>
                <w:szCs w:val="18"/>
              </w:rPr>
              <w:t>a.a</w:t>
            </w:r>
            <w:proofErr w:type="spellEnd"/>
            <w:r w:rsidRPr="00316249">
              <w:rPr>
                <w:color w:val="000000"/>
                <w:sz w:val="18"/>
                <w:szCs w:val="18"/>
              </w:rPr>
              <w:t xml:space="preserve"> + CDI CETIP</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Custo de Transação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(874)</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(1.088)</w:t>
            </w:r>
          </w:p>
        </w:tc>
        <w:tc>
          <w:tcPr>
            <w:tcW w:w="2339"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218.986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278.944 </w:t>
            </w:r>
          </w:p>
        </w:tc>
        <w:tc>
          <w:tcPr>
            <w:tcW w:w="2339"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43.844</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55.325 </w:t>
            </w:r>
          </w:p>
        </w:tc>
        <w:tc>
          <w:tcPr>
            <w:tcW w:w="2339"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175.142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223.619 </w:t>
            </w:r>
          </w:p>
        </w:tc>
        <w:tc>
          <w:tcPr>
            <w:tcW w:w="2339"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r>
    </w:tbl>
    <w:p w:rsidR="00E9008A" w:rsidRPr="00316249" w:rsidRDefault="00E9008A" w:rsidP="00E9008A">
      <w:pPr>
        <w:spacing w:before="240" w:after="240"/>
        <w:jc w:val="both"/>
        <w:rPr>
          <w:sz w:val="22"/>
          <w:szCs w:val="22"/>
        </w:rPr>
      </w:pPr>
      <w:r w:rsidRPr="00316249">
        <w:rPr>
          <w:sz w:val="22"/>
          <w:szCs w:val="22"/>
        </w:rPr>
        <w:t xml:space="preserve">A CEB D firmou o contrato de financiamento com o agente financeiro Caixa Econômica Federal, por meio de repasse de recursos do Banco Nacional de Desenvolvimento Econômico e Social, objetivando suprir investimentos realizados em novas instalações e melhorias na rede de distribuição, em atendimento a projetos relacionados à Copa do Mundo de 2014. </w:t>
      </w:r>
    </w:p>
    <w:p w:rsidR="00E9008A" w:rsidRPr="00316249" w:rsidRDefault="00E9008A" w:rsidP="00E9008A">
      <w:pPr>
        <w:spacing w:before="240" w:after="240"/>
        <w:jc w:val="both"/>
        <w:rPr>
          <w:sz w:val="22"/>
          <w:szCs w:val="22"/>
        </w:rPr>
      </w:pPr>
      <w:r w:rsidRPr="00316249">
        <w:rPr>
          <w:sz w:val="22"/>
          <w:szCs w:val="22"/>
        </w:rPr>
        <w:t xml:space="preserve">O contrato conta com garantias de recebíveis da Distribuidora, tendo o Distrito Federal como Interveniente Garantidor e o Banco de Brasília S.A., como Interveniente Anuente. O valor foi dividido no </w:t>
      </w:r>
      <w:proofErr w:type="spellStart"/>
      <w:r w:rsidRPr="00316249">
        <w:rPr>
          <w:sz w:val="22"/>
          <w:szCs w:val="22"/>
        </w:rPr>
        <w:t>Subcrédito</w:t>
      </w:r>
      <w:proofErr w:type="spellEnd"/>
      <w:r w:rsidRPr="00316249">
        <w:rPr>
          <w:sz w:val="22"/>
          <w:szCs w:val="22"/>
        </w:rPr>
        <w:t xml:space="preserve"> A, de R$ 33.578, destinados à execução de obras civis, com taxa de juros indexada à TJLP; no </w:t>
      </w:r>
      <w:proofErr w:type="spellStart"/>
      <w:r w:rsidRPr="00316249">
        <w:rPr>
          <w:sz w:val="22"/>
          <w:szCs w:val="22"/>
        </w:rPr>
        <w:t>Subcrédito</w:t>
      </w:r>
      <w:proofErr w:type="spellEnd"/>
      <w:r w:rsidRPr="00316249">
        <w:rPr>
          <w:sz w:val="22"/>
          <w:szCs w:val="22"/>
        </w:rPr>
        <w:t xml:space="preserve"> B, com valor de R$ 14.391, destinados à execução de obras civis, com taxa de juros indexada à UMBNDES (variação cambial das diversas moedas contidas na Cesta de Moedas do BNDES); e, ainda, no </w:t>
      </w:r>
      <w:proofErr w:type="spellStart"/>
      <w:r w:rsidRPr="00316249">
        <w:rPr>
          <w:sz w:val="22"/>
          <w:szCs w:val="22"/>
        </w:rPr>
        <w:t>Subcrédito</w:t>
      </w:r>
      <w:proofErr w:type="spellEnd"/>
      <w:r w:rsidRPr="00316249">
        <w:rPr>
          <w:sz w:val="22"/>
          <w:szCs w:val="22"/>
        </w:rPr>
        <w:t xml:space="preserve"> C, no valor de R$ 45.456, destinados à aquisição de máquinas e equipamentos nacionais, com taxa de juros de 6% a.a. (seis por cento ao ano), totalizando R$ 93.425.</w:t>
      </w:r>
      <w:r>
        <w:rPr>
          <w:sz w:val="22"/>
          <w:szCs w:val="22"/>
        </w:rPr>
        <w:t xml:space="preserve"> </w:t>
      </w:r>
      <w:r w:rsidRPr="00316249">
        <w:rPr>
          <w:sz w:val="22"/>
          <w:szCs w:val="22"/>
        </w:rPr>
        <w:t>Esse financiamento tem carência de vinte quatro meses e pagamento mensal dos juros.</w:t>
      </w:r>
    </w:p>
    <w:p w:rsidR="00E9008A" w:rsidRPr="001E7EF1" w:rsidRDefault="00E9008A"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1E7EF1">
        <w:rPr>
          <w:rFonts w:ascii="Times New Roman" w:eastAsia="Arial Unicode MS" w:hAnsi="Times New Roman" w:cs="Times New Roman"/>
          <w:b/>
          <w:bCs/>
          <w:iCs/>
          <w:lang w:val="pt-BR"/>
        </w:rPr>
        <w:t>Garantias dos Empréstimos e Financiamentos</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Os empréstimos estão garantidos por cessão de direitos creditórios da controlada CEB Distribuição </w:t>
      </w:r>
      <w:proofErr w:type="gramStart"/>
      <w:r w:rsidRPr="00316249">
        <w:rPr>
          <w:rFonts w:ascii="Times New Roman" w:hAnsi="Times New Roman" w:cs="Times New Roman"/>
          <w:b w:val="0"/>
          <w:bCs w:val="0"/>
          <w:sz w:val="22"/>
          <w:szCs w:val="22"/>
        </w:rPr>
        <w:t>S.A..</w:t>
      </w:r>
      <w:proofErr w:type="gramEnd"/>
    </w:p>
    <w:p w:rsidR="00E9008A" w:rsidRPr="001E7EF1" w:rsidRDefault="001E7EF1"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proofErr w:type="spellStart"/>
      <w:r>
        <w:rPr>
          <w:rFonts w:ascii="Times New Roman" w:eastAsia="Arial Unicode MS" w:hAnsi="Times New Roman" w:cs="Times New Roman"/>
          <w:b/>
          <w:bCs/>
          <w:i/>
          <w:iCs/>
          <w:lang w:val="pt-BR"/>
        </w:rPr>
        <w:t>Co</w:t>
      </w:r>
      <w:r w:rsidR="00E9008A" w:rsidRPr="001E7EF1">
        <w:rPr>
          <w:rFonts w:ascii="Times New Roman" w:eastAsia="Arial Unicode MS" w:hAnsi="Times New Roman" w:cs="Times New Roman"/>
          <w:b/>
          <w:bCs/>
          <w:i/>
          <w:iCs/>
          <w:lang w:val="pt-BR"/>
        </w:rPr>
        <w:t>venants</w:t>
      </w:r>
      <w:proofErr w:type="spellEnd"/>
    </w:p>
    <w:p w:rsidR="00E9008A" w:rsidRPr="00316249" w:rsidRDefault="00E9008A" w:rsidP="00E9008A">
      <w:pPr>
        <w:pStyle w:val="corpodotextodf0"/>
        <w:spacing w:before="240" w:after="240"/>
      </w:pPr>
      <w:r w:rsidRPr="00316249">
        <w:t xml:space="preserve">Os contratos de empréstimos e financiamentos da CEB D, com exceção do financiamento da Eletrobrás, </w:t>
      </w:r>
      <w:r w:rsidRPr="00747E73">
        <w:t>possuem cláusulas restritivas (</w:t>
      </w:r>
      <w:proofErr w:type="spellStart"/>
      <w:r w:rsidRPr="00747E73">
        <w:rPr>
          <w:i/>
          <w:iCs/>
        </w:rPr>
        <w:t>covenants</w:t>
      </w:r>
      <w:proofErr w:type="spellEnd"/>
      <w:r w:rsidRPr="00747E73">
        <w:t>) não financeiras de vencimento antecipado. Em 31 de dezembro de 2016, todas</w:t>
      </w:r>
      <w:r w:rsidRPr="00316249">
        <w:t xml:space="preserve"> as cláusulas restritivas estabelecidas nos contratos de empréstimos e financiamento vigentes foram cumpridas pela Companhia.</w:t>
      </w:r>
    </w:p>
    <w:p w:rsidR="00E9008A" w:rsidRDefault="00E9008A" w:rsidP="00E9008A">
      <w:pPr>
        <w:rPr>
          <w:color w:val="000000"/>
          <w:sz w:val="22"/>
          <w:szCs w:val="22"/>
        </w:rPr>
      </w:pPr>
      <w:r>
        <w:rPr>
          <w:color w:val="000000"/>
          <w:sz w:val="22"/>
          <w:szCs w:val="22"/>
        </w:rPr>
        <w:br w:type="page"/>
      </w:r>
    </w:p>
    <w:p w:rsidR="00E9008A" w:rsidRPr="00316249" w:rsidRDefault="00E9008A" w:rsidP="00E9008A">
      <w:pPr>
        <w:spacing w:before="240" w:after="240"/>
        <w:jc w:val="both"/>
        <w:rPr>
          <w:color w:val="000000"/>
          <w:sz w:val="22"/>
          <w:szCs w:val="22"/>
        </w:rPr>
      </w:pPr>
      <w:r w:rsidRPr="00316249">
        <w:rPr>
          <w:color w:val="000000"/>
          <w:sz w:val="22"/>
          <w:szCs w:val="22"/>
        </w:rPr>
        <w:lastRenderedPageBreak/>
        <w:t>As composições dos empréstimos, por indexadores, estão resumidas a seguir:</w:t>
      </w:r>
    </w:p>
    <w:tbl>
      <w:tblPr>
        <w:tblW w:w="5000" w:type="pct"/>
        <w:tblCellMar>
          <w:left w:w="70" w:type="dxa"/>
          <w:right w:w="70" w:type="dxa"/>
        </w:tblCellMar>
        <w:tblLook w:val="04A0" w:firstRow="1" w:lastRow="0" w:firstColumn="1" w:lastColumn="0" w:noHBand="0" w:noVBand="1"/>
      </w:tblPr>
      <w:tblGrid>
        <w:gridCol w:w="3418"/>
        <w:gridCol w:w="1239"/>
        <w:gridCol w:w="1238"/>
        <w:gridCol w:w="1238"/>
        <w:gridCol w:w="1238"/>
        <w:gridCol w:w="840"/>
      </w:tblGrid>
      <w:tr w:rsidR="00E9008A" w:rsidRPr="00316249" w:rsidTr="005B7D01">
        <w:trPr>
          <w:trHeight w:val="238"/>
          <w:tblHeader/>
        </w:trPr>
        <w:tc>
          <w:tcPr>
            <w:tcW w:w="1855" w:type="pct"/>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Indexadores</w:t>
            </w:r>
          </w:p>
        </w:tc>
        <w:tc>
          <w:tcPr>
            <w:tcW w:w="672" w:type="pct"/>
            <w:tcBorders>
              <w:top w:val="single" w:sz="4" w:space="0" w:color="000000"/>
              <w:left w:val="nil"/>
              <w:bottom w:val="single" w:sz="4" w:space="0" w:color="auto"/>
              <w:right w:val="single" w:sz="4" w:space="0" w:color="000000"/>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2017</w:t>
            </w:r>
          </w:p>
        </w:tc>
        <w:tc>
          <w:tcPr>
            <w:tcW w:w="672" w:type="pct"/>
            <w:tcBorders>
              <w:top w:val="single" w:sz="4" w:space="0" w:color="000000"/>
              <w:left w:val="nil"/>
              <w:bottom w:val="single" w:sz="4" w:space="0" w:color="auto"/>
              <w:right w:val="single" w:sz="4" w:space="0" w:color="000000"/>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2018</w:t>
            </w:r>
          </w:p>
        </w:tc>
        <w:tc>
          <w:tcPr>
            <w:tcW w:w="672" w:type="pct"/>
            <w:tcBorders>
              <w:top w:val="single" w:sz="4" w:space="0" w:color="000000"/>
              <w:left w:val="nil"/>
              <w:bottom w:val="single" w:sz="4" w:space="0" w:color="auto"/>
              <w:right w:val="single" w:sz="4" w:space="0" w:color="000000"/>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2019</w:t>
            </w:r>
          </w:p>
        </w:tc>
        <w:tc>
          <w:tcPr>
            <w:tcW w:w="672" w:type="pct"/>
            <w:tcBorders>
              <w:top w:val="single" w:sz="4" w:space="0" w:color="000000"/>
              <w:left w:val="nil"/>
              <w:bottom w:val="single" w:sz="4" w:space="0" w:color="auto"/>
              <w:right w:val="single" w:sz="4" w:space="0" w:color="000000"/>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2020 em diante</w:t>
            </w:r>
          </w:p>
        </w:tc>
        <w:tc>
          <w:tcPr>
            <w:tcW w:w="456" w:type="pct"/>
            <w:tcBorders>
              <w:top w:val="single" w:sz="4" w:space="0" w:color="000000"/>
              <w:left w:val="nil"/>
              <w:bottom w:val="single" w:sz="4" w:space="0" w:color="auto"/>
              <w:right w:val="single" w:sz="4" w:space="0" w:color="000000"/>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Total</w:t>
            </w:r>
          </w:p>
        </w:tc>
      </w:tr>
      <w:tr w:rsidR="00E9008A" w:rsidRPr="00316249" w:rsidTr="005B7D01">
        <w:trPr>
          <w:trHeight w:val="238"/>
        </w:trPr>
        <w:tc>
          <w:tcPr>
            <w:tcW w:w="1855" w:type="pct"/>
            <w:tcBorders>
              <w:top w:val="nil"/>
              <w:left w:val="single" w:sz="4" w:space="0" w:color="000000"/>
              <w:bottom w:val="single" w:sz="4" w:space="0" w:color="000000"/>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UFIR/RGR</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320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174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147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198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839</w:t>
            </w:r>
          </w:p>
        </w:tc>
      </w:tr>
      <w:tr w:rsidR="00E9008A" w:rsidRPr="00316249" w:rsidTr="005B7D01">
        <w:trPr>
          <w:trHeight w:val="238"/>
        </w:trPr>
        <w:tc>
          <w:tcPr>
            <w:tcW w:w="1855" w:type="pct"/>
            <w:tcBorders>
              <w:top w:val="nil"/>
              <w:left w:val="single" w:sz="4" w:space="0" w:color="000000"/>
              <w:bottom w:val="single" w:sz="4" w:space="0" w:color="000000"/>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CDI</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22.305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34.428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33.199</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14.187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104.119</w:t>
            </w:r>
          </w:p>
        </w:tc>
      </w:tr>
      <w:tr w:rsidR="00E9008A" w:rsidRPr="00316249" w:rsidTr="005B7D01">
        <w:trPr>
          <w:trHeight w:val="238"/>
        </w:trPr>
        <w:tc>
          <w:tcPr>
            <w:tcW w:w="1855" w:type="pct"/>
            <w:tcBorders>
              <w:top w:val="nil"/>
              <w:left w:val="single" w:sz="4" w:space="0" w:color="000000"/>
              <w:bottom w:val="single" w:sz="4" w:space="0" w:color="000000"/>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TJLP</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11.592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18.574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22.100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10.468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62.734</w:t>
            </w:r>
          </w:p>
        </w:tc>
      </w:tr>
      <w:tr w:rsidR="00E9008A" w:rsidRPr="00316249" w:rsidTr="005B7D01">
        <w:trPr>
          <w:trHeight w:val="238"/>
        </w:trPr>
        <w:tc>
          <w:tcPr>
            <w:tcW w:w="1855" w:type="pct"/>
            <w:tcBorders>
              <w:top w:val="nil"/>
              <w:left w:val="single" w:sz="4" w:space="0" w:color="000000"/>
              <w:bottom w:val="single" w:sz="4" w:space="0" w:color="000000"/>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UMBNDES</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3.441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3.441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3.441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2.881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13.204</w:t>
            </w:r>
          </w:p>
        </w:tc>
      </w:tr>
      <w:tr w:rsidR="00E9008A" w:rsidRPr="00316249" w:rsidTr="005B7D01">
        <w:trPr>
          <w:trHeight w:val="238"/>
        </w:trPr>
        <w:tc>
          <w:tcPr>
            <w:tcW w:w="1855" w:type="pct"/>
            <w:tcBorders>
              <w:top w:val="nil"/>
              <w:left w:val="single" w:sz="4" w:space="0" w:color="000000"/>
              <w:bottom w:val="single" w:sz="4" w:space="0" w:color="000000"/>
              <w:right w:val="single" w:sz="4" w:space="0" w:color="auto"/>
            </w:tcBorders>
            <w:shd w:val="clear" w:color="auto" w:fill="auto"/>
            <w:noWrap/>
            <w:vAlign w:val="bottom"/>
          </w:tcPr>
          <w:p w:rsidR="00E9008A" w:rsidRPr="00316249" w:rsidRDefault="00E9008A" w:rsidP="005B7D01">
            <w:pPr>
              <w:rPr>
                <w:color w:val="000000"/>
                <w:sz w:val="18"/>
                <w:szCs w:val="18"/>
              </w:rPr>
            </w:pPr>
            <w:r w:rsidRPr="00316249">
              <w:rPr>
                <w:color w:val="000000"/>
                <w:sz w:val="18"/>
                <w:szCs w:val="18"/>
              </w:rPr>
              <w:t>4,5% a.a.</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1.002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1.002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1.001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3.005</w:t>
            </w:r>
          </w:p>
        </w:tc>
      </w:tr>
      <w:tr w:rsidR="00E9008A" w:rsidRPr="00316249" w:rsidTr="005B7D01">
        <w:trPr>
          <w:trHeight w:val="238"/>
        </w:trPr>
        <w:tc>
          <w:tcPr>
            <w:tcW w:w="1855" w:type="pct"/>
            <w:tcBorders>
              <w:top w:val="nil"/>
              <w:left w:val="single" w:sz="4" w:space="0" w:color="000000"/>
              <w:bottom w:val="single" w:sz="4" w:space="0" w:color="000000"/>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6% a.a.</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5.184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5.184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5.184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 xml:space="preserve">           20.407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color w:val="000000"/>
                <w:sz w:val="18"/>
                <w:szCs w:val="18"/>
              </w:rPr>
            </w:pPr>
            <w:r w:rsidRPr="00747E73">
              <w:rPr>
                <w:color w:val="000000"/>
                <w:sz w:val="18"/>
                <w:szCs w:val="18"/>
              </w:rPr>
              <w:t>35.959</w:t>
            </w:r>
          </w:p>
        </w:tc>
      </w:tr>
      <w:tr w:rsidR="00E9008A" w:rsidRPr="00316249" w:rsidTr="005B7D01">
        <w:trPr>
          <w:trHeight w:val="238"/>
        </w:trPr>
        <w:tc>
          <w:tcPr>
            <w:tcW w:w="1855" w:type="pct"/>
            <w:tcBorders>
              <w:top w:val="nil"/>
              <w:left w:val="single" w:sz="4" w:space="0" w:color="000000"/>
              <w:bottom w:val="single" w:sz="4" w:space="0" w:color="000000"/>
              <w:right w:val="single" w:sz="4" w:space="0" w:color="auto"/>
            </w:tcBorders>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Total por indexador</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b/>
                <w:bCs/>
                <w:color w:val="000000"/>
                <w:sz w:val="18"/>
                <w:szCs w:val="18"/>
              </w:rPr>
            </w:pPr>
            <w:r w:rsidRPr="00747E73">
              <w:rPr>
                <w:b/>
                <w:bCs/>
                <w:color w:val="000000"/>
                <w:sz w:val="18"/>
                <w:szCs w:val="18"/>
              </w:rPr>
              <w:t xml:space="preserve">         43.884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b/>
                <w:bCs/>
                <w:color w:val="000000"/>
                <w:sz w:val="18"/>
                <w:szCs w:val="18"/>
              </w:rPr>
            </w:pPr>
            <w:r w:rsidRPr="00747E73">
              <w:rPr>
                <w:b/>
                <w:bCs/>
                <w:color w:val="000000"/>
                <w:sz w:val="18"/>
                <w:szCs w:val="18"/>
              </w:rPr>
              <w:t xml:space="preserve">62.803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b/>
                <w:bCs/>
                <w:color w:val="000000"/>
                <w:sz w:val="18"/>
                <w:szCs w:val="18"/>
              </w:rPr>
            </w:pPr>
            <w:r w:rsidRPr="00747E73">
              <w:rPr>
                <w:b/>
                <w:bCs/>
                <w:color w:val="000000"/>
                <w:sz w:val="18"/>
                <w:szCs w:val="18"/>
              </w:rPr>
              <w:t xml:space="preserve"> 65.072 </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b/>
                <w:bCs/>
                <w:color w:val="000000"/>
                <w:sz w:val="18"/>
                <w:szCs w:val="18"/>
              </w:rPr>
            </w:pPr>
            <w:r w:rsidRPr="00747E73">
              <w:rPr>
                <w:b/>
                <w:bCs/>
                <w:color w:val="000000"/>
                <w:sz w:val="18"/>
                <w:szCs w:val="18"/>
              </w:rPr>
              <w:t xml:space="preserve">         48.141 </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747E73" w:rsidRDefault="00E9008A" w:rsidP="005B7D01">
            <w:pPr>
              <w:jc w:val="right"/>
              <w:rPr>
                <w:b/>
                <w:bCs/>
                <w:color w:val="000000"/>
                <w:sz w:val="18"/>
                <w:szCs w:val="18"/>
              </w:rPr>
            </w:pPr>
            <w:r w:rsidRPr="00747E73">
              <w:rPr>
                <w:b/>
                <w:bCs/>
                <w:color w:val="000000"/>
                <w:sz w:val="18"/>
                <w:szCs w:val="18"/>
              </w:rPr>
              <w:t>219.860</w:t>
            </w:r>
          </w:p>
        </w:tc>
      </w:tr>
      <w:tr w:rsidR="00E9008A" w:rsidRPr="00316249" w:rsidTr="005B7D01">
        <w:trPr>
          <w:trHeight w:val="238"/>
        </w:trPr>
        <w:tc>
          <w:tcPr>
            <w:tcW w:w="1855" w:type="pct"/>
            <w:tcBorders>
              <w:top w:val="nil"/>
              <w:left w:val="single" w:sz="4" w:space="0" w:color="000000"/>
              <w:bottom w:val="single" w:sz="4" w:space="0" w:color="000000"/>
              <w:right w:val="single" w:sz="4" w:space="0" w:color="000000"/>
            </w:tcBorders>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Custo de Transação</w:t>
            </w:r>
          </w:p>
        </w:tc>
        <w:tc>
          <w:tcPr>
            <w:tcW w:w="672" w:type="pct"/>
            <w:tcBorders>
              <w:top w:val="single" w:sz="4" w:space="0" w:color="auto"/>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672" w:type="pct"/>
            <w:tcBorders>
              <w:top w:val="single" w:sz="4" w:space="0" w:color="auto"/>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672" w:type="pct"/>
            <w:tcBorders>
              <w:top w:val="single" w:sz="4" w:space="0" w:color="auto"/>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672" w:type="pct"/>
            <w:tcBorders>
              <w:top w:val="single" w:sz="4" w:space="0" w:color="auto"/>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456" w:type="pct"/>
            <w:tcBorders>
              <w:top w:val="single" w:sz="4" w:space="0" w:color="auto"/>
              <w:left w:val="single" w:sz="4" w:space="0" w:color="000000"/>
              <w:bottom w:val="single" w:sz="4" w:space="0" w:color="000000"/>
              <w:right w:val="single" w:sz="4" w:space="0" w:color="000000"/>
            </w:tcBorders>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(874)</w:t>
            </w:r>
          </w:p>
        </w:tc>
      </w:tr>
      <w:tr w:rsidR="00E9008A" w:rsidRPr="00316249" w:rsidTr="005B7D01">
        <w:trPr>
          <w:trHeight w:val="238"/>
        </w:trPr>
        <w:tc>
          <w:tcPr>
            <w:tcW w:w="1855" w:type="pct"/>
            <w:tcBorders>
              <w:top w:val="nil"/>
              <w:left w:val="single" w:sz="4" w:space="0" w:color="000000"/>
              <w:bottom w:val="single" w:sz="4" w:space="0" w:color="000000"/>
              <w:right w:val="single" w:sz="4" w:space="0" w:color="000000"/>
            </w:tcBorders>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Total Líquido do Custo de Transação</w:t>
            </w:r>
          </w:p>
        </w:tc>
        <w:tc>
          <w:tcPr>
            <w:tcW w:w="672" w:type="pct"/>
            <w:tcBorders>
              <w:top w:val="nil"/>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672" w:type="pct"/>
            <w:tcBorders>
              <w:top w:val="nil"/>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672" w:type="pct"/>
            <w:tcBorders>
              <w:top w:val="nil"/>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672" w:type="pct"/>
            <w:tcBorders>
              <w:top w:val="nil"/>
              <w:left w:val="nil"/>
              <w:bottom w:val="single" w:sz="4" w:space="0" w:color="000000"/>
              <w:right w:val="nil"/>
            </w:tcBorders>
            <w:shd w:val="clear" w:color="000000" w:fill="D9D9D9"/>
            <w:noWrap/>
            <w:vAlign w:val="bottom"/>
          </w:tcPr>
          <w:p w:rsidR="00E9008A" w:rsidRPr="00316249" w:rsidRDefault="00E9008A" w:rsidP="005B7D01">
            <w:pPr>
              <w:jc w:val="right"/>
              <w:rPr>
                <w:b/>
                <w:bCs/>
                <w:color w:val="000000"/>
                <w:sz w:val="18"/>
                <w:szCs w:val="18"/>
              </w:rPr>
            </w:pPr>
          </w:p>
        </w:tc>
        <w:tc>
          <w:tcPr>
            <w:tcW w:w="456" w:type="pct"/>
            <w:tcBorders>
              <w:top w:val="nil"/>
              <w:left w:val="single" w:sz="4" w:space="0" w:color="000000"/>
              <w:bottom w:val="single" w:sz="4" w:space="0" w:color="000000"/>
              <w:right w:val="single" w:sz="4" w:space="0" w:color="000000"/>
            </w:tcBorders>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218.986</w:t>
            </w:r>
          </w:p>
        </w:tc>
      </w:tr>
    </w:tbl>
    <w:p w:rsidR="00E9008A" w:rsidRPr="001E7EF1" w:rsidRDefault="00E9008A"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1E7EF1">
        <w:rPr>
          <w:rFonts w:ascii="Times New Roman" w:eastAsia="Arial Unicode MS" w:hAnsi="Times New Roman" w:cs="Times New Roman"/>
          <w:b/>
          <w:bCs/>
          <w:iCs/>
          <w:lang w:val="pt-BR"/>
        </w:rPr>
        <w:t>Movimentação dos Empréstimos e Financiamentos</w:t>
      </w:r>
    </w:p>
    <w:tbl>
      <w:tblPr>
        <w:tblW w:w="5000" w:type="pct"/>
        <w:tblCellMar>
          <w:left w:w="70" w:type="dxa"/>
          <w:right w:w="70" w:type="dxa"/>
        </w:tblCellMar>
        <w:tblLook w:val="04A0" w:firstRow="1" w:lastRow="0" w:firstColumn="1" w:lastColumn="0" w:noHBand="0" w:noVBand="1"/>
      </w:tblPr>
      <w:tblGrid>
        <w:gridCol w:w="4190"/>
        <w:gridCol w:w="1695"/>
        <w:gridCol w:w="1475"/>
        <w:gridCol w:w="1851"/>
      </w:tblGrid>
      <w:tr w:rsidR="00E9008A" w:rsidRPr="00316249" w:rsidTr="005B7D01">
        <w:trPr>
          <w:trHeight w:val="238"/>
          <w:tblHeader/>
        </w:trPr>
        <w:tc>
          <w:tcPr>
            <w:tcW w:w="22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color w:val="000000"/>
                <w:sz w:val="22"/>
                <w:szCs w:val="22"/>
              </w:rPr>
            </w:pPr>
            <w:r w:rsidRPr="00316249">
              <w:rPr>
                <w:color w:val="000000"/>
                <w:sz w:val="22"/>
                <w:szCs w:val="22"/>
              </w:rPr>
              <w:t> </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Empréstimo e Financiamentos</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Custo de Transação</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Empréstimos e Financiamentos Líquido</w:t>
            </w:r>
          </w:p>
        </w:tc>
      </w:tr>
      <w:tr w:rsidR="00E9008A" w:rsidRPr="00316249" w:rsidTr="005B7D01">
        <w:trPr>
          <w:trHeight w:val="238"/>
        </w:trPr>
        <w:tc>
          <w:tcPr>
            <w:tcW w:w="229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2014 </w:t>
            </w:r>
          </w:p>
        </w:tc>
        <w:tc>
          <w:tcPr>
            <w:tcW w:w="9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322.031 </w:t>
            </w:r>
          </w:p>
        </w:tc>
        <w:tc>
          <w:tcPr>
            <w:tcW w:w="73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(920)</w:t>
            </w:r>
          </w:p>
        </w:tc>
        <w:tc>
          <w:tcPr>
            <w:tcW w:w="10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321.111 </w:t>
            </w:r>
          </w:p>
        </w:tc>
      </w:tr>
      <w:tr w:rsidR="00E9008A" w:rsidRPr="00316249" w:rsidTr="005B7D01">
        <w:trPr>
          <w:trHeight w:val="238"/>
        </w:trPr>
        <w:tc>
          <w:tcPr>
            <w:tcW w:w="229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Empréstimos e Financiamentos Obtidos</w:t>
            </w:r>
          </w:p>
        </w:tc>
        <w:tc>
          <w:tcPr>
            <w:tcW w:w="9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20.000 </w:t>
            </w:r>
          </w:p>
        </w:tc>
        <w:tc>
          <w:tcPr>
            <w:tcW w:w="7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10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20.000 </w:t>
            </w:r>
          </w:p>
        </w:tc>
      </w:tr>
      <w:tr w:rsidR="00E9008A" w:rsidRPr="00316249" w:rsidTr="005B7D01">
        <w:trPr>
          <w:trHeight w:val="238"/>
        </w:trPr>
        <w:tc>
          <w:tcPr>
            <w:tcW w:w="229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Encargos Incorridos no Período </w:t>
            </w:r>
          </w:p>
        </w:tc>
        <w:tc>
          <w:tcPr>
            <w:tcW w:w="9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45.655 </w:t>
            </w:r>
          </w:p>
        </w:tc>
        <w:tc>
          <w:tcPr>
            <w:tcW w:w="7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225 </w:t>
            </w:r>
          </w:p>
        </w:tc>
        <w:tc>
          <w:tcPr>
            <w:tcW w:w="10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45.880 </w:t>
            </w:r>
          </w:p>
        </w:tc>
      </w:tr>
      <w:tr w:rsidR="00E9008A" w:rsidRPr="00316249" w:rsidTr="005B7D01">
        <w:trPr>
          <w:trHeight w:val="238"/>
        </w:trPr>
        <w:tc>
          <w:tcPr>
            <w:tcW w:w="229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Custo de Transação</w:t>
            </w:r>
          </w:p>
        </w:tc>
        <w:tc>
          <w:tcPr>
            <w:tcW w:w="9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7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(393)</w:t>
            </w:r>
          </w:p>
        </w:tc>
        <w:tc>
          <w:tcPr>
            <w:tcW w:w="10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(393)</w:t>
            </w:r>
          </w:p>
        </w:tc>
      </w:tr>
      <w:tr w:rsidR="00E9008A" w:rsidRPr="00316249" w:rsidTr="005B7D01">
        <w:trPr>
          <w:trHeight w:val="238"/>
        </w:trPr>
        <w:tc>
          <w:tcPr>
            <w:tcW w:w="229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Encargos Financeiros Pagos</w:t>
            </w:r>
          </w:p>
        </w:tc>
        <w:tc>
          <w:tcPr>
            <w:tcW w:w="9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(35.014)</w:t>
            </w:r>
          </w:p>
        </w:tc>
        <w:tc>
          <w:tcPr>
            <w:tcW w:w="7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10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(35.014)</w:t>
            </w:r>
          </w:p>
        </w:tc>
      </w:tr>
      <w:tr w:rsidR="00E9008A" w:rsidRPr="00316249" w:rsidTr="005B7D01">
        <w:trPr>
          <w:trHeight w:val="238"/>
        </w:trPr>
        <w:tc>
          <w:tcPr>
            <w:tcW w:w="229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Amortizações de Principal</w:t>
            </w:r>
          </w:p>
        </w:tc>
        <w:tc>
          <w:tcPr>
            <w:tcW w:w="9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(72.640)</w:t>
            </w:r>
          </w:p>
        </w:tc>
        <w:tc>
          <w:tcPr>
            <w:tcW w:w="73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10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(72.640)</w:t>
            </w:r>
          </w:p>
        </w:tc>
      </w:tr>
      <w:tr w:rsidR="00E9008A" w:rsidRPr="00316249" w:rsidTr="005B7D01">
        <w:trPr>
          <w:trHeight w:val="238"/>
        </w:trPr>
        <w:tc>
          <w:tcPr>
            <w:tcW w:w="2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2015</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280.032 </w:t>
            </w:r>
          </w:p>
        </w:tc>
        <w:tc>
          <w:tcPr>
            <w:tcW w:w="73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(1.088)</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278.944 </w:t>
            </w:r>
          </w:p>
        </w:tc>
      </w:tr>
      <w:tr w:rsidR="00E9008A" w:rsidRPr="00316249" w:rsidTr="005B7D01">
        <w:trPr>
          <w:trHeight w:val="238"/>
        </w:trPr>
        <w:tc>
          <w:tcPr>
            <w:tcW w:w="2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Variação Monetária</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(2.548)</w:t>
            </w:r>
          </w:p>
        </w:tc>
        <w:tc>
          <w:tcPr>
            <w:tcW w:w="73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(2.548)</w:t>
            </w:r>
          </w:p>
        </w:tc>
      </w:tr>
      <w:tr w:rsidR="00E9008A" w:rsidRPr="00316249" w:rsidTr="005B7D01">
        <w:trPr>
          <w:trHeight w:val="238"/>
        </w:trPr>
        <w:tc>
          <w:tcPr>
            <w:tcW w:w="2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Encargos Incorridos no Período </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32.412</w:t>
            </w:r>
          </w:p>
        </w:tc>
        <w:tc>
          <w:tcPr>
            <w:tcW w:w="73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32.412</w:t>
            </w:r>
          </w:p>
        </w:tc>
      </w:tr>
      <w:tr w:rsidR="00E9008A" w:rsidRPr="00316249" w:rsidTr="005B7D01">
        <w:trPr>
          <w:trHeight w:val="238"/>
        </w:trPr>
        <w:tc>
          <w:tcPr>
            <w:tcW w:w="2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Custo de Transação</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3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214</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214</w:t>
            </w:r>
          </w:p>
        </w:tc>
      </w:tr>
      <w:tr w:rsidR="00E9008A" w:rsidRPr="00316249" w:rsidTr="005B7D01">
        <w:trPr>
          <w:trHeight w:val="238"/>
        </w:trPr>
        <w:tc>
          <w:tcPr>
            <w:tcW w:w="2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Encargos Financeiros Pagos</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(32.718)</w:t>
            </w:r>
          </w:p>
        </w:tc>
        <w:tc>
          <w:tcPr>
            <w:tcW w:w="73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(32.718)</w:t>
            </w:r>
          </w:p>
        </w:tc>
      </w:tr>
      <w:tr w:rsidR="00E9008A" w:rsidRPr="00316249" w:rsidTr="005B7D01">
        <w:trPr>
          <w:trHeight w:val="238"/>
        </w:trPr>
        <w:tc>
          <w:tcPr>
            <w:tcW w:w="2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Amortizações de Principal</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(57.318)</w:t>
            </w:r>
          </w:p>
        </w:tc>
        <w:tc>
          <w:tcPr>
            <w:tcW w:w="73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(57.318)</w:t>
            </w:r>
          </w:p>
        </w:tc>
      </w:tr>
      <w:tr w:rsidR="00E9008A" w:rsidRPr="00316249" w:rsidTr="005B7D01">
        <w:trPr>
          <w:trHeight w:val="238"/>
        </w:trPr>
        <w:tc>
          <w:tcPr>
            <w:tcW w:w="2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r w:rsidRPr="00316249">
              <w:rPr>
                <w:b/>
                <w:bCs/>
                <w:color w:val="000000"/>
                <w:sz w:val="18"/>
                <w:szCs w:val="18"/>
              </w:rPr>
              <w:t xml:space="preserve">  Saldo em 31 de dezembro de 2016</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219.860</w:t>
            </w:r>
          </w:p>
        </w:tc>
        <w:tc>
          <w:tcPr>
            <w:tcW w:w="733"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(874)</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218.986</w:t>
            </w:r>
          </w:p>
        </w:tc>
      </w:tr>
    </w:tbl>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OBRIGAÇÕES SOCIETÁRIAS</w:t>
      </w:r>
    </w:p>
    <w:p w:rsidR="00E9008A" w:rsidRDefault="00E9008A" w:rsidP="00E9008A">
      <w:pPr>
        <w:spacing w:before="240" w:after="240"/>
        <w:jc w:val="both"/>
        <w:rPr>
          <w:bCs/>
          <w:color w:val="000000"/>
          <w:sz w:val="22"/>
          <w:szCs w:val="22"/>
        </w:rPr>
      </w:pPr>
      <w:r w:rsidRPr="00316249">
        <w:rPr>
          <w:bCs/>
          <w:color w:val="000000"/>
          <w:sz w:val="22"/>
          <w:szCs w:val="22"/>
        </w:rPr>
        <w:t xml:space="preserve">As obrigações societárias representam valores a pagar aos acionistas controladores e não controladores a título de dividendos, juros sobre capital próprio e partes beneficiárias, sobre resultados apurados no exercício corrente e exercícios </w:t>
      </w:r>
      <w:r>
        <w:rPr>
          <w:bCs/>
          <w:color w:val="000000"/>
          <w:sz w:val="22"/>
          <w:szCs w:val="22"/>
        </w:rPr>
        <w:t>anteriores.</w:t>
      </w:r>
    </w:p>
    <w:tbl>
      <w:tblPr>
        <w:tblW w:w="5000" w:type="pct"/>
        <w:tblCellMar>
          <w:left w:w="70" w:type="dxa"/>
          <w:right w:w="70" w:type="dxa"/>
        </w:tblCellMar>
        <w:tblLook w:val="04A0" w:firstRow="1" w:lastRow="0" w:firstColumn="1" w:lastColumn="0" w:noHBand="0" w:noVBand="1"/>
      </w:tblPr>
      <w:tblGrid>
        <w:gridCol w:w="4612"/>
        <w:gridCol w:w="1149"/>
        <w:gridCol w:w="1150"/>
        <w:gridCol w:w="1150"/>
        <w:gridCol w:w="1150"/>
      </w:tblGrid>
      <w:tr w:rsidR="00E9008A" w:rsidRPr="00316249" w:rsidTr="005B7D01">
        <w:trPr>
          <w:trHeight w:val="240"/>
          <w:tblHeader/>
        </w:trPr>
        <w:tc>
          <w:tcPr>
            <w:tcW w:w="250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b/>
                <w:bCs/>
                <w:sz w:val="18"/>
                <w:szCs w:val="18"/>
              </w:rPr>
            </w:pPr>
            <w:r w:rsidRPr="00316249">
              <w:rPr>
                <w:b/>
                <w:bCs/>
                <w:sz w:val="18"/>
                <w:szCs w:val="18"/>
              </w:rPr>
              <w:t> </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40"/>
        </w:trPr>
        <w:tc>
          <w:tcPr>
            <w:tcW w:w="2504"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Governo do Distrito Federal</w:t>
            </w:r>
          </w:p>
        </w:tc>
        <w:tc>
          <w:tcPr>
            <w:tcW w:w="624" w:type="pct"/>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10.623</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18.623 </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10.623</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18.623 </w:t>
            </w:r>
          </w:p>
        </w:tc>
      </w:tr>
      <w:tr w:rsidR="00E9008A" w:rsidRPr="00316249" w:rsidTr="005B7D01">
        <w:trPr>
          <w:trHeight w:val="240"/>
        </w:trPr>
        <w:tc>
          <w:tcPr>
            <w:tcW w:w="2504"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Eletrobrás </w:t>
            </w:r>
          </w:p>
        </w:tc>
        <w:tc>
          <w:tcPr>
            <w:tcW w:w="624" w:type="pct"/>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5.620</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5.245 </w:t>
            </w:r>
          </w:p>
        </w:tc>
      </w:tr>
      <w:tr w:rsidR="00E9008A" w:rsidRPr="00316249" w:rsidTr="005B7D01">
        <w:trPr>
          <w:trHeight w:val="240"/>
        </w:trPr>
        <w:tc>
          <w:tcPr>
            <w:tcW w:w="2504"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Partes Beneficiárias (Eletrobrás)</w:t>
            </w:r>
          </w:p>
        </w:tc>
        <w:tc>
          <w:tcPr>
            <w:tcW w:w="624" w:type="pct"/>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3.920</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6.934 </w:t>
            </w:r>
          </w:p>
        </w:tc>
      </w:tr>
      <w:tr w:rsidR="00E9008A" w:rsidRPr="00316249" w:rsidTr="005B7D01">
        <w:trPr>
          <w:trHeight w:val="240"/>
        </w:trPr>
        <w:tc>
          <w:tcPr>
            <w:tcW w:w="2504"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Outros Acionistas</w:t>
            </w:r>
          </w:p>
        </w:tc>
        <w:tc>
          <w:tcPr>
            <w:tcW w:w="624" w:type="pct"/>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68</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69 </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68</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69 </w:t>
            </w:r>
          </w:p>
        </w:tc>
      </w:tr>
      <w:tr w:rsidR="00E9008A" w:rsidRPr="00316249" w:rsidTr="005B7D01">
        <w:trPr>
          <w:trHeight w:val="240"/>
        </w:trPr>
        <w:tc>
          <w:tcPr>
            <w:tcW w:w="2504"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sz w:val="18"/>
                <w:szCs w:val="18"/>
              </w:rPr>
            </w:pPr>
            <w:r w:rsidRPr="00316249">
              <w:rPr>
                <w:b/>
                <w:bCs/>
                <w:sz w:val="18"/>
                <w:szCs w:val="18"/>
              </w:rPr>
              <w:t>Total</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10.691</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18.692 </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20.231</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30.871 </w:t>
            </w:r>
          </w:p>
        </w:tc>
      </w:tr>
      <w:tr w:rsidR="00E9008A" w:rsidRPr="00316249" w:rsidTr="005B7D01">
        <w:trPr>
          <w:trHeight w:val="240"/>
        </w:trPr>
        <w:tc>
          <w:tcPr>
            <w:tcW w:w="2504"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sz w:val="18"/>
                <w:szCs w:val="18"/>
              </w:rPr>
            </w:pPr>
            <w:r w:rsidRPr="00316249">
              <w:rPr>
                <w:b/>
                <w:bCs/>
                <w:sz w:val="18"/>
                <w:szCs w:val="18"/>
              </w:rPr>
              <w:t>Circulante</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10.691</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18.692 </w:t>
            </w:r>
          </w:p>
        </w:tc>
        <w:tc>
          <w:tcPr>
            <w:tcW w:w="62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20.231</w:t>
            </w:r>
          </w:p>
        </w:tc>
        <w:tc>
          <w:tcPr>
            <w:tcW w:w="62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30.871 </w:t>
            </w:r>
          </w:p>
        </w:tc>
      </w:tr>
    </w:tbl>
    <w:p w:rsidR="00E9008A" w:rsidRDefault="00E9008A" w:rsidP="00E9008A">
      <w:pPr>
        <w:spacing w:before="240" w:after="240"/>
        <w:jc w:val="both"/>
        <w:rPr>
          <w:bCs/>
          <w:color w:val="000000"/>
          <w:sz w:val="22"/>
          <w:szCs w:val="22"/>
        </w:rPr>
      </w:pPr>
      <w:r w:rsidRPr="00316249">
        <w:rPr>
          <w:bCs/>
          <w:color w:val="000000"/>
          <w:sz w:val="22"/>
          <w:szCs w:val="22"/>
        </w:rPr>
        <w:t xml:space="preserve">Em 11 de abril de 2016, a Companhia solicitou, por meio da carta nº 049–PR, a postergação </w:t>
      </w:r>
      <w:r>
        <w:rPr>
          <w:bCs/>
          <w:color w:val="000000"/>
          <w:sz w:val="22"/>
          <w:szCs w:val="22"/>
        </w:rPr>
        <w:t xml:space="preserve">do pagamento </w:t>
      </w:r>
      <w:r w:rsidRPr="00316249">
        <w:rPr>
          <w:bCs/>
          <w:color w:val="000000"/>
          <w:sz w:val="22"/>
          <w:szCs w:val="22"/>
        </w:rPr>
        <w:t>dos dividendos do exercício de 2012 par</w:t>
      </w:r>
      <w:r>
        <w:rPr>
          <w:bCs/>
          <w:color w:val="000000"/>
          <w:sz w:val="22"/>
          <w:szCs w:val="22"/>
        </w:rPr>
        <w:t>a 31 de julho de 2017, devido</w:t>
      </w:r>
      <w:r w:rsidRPr="00316249">
        <w:rPr>
          <w:bCs/>
          <w:color w:val="000000"/>
          <w:sz w:val="22"/>
          <w:szCs w:val="22"/>
        </w:rPr>
        <w:t>s ao controlador, no valor de R$ 10.623. Em 18 de abril de 2016</w:t>
      </w:r>
      <w:r>
        <w:rPr>
          <w:bCs/>
          <w:color w:val="000000"/>
          <w:sz w:val="22"/>
          <w:szCs w:val="22"/>
        </w:rPr>
        <w:t>,</w:t>
      </w:r>
      <w:r w:rsidRPr="00316249">
        <w:rPr>
          <w:bCs/>
          <w:color w:val="000000"/>
          <w:sz w:val="22"/>
          <w:szCs w:val="22"/>
        </w:rPr>
        <w:t xml:space="preserve"> a Câmara de Governança Orçamentário, Financeira e </w:t>
      </w:r>
      <w:r w:rsidRPr="00316249">
        <w:rPr>
          <w:bCs/>
          <w:color w:val="000000"/>
          <w:sz w:val="22"/>
          <w:szCs w:val="22"/>
        </w:rPr>
        <w:lastRenderedPageBreak/>
        <w:t>Corporativa do Distrito Federal – Governança DF, aprovou, conforme sugestão da SEF, constante do Ofício nº 249 – GAB /SEF, de 12 de abril de 2016</w:t>
      </w:r>
      <w:r>
        <w:rPr>
          <w:bCs/>
          <w:color w:val="000000"/>
          <w:sz w:val="22"/>
          <w:szCs w:val="22"/>
        </w:rPr>
        <w:t>,</w:t>
      </w:r>
      <w:r w:rsidRPr="00316249">
        <w:rPr>
          <w:bCs/>
          <w:color w:val="000000"/>
          <w:sz w:val="22"/>
          <w:szCs w:val="22"/>
        </w:rPr>
        <w:t xml:space="preserve"> a postergação do pagamento dos referidos dividendos, face às justificativas quanto à situação financeira da Companhia à época.</w:t>
      </w:r>
    </w:p>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OBRIGAÇÕES SOCIAIS E TRABALHISTAS</w:t>
      </w:r>
    </w:p>
    <w:tbl>
      <w:tblPr>
        <w:tblW w:w="5000" w:type="pct"/>
        <w:tblCellMar>
          <w:left w:w="70" w:type="dxa"/>
          <w:right w:w="70" w:type="dxa"/>
        </w:tblCellMar>
        <w:tblLook w:val="04A0" w:firstRow="1" w:lastRow="0" w:firstColumn="1" w:lastColumn="0" w:noHBand="0" w:noVBand="1"/>
      </w:tblPr>
      <w:tblGrid>
        <w:gridCol w:w="4585"/>
        <w:gridCol w:w="1076"/>
        <w:gridCol w:w="1076"/>
        <w:gridCol w:w="1076"/>
        <w:gridCol w:w="1398"/>
      </w:tblGrid>
      <w:tr w:rsidR="00E9008A" w:rsidRPr="00316249" w:rsidTr="005B7D01">
        <w:trPr>
          <w:trHeight w:val="238"/>
        </w:trPr>
        <w:tc>
          <w:tcPr>
            <w:tcW w:w="2489" w:type="pct"/>
            <w:tcBorders>
              <w:top w:val="single" w:sz="4" w:space="0" w:color="auto"/>
              <w:left w:val="single" w:sz="4" w:space="0" w:color="auto"/>
              <w:bottom w:val="nil"/>
              <w:right w:val="single" w:sz="4" w:space="0" w:color="auto"/>
            </w:tcBorders>
            <w:shd w:val="clear" w:color="000000" w:fill="D9D9D9"/>
            <w:noWrap/>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34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Provisão de Férias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67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12.553</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11.547 </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Encargos Sobre Provisões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86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13.329</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9.329 </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Abono Assiduidade</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5.005</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5.559 </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Participação nos Lucros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10.086</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12.113 </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Outros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5.352</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182 </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97</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153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46.325</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747E73" w:rsidRDefault="00E9008A" w:rsidP="005B7D01">
            <w:pPr>
              <w:jc w:val="right"/>
              <w:rPr>
                <w:b/>
                <w:bCs/>
                <w:color w:val="000000"/>
                <w:sz w:val="18"/>
                <w:szCs w:val="18"/>
              </w:rPr>
            </w:pPr>
            <w:r w:rsidRPr="00747E73">
              <w:rPr>
                <w:b/>
                <w:bCs/>
                <w:color w:val="000000"/>
                <w:sz w:val="18"/>
                <w:szCs w:val="18"/>
              </w:rPr>
              <w:t xml:space="preserve">      38.730 </w:t>
            </w:r>
          </w:p>
        </w:tc>
      </w:tr>
      <w:tr w:rsidR="00E9008A" w:rsidRPr="00316249" w:rsidTr="005B7D01">
        <w:trPr>
          <w:trHeight w:val="238"/>
        </w:trPr>
        <w:tc>
          <w:tcPr>
            <w:tcW w:w="248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97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153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46.325</w:t>
            </w:r>
          </w:p>
        </w:tc>
        <w:tc>
          <w:tcPr>
            <w:tcW w:w="759" w:type="pct"/>
            <w:tcBorders>
              <w:top w:val="nil"/>
              <w:left w:val="nil"/>
              <w:bottom w:val="single" w:sz="4" w:space="0" w:color="auto"/>
              <w:right w:val="single" w:sz="4" w:space="0" w:color="auto"/>
            </w:tcBorders>
            <w:shd w:val="clear" w:color="auto" w:fill="auto"/>
            <w:noWrap/>
            <w:vAlign w:val="center"/>
            <w:hideMark/>
          </w:tcPr>
          <w:p w:rsidR="00E9008A" w:rsidRPr="00747E73" w:rsidRDefault="00E9008A" w:rsidP="005B7D01">
            <w:pPr>
              <w:jc w:val="right"/>
              <w:rPr>
                <w:b/>
                <w:bCs/>
                <w:color w:val="000000"/>
                <w:sz w:val="18"/>
                <w:szCs w:val="18"/>
              </w:rPr>
            </w:pPr>
            <w:r w:rsidRPr="00747E73">
              <w:rPr>
                <w:b/>
                <w:bCs/>
                <w:color w:val="000000"/>
                <w:sz w:val="18"/>
                <w:szCs w:val="18"/>
              </w:rPr>
              <w:t xml:space="preserve">38.730 </w:t>
            </w:r>
          </w:p>
        </w:tc>
      </w:tr>
    </w:tbl>
    <w:p w:rsidR="00E9008A" w:rsidRPr="005B7D01" w:rsidRDefault="00E9008A" w:rsidP="005B7D01">
      <w:pPr>
        <w:pStyle w:val="Ttulo3"/>
        <w:numPr>
          <w:ilvl w:val="0"/>
          <w:numId w:val="23"/>
        </w:numPr>
        <w:shd w:val="clear" w:color="auto" w:fill="auto"/>
        <w:spacing w:before="240" w:after="240"/>
        <w:ind w:left="780" w:hanging="780"/>
        <w:jc w:val="left"/>
        <w:rPr>
          <w:sz w:val="22"/>
          <w:szCs w:val="22"/>
        </w:rPr>
      </w:pPr>
      <w:r w:rsidRPr="005B7D01">
        <w:rPr>
          <w:sz w:val="22"/>
          <w:szCs w:val="22"/>
        </w:rPr>
        <w:t>BENEFÍCIOS PÓS-EMPREGO</w:t>
      </w:r>
    </w:p>
    <w:p w:rsidR="00E9008A" w:rsidRPr="001E7EF1" w:rsidRDefault="00E9008A"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1E7EF1">
        <w:rPr>
          <w:rFonts w:ascii="Times New Roman" w:eastAsia="Arial Unicode MS" w:hAnsi="Times New Roman" w:cs="Times New Roman"/>
          <w:b/>
          <w:bCs/>
          <w:iCs/>
          <w:lang w:val="pt-BR"/>
        </w:rPr>
        <w:t>Planos de Benefícios</w:t>
      </w:r>
    </w:p>
    <w:p w:rsidR="00E9008A" w:rsidRDefault="00E9008A" w:rsidP="00E9008A">
      <w:pPr>
        <w:spacing w:before="240" w:after="240"/>
        <w:jc w:val="both"/>
        <w:rPr>
          <w:sz w:val="22"/>
          <w:szCs w:val="22"/>
        </w:rPr>
      </w:pPr>
      <w:r w:rsidRPr="00316249">
        <w:rPr>
          <w:sz w:val="22"/>
          <w:szCs w:val="22"/>
        </w:rPr>
        <w:t>A Companhia e suas controladas são patrocinadoras da Fundação de Previdência dos Empregados da CEB – FACEB, que tem por objetivo suplementar os benefícios assegurados pela previdência social aos empregados da CEB D, da FACEB e de seus dependentes, conforme a seguir:</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30" w:type="dxa"/>
        </w:tblCellMar>
        <w:tblLook w:val="0000" w:firstRow="0" w:lastRow="0" w:firstColumn="0" w:lastColumn="0" w:noHBand="0" w:noVBand="0"/>
      </w:tblPr>
      <w:tblGrid>
        <w:gridCol w:w="3333"/>
        <w:gridCol w:w="1966"/>
        <w:gridCol w:w="2356"/>
        <w:gridCol w:w="2334"/>
      </w:tblGrid>
      <w:tr w:rsidR="00E9008A" w:rsidRPr="00316249" w:rsidTr="005B7D01">
        <w:trPr>
          <w:cantSplit/>
          <w:trHeight w:val="35"/>
        </w:trPr>
        <w:tc>
          <w:tcPr>
            <w:tcW w:w="3333" w:type="dxa"/>
            <w:shd w:val="clear" w:color="auto" w:fill="D9D9D9" w:themeFill="background1" w:themeFillShade="D9"/>
            <w:vAlign w:val="center"/>
          </w:tcPr>
          <w:p w:rsidR="00E9008A" w:rsidRPr="00316249" w:rsidRDefault="00E9008A" w:rsidP="005B7D01">
            <w:pPr>
              <w:spacing w:before="240" w:after="240"/>
              <w:jc w:val="center"/>
              <w:rPr>
                <w:sz w:val="18"/>
                <w:szCs w:val="18"/>
              </w:rPr>
            </w:pPr>
            <w:r w:rsidRPr="00316249">
              <w:rPr>
                <w:b/>
                <w:snapToGrid w:val="0"/>
                <w:sz w:val="18"/>
                <w:szCs w:val="18"/>
              </w:rPr>
              <w:t>Planos</w:t>
            </w:r>
          </w:p>
        </w:tc>
        <w:tc>
          <w:tcPr>
            <w:tcW w:w="1966" w:type="dxa"/>
            <w:shd w:val="clear" w:color="auto" w:fill="D9D9D9" w:themeFill="background1" w:themeFillShade="D9"/>
            <w:vAlign w:val="center"/>
          </w:tcPr>
          <w:p w:rsidR="00E9008A" w:rsidRPr="00316249" w:rsidRDefault="00E9008A" w:rsidP="005B7D01">
            <w:pPr>
              <w:jc w:val="center"/>
              <w:rPr>
                <w:b/>
                <w:snapToGrid w:val="0"/>
                <w:sz w:val="18"/>
                <w:szCs w:val="18"/>
              </w:rPr>
            </w:pPr>
            <w:r w:rsidRPr="00316249">
              <w:rPr>
                <w:b/>
                <w:snapToGrid w:val="0"/>
                <w:sz w:val="18"/>
                <w:szCs w:val="18"/>
              </w:rPr>
              <w:t>Benefícios</w:t>
            </w:r>
          </w:p>
        </w:tc>
        <w:tc>
          <w:tcPr>
            <w:tcW w:w="2356" w:type="dxa"/>
            <w:shd w:val="clear" w:color="auto" w:fill="D9D9D9" w:themeFill="background1" w:themeFillShade="D9"/>
            <w:vAlign w:val="center"/>
          </w:tcPr>
          <w:p w:rsidR="00E9008A" w:rsidRPr="00316249" w:rsidRDefault="00E9008A" w:rsidP="005B7D01">
            <w:pPr>
              <w:jc w:val="center"/>
              <w:rPr>
                <w:b/>
                <w:snapToGrid w:val="0"/>
                <w:sz w:val="18"/>
                <w:szCs w:val="18"/>
              </w:rPr>
            </w:pPr>
            <w:r w:rsidRPr="00316249">
              <w:rPr>
                <w:b/>
                <w:snapToGrid w:val="0"/>
                <w:sz w:val="18"/>
                <w:szCs w:val="18"/>
              </w:rPr>
              <w:t>Classificação</w:t>
            </w:r>
          </w:p>
        </w:tc>
        <w:tc>
          <w:tcPr>
            <w:tcW w:w="2334" w:type="dxa"/>
            <w:shd w:val="clear" w:color="auto" w:fill="D9D9D9" w:themeFill="background1" w:themeFillShade="D9"/>
            <w:vAlign w:val="center"/>
          </w:tcPr>
          <w:p w:rsidR="00E9008A" w:rsidRPr="00316249" w:rsidRDefault="00E9008A" w:rsidP="005B7D01">
            <w:pPr>
              <w:jc w:val="center"/>
              <w:rPr>
                <w:b/>
                <w:snapToGrid w:val="0"/>
                <w:sz w:val="18"/>
                <w:szCs w:val="18"/>
              </w:rPr>
            </w:pPr>
            <w:r w:rsidRPr="00316249">
              <w:rPr>
                <w:b/>
                <w:snapToGrid w:val="0"/>
                <w:sz w:val="18"/>
                <w:szCs w:val="18"/>
              </w:rPr>
              <w:t>Patrocinadora</w:t>
            </w:r>
          </w:p>
        </w:tc>
      </w:tr>
      <w:tr w:rsidR="00E9008A" w:rsidRPr="00316249" w:rsidTr="005B7D01">
        <w:trPr>
          <w:cantSplit/>
          <w:trHeight w:val="35"/>
        </w:trPr>
        <w:tc>
          <w:tcPr>
            <w:tcW w:w="3333" w:type="dxa"/>
            <w:vAlign w:val="center"/>
          </w:tcPr>
          <w:p w:rsidR="00E9008A" w:rsidRPr="00316249" w:rsidRDefault="00E9008A" w:rsidP="005B7D01">
            <w:pPr>
              <w:jc w:val="center"/>
              <w:rPr>
                <w:snapToGrid w:val="0"/>
                <w:sz w:val="18"/>
                <w:szCs w:val="18"/>
              </w:rPr>
            </w:pPr>
            <w:r w:rsidRPr="00316249">
              <w:rPr>
                <w:snapToGrid w:val="0"/>
                <w:sz w:val="18"/>
                <w:szCs w:val="18"/>
              </w:rPr>
              <w:t>Plano Complementar de Benefícios Previdenciários</w:t>
            </w:r>
          </w:p>
        </w:tc>
        <w:tc>
          <w:tcPr>
            <w:tcW w:w="1966" w:type="dxa"/>
            <w:vAlign w:val="center"/>
          </w:tcPr>
          <w:p w:rsidR="00E9008A" w:rsidRPr="00316249" w:rsidRDefault="00E9008A" w:rsidP="005B7D01">
            <w:pPr>
              <w:jc w:val="center"/>
              <w:rPr>
                <w:snapToGrid w:val="0"/>
                <w:sz w:val="18"/>
                <w:szCs w:val="18"/>
              </w:rPr>
            </w:pPr>
            <w:r w:rsidRPr="00316249">
              <w:rPr>
                <w:snapToGrid w:val="0"/>
                <w:sz w:val="18"/>
                <w:szCs w:val="18"/>
              </w:rPr>
              <w:t>Aposentadoria e pensão</w:t>
            </w:r>
          </w:p>
        </w:tc>
        <w:tc>
          <w:tcPr>
            <w:tcW w:w="2356" w:type="dxa"/>
            <w:vAlign w:val="center"/>
          </w:tcPr>
          <w:p w:rsidR="00E9008A" w:rsidRPr="00316249" w:rsidRDefault="00E9008A" w:rsidP="005B7D01">
            <w:pPr>
              <w:jc w:val="center"/>
              <w:rPr>
                <w:snapToGrid w:val="0"/>
                <w:sz w:val="18"/>
                <w:szCs w:val="18"/>
              </w:rPr>
            </w:pPr>
            <w:r w:rsidRPr="00316249">
              <w:rPr>
                <w:snapToGrid w:val="0"/>
                <w:sz w:val="18"/>
                <w:szCs w:val="18"/>
              </w:rPr>
              <w:t>Benefício definido</w:t>
            </w:r>
          </w:p>
        </w:tc>
        <w:tc>
          <w:tcPr>
            <w:tcW w:w="2334" w:type="dxa"/>
            <w:vAlign w:val="center"/>
          </w:tcPr>
          <w:p w:rsidR="00E9008A" w:rsidRPr="00316249" w:rsidRDefault="00E9008A" w:rsidP="005B7D01">
            <w:pPr>
              <w:jc w:val="center"/>
              <w:rPr>
                <w:snapToGrid w:val="0"/>
                <w:sz w:val="18"/>
                <w:szCs w:val="18"/>
              </w:rPr>
            </w:pPr>
            <w:r w:rsidRPr="00316249">
              <w:rPr>
                <w:snapToGrid w:val="0"/>
                <w:sz w:val="18"/>
                <w:szCs w:val="18"/>
              </w:rPr>
              <w:t>CEB D</w:t>
            </w:r>
          </w:p>
        </w:tc>
      </w:tr>
      <w:tr w:rsidR="00E9008A" w:rsidRPr="00316249" w:rsidTr="005B7D01">
        <w:trPr>
          <w:cantSplit/>
          <w:trHeight w:val="35"/>
        </w:trPr>
        <w:tc>
          <w:tcPr>
            <w:tcW w:w="3333" w:type="dxa"/>
            <w:vAlign w:val="center"/>
          </w:tcPr>
          <w:p w:rsidR="00E9008A" w:rsidRPr="00316249" w:rsidRDefault="00E9008A" w:rsidP="005B7D01">
            <w:pPr>
              <w:jc w:val="center"/>
              <w:rPr>
                <w:snapToGrid w:val="0"/>
                <w:sz w:val="18"/>
                <w:szCs w:val="18"/>
              </w:rPr>
            </w:pPr>
            <w:r w:rsidRPr="00316249">
              <w:rPr>
                <w:snapToGrid w:val="0"/>
                <w:sz w:val="18"/>
                <w:szCs w:val="18"/>
              </w:rPr>
              <w:t>Plano de Benefícios CEBPREV</w:t>
            </w:r>
          </w:p>
        </w:tc>
        <w:tc>
          <w:tcPr>
            <w:tcW w:w="1966" w:type="dxa"/>
            <w:vAlign w:val="center"/>
          </w:tcPr>
          <w:p w:rsidR="00E9008A" w:rsidRPr="00316249" w:rsidRDefault="00E9008A" w:rsidP="005B7D01">
            <w:pPr>
              <w:jc w:val="center"/>
              <w:rPr>
                <w:snapToGrid w:val="0"/>
                <w:sz w:val="18"/>
                <w:szCs w:val="18"/>
              </w:rPr>
            </w:pPr>
            <w:r w:rsidRPr="00316249">
              <w:rPr>
                <w:snapToGrid w:val="0"/>
                <w:sz w:val="18"/>
                <w:szCs w:val="18"/>
              </w:rPr>
              <w:t>Aposentadoria e pensão</w:t>
            </w:r>
          </w:p>
        </w:tc>
        <w:tc>
          <w:tcPr>
            <w:tcW w:w="2356" w:type="dxa"/>
            <w:vAlign w:val="center"/>
          </w:tcPr>
          <w:p w:rsidR="00E9008A" w:rsidRPr="00316249" w:rsidRDefault="00E9008A" w:rsidP="005B7D01">
            <w:pPr>
              <w:jc w:val="center"/>
              <w:rPr>
                <w:snapToGrid w:val="0"/>
                <w:sz w:val="18"/>
                <w:szCs w:val="18"/>
              </w:rPr>
            </w:pPr>
            <w:r w:rsidRPr="00316249">
              <w:rPr>
                <w:snapToGrid w:val="0"/>
                <w:sz w:val="18"/>
                <w:szCs w:val="18"/>
              </w:rPr>
              <w:t>Contribuição definida</w:t>
            </w:r>
          </w:p>
        </w:tc>
        <w:tc>
          <w:tcPr>
            <w:tcW w:w="2334" w:type="dxa"/>
            <w:vAlign w:val="center"/>
          </w:tcPr>
          <w:p w:rsidR="00E9008A" w:rsidRPr="00316249" w:rsidRDefault="00E9008A" w:rsidP="005B7D01">
            <w:pPr>
              <w:jc w:val="center"/>
              <w:rPr>
                <w:snapToGrid w:val="0"/>
                <w:sz w:val="18"/>
                <w:szCs w:val="18"/>
              </w:rPr>
            </w:pPr>
            <w:proofErr w:type="spellStart"/>
            <w:r w:rsidRPr="00316249">
              <w:rPr>
                <w:snapToGrid w:val="0"/>
                <w:sz w:val="18"/>
                <w:szCs w:val="18"/>
              </w:rPr>
              <w:t>Multipatrocinado</w:t>
            </w:r>
            <w:proofErr w:type="spellEnd"/>
          </w:p>
        </w:tc>
      </w:tr>
      <w:tr w:rsidR="00E9008A" w:rsidRPr="00316249" w:rsidTr="005B7D01">
        <w:trPr>
          <w:cantSplit/>
          <w:trHeight w:val="35"/>
        </w:trPr>
        <w:tc>
          <w:tcPr>
            <w:tcW w:w="3333" w:type="dxa"/>
            <w:vAlign w:val="center"/>
          </w:tcPr>
          <w:p w:rsidR="00E9008A" w:rsidRPr="00316249" w:rsidRDefault="00E9008A" w:rsidP="005B7D01">
            <w:pPr>
              <w:jc w:val="center"/>
              <w:rPr>
                <w:snapToGrid w:val="0"/>
                <w:sz w:val="18"/>
                <w:szCs w:val="18"/>
              </w:rPr>
            </w:pPr>
            <w:r w:rsidRPr="00316249">
              <w:rPr>
                <w:snapToGrid w:val="0"/>
                <w:sz w:val="18"/>
                <w:szCs w:val="18"/>
              </w:rPr>
              <w:t>Plano de Saúde da CEB – Assistencial</w:t>
            </w:r>
          </w:p>
        </w:tc>
        <w:tc>
          <w:tcPr>
            <w:tcW w:w="1966" w:type="dxa"/>
            <w:vAlign w:val="center"/>
          </w:tcPr>
          <w:p w:rsidR="00E9008A" w:rsidRPr="00316249" w:rsidRDefault="00E9008A" w:rsidP="005B7D01">
            <w:pPr>
              <w:jc w:val="center"/>
              <w:rPr>
                <w:snapToGrid w:val="0"/>
                <w:sz w:val="18"/>
                <w:szCs w:val="18"/>
              </w:rPr>
            </w:pPr>
            <w:r w:rsidRPr="00316249">
              <w:rPr>
                <w:snapToGrid w:val="0"/>
                <w:sz w:val="18"/>
                <w:szCs w:val="18"/>
              </w:rPr>
              <w:t>Assistência médica</w:t>
            </w:r>
          </w:p>
        </w:tc>
        <w:tc>
          <w:tcPr>
            <w:tcW w:w="2356" w:type="dxa"/>
            <w:vAlign w:val="center"/>
          </w:tcPr>
          <w:p w:rsidR="00E9008A" w:rsidRPr="00316249" w:rsidRDefault="00E9008A" w:rsidP="005B7D01">
            <w:pPr>
              <w:jc w:val="center"/>
              <w:rPr>
                <w:snapToGrid w:val="0"/>
                <w:sz w:val="18"/>
                <w:szCs w:val="18"/>
              </w:rPr>
            </w:pPr>
            <w:r w:rsidRPr="00316249">
              <w:rPr>
                <w:snapToGrid w:val="0"/>
                <w:sz w:val="18"/>
                <w:szCs w:val="18"/>
              </w:rPr>
              <w:t>Benefício definido</w:t>
            </w:r>
          </w:p>
        </w:tc>
        <w:tc>
          <w:tcPr>
            <w:tcW w:w="2334" w:type="dxa"/>
            <w:vAlign w:val="center"/>
          </w:tcPr>
          <w:p w:rsidR="00E9008A" w:rsidRPr="00316249" w:rsidRDefault="00E9008A" w:rsidP="005B7D01">
            <w:pPr>
              <w:jc w:val="center"/>
              <w:rPr>
                <w:snapToGrid w:val="0"/>
                <w:sz w:val="18"/>
                <w:szCs w:val="18"/>
              </w:rPr>
            </w:pPr>
            <w:r w:rsidRPr="00316249">
              <w:rPr>
                <w:snapToGrid w:val="0"/>
                <w:sz w:val="18"/>
                <w:szCs w:val="18"/>
              </w:rPr>
              <w:t>CEB D</w:t>
            </w:r>
          </w:p>
        </w:tc>
      </w:tr>
      <w:tr w:rsidR="00E9008A" w:rsidRPr="00316249" w:rsidTr="005B7D01">
        <w:trPr>
          <w:cantSplit/>
          <w:trHeight w:val="35"/>
        </w:trPr>
        <w:tc>
          <w:tcPr>
            <w:tcW w:w="3333" w:type="dxa"/>
            <w:vAlign w:val="center"/>
          </w:tcPr>
          <w:p w:rsidR="00E9008A" w:rsidRPr="00316249" w:rsidRDefault="00E9008A" w:rsidP="005B7D01">
            <w:pPr>
              <w:jc w:val="center"/>
              <w:rPr>
                <w:snapToGrid w:val="0"/>
                <w:sz w:val="18"/>
                <w:szCs w:val="18"/>
              </w:rPr>
            </w:pPr>
            <w:r w:rsidRPr="00316249">
              <w:rPr>
                <w:snapToGrid w:val="0"/>
                <w:sz w:val="18"/>
                <w:szCs w:val="18"/>
              </w:rPr>
              <w:t>Plano CEB</w:t>
            </w:r>
            <w:r>
              <w:rPr>
                <w:snapToGrid w:val="0"/>
                <w:sz w:val="18"/>
                <w:szCs w:val="18"/>
              </w:rPr>
              <w:t xml:space="preserve"> </w:t>
            </w:r>
            <w:r w:rsidRPr="00316249">
              <w:rPr>
                <w:snapToGrid w:val="0"/>
                <w:sz w:val="18"/>
                <w:szCs w:val="18"/>
              </w:rPr>
              <w:t>–</w:t>
            </w:r>
            <w:r>
              <w:rPr>
                <w:snapToGrid w:val="0"/>
                <w:sz w:val="18"/>
                <w:szCs w:val="18"/>
              </w:rPr>
              <w:t xml:space="preserve"> </w:t>
            </w:r>
            <w:r w:rsidRPr="00316249">
              <w:rPr>
                <w:snapToGrid w:val="0"/>
                <w:sz w:val="18"/>
                <w:szCs w:val="18"/>
              </w:rPr>
              <w:t>Saúde</w:t>
            </w:r>
          </w:p>
        </w:tc>
        <w:tc>
          <w:tcPr>
            <w:tcW w:w="1966" w:type="dxa"/>
            <w:vAlign w:val="center"/>
          </w:tcPr>
          <w:p w:rsidR="00E9008A" w:rsidRPr="00316249" w:rsidRDefault="00E9008A" w:rsidP="005B7D01">
            <w:pPr>
              <w:jc w:val="center"/>
              <w:rPr>
                <w:snapToGrid w:val="0"/>
                <w:sz w:val="18"/>
                <w:szCs w:val="18"/>
              </w:rPr>
            </w:pPr>
            <w:r w:rsidRPr="00316249">
              <w:rPr>
                <w:snapToGrid w:val="0"/>
                <w:sz w:val="18"/>
                <w:szCs w:val="18"/>
              </w:rPr>
              <w:t>Assistência médica</w:t>
            </w:r>
          </w:p>
        </w:tc>
        <w:tc>
          <w:tcPr>
            <w:tcW w:w="2356" w:type="dxa"/>
            <w:vAlign w:val="center"/>
          </w:tcPr>
          <w:p w:rsidR="00E9008A" w:rsidRPr="00316249" w:rsidRDefault="00E9008A" w:rsidP="005B7D01">
            <w:pPr>
              <w:jc w:val="center"/>
              <w:rPr>
                <w:snapToGrid w:val="0"/>
                <w:sz w:val="18"/>
                <w:szCs w:val="18"/>
              </w:rPr>
            </w:pPr>
            <w:r w:rsidRPr="00316249">
              <w:rPr>
                <w:snapToGrid w:val="0"/>
                <w:sz w:val="18"/>
                <w:szCs w:val="18"/>
              </w:rPr>
              <w:t>Contribuição definida</w:t>
            </w:r>
          </w:p>
        </w:tc>
        <w:tc>
          <w:tcPr>
            <w:tcW w:w="2334" w:type="dxa"/>
            <w:vAlign w:val="center"/>
          </w:tcPr>
          <w:p w:rsidR="00E9008A" w:rsidRPr="00316249" w:rsidRDefault="00E9008A" w:rsidP="005B7D01">
            <w:pPr>
              <w:jc w:val="center"/>
              <w:rPr>
                <w:snapToGrid w:val="0"/>
                <w:sz w:val="18"/>
                <w:szCs w:val="18"/>
              </w:rPr>
            </w:pPr>
            <w:proofErr w:type="spellStart"/>
            <w:r w:rsidRPr="00316249">
              <w:rPr>
                <w:snapToGrid w:val="0"/>
                <w:sz w:val="18"/>
                <w:szCs w:val="18"/>
              </w:rPr>
              <w:t>Multipatrocinado</w:t>
            </w:r>
            <w:proofErr w:type="spellEnd"/>
          </w:p>
        </w:tc>
      </w:tr>
    </w:tbl>
    <w:p w:rsidR="00E9008A" w:rsidRPr="00316249" w:rsidRDefault="00E9008A" w:rsidP="00E9008A">
      <w:pPr>
        <w:pStyle w:val="Corpodotextodf2"/>
        <w:keepLines w:val="0"/>
        <w:spacing w:before="240" w:after="240"/>
        <w:ind w:left="0"/>
        <w:rPr>
          <w:lang w:eastAsia="pt-BR"/>
        </w:rPr>
      </w:pPr>
      <w:r w:rsidRPr="00316249">
        <w:rPr>
          <w:lang w:eastAsia="pt-BR"/>
        </w:rPr>
        <w:t xml:space="preserve">O passivo do benefício pós-emprego dos planos previdenciários foi avaliado apenas para o plano denominado Plano Complementar de Benefícios Previdenciários, constituído sob a modalidade de benefício definido. O plano denominado CEBPREV é constituído na modalidade de contribuição definida e não gera obrigações atuariais que devam ser mensuradas como passivos com benefícios pós-emprego. </w:t>
      </w:r>
    </w:p>
    <w:p w:rsidR="00E9008A" w:rsidRPr="00316249" w:rsidRDefault="00E9008A" w:rsidP="00E9008A">
      <w:pPr>
        <w:spacing w:before="240" w:after="240"/>
        <w:jc w:val="both"/>
        <w:rPr>
          <w:sz w:val="22"/>
          <w:szCs w:val="22"/>
        </w:rPr>
      </w:pPr>
      <w:r w:rsidRPr="00316249">
        <w:rPr>
          <w:sz w:val="22"/>
          <w:szCs w:val="22"/>
        </w:rPr>
        <w:t>A CEB D mantém junto à FACEB dois planos previdenciários, sendo um constituído na modalidade de benefício definido (BD) e outro na modalidade de contribuição definida (CD). Além disso, a Empresa mantém para os seus empregados e familiares, planos de saúde que são administrados pela FACEB. No plano CEB-Saúde, a participação da controlada está limitada ao aporte da despesa gerada pelos participantes ativos e seus dependentes, não lhe cabendo responsabilidades em relação aos aposentados e pensionistas. Dessa forma, não existe passivo com benefícios pós-emprego.</w:t>
      </w:r>
    </w:p>
    <w:p w:rsidR="00E9008A" w:rsidRPr="00316249" w:rsidRDefault="00E9008A" w:rsidP="00E9008A">
      <w:pPr>
        <w:pStyle w:val="Corpodotextodf2"/>
        <w:keepLines w:val="0"/>
        <w:spacing w:before="240" w:after="240"/>
        <w:ind w:left="0"/>
      </w:pPr>
      <w:r w:rsidRPr="00316249">
        <w:t xml:space="preserve">O Plano de Saúde da CEB – Assistencial é administrado pela FACEB na forma de autogestão, estando registrado na Agência Nacional de Saúde Suplementar – ANS. Participam do plano, parte dos </w:t>
      </w:r>
      <w:r w:rsidRPr="00316249">
        <w:lastRenderedPageBreak/>
        <w:t>empregados ativos, aposentados, pensionistas e aqueles vinculados ao programa de demissão voluntária da CEB D.</w:t>
      </w:r>
    </w:p>
    <w:p w:rsidR="00E9008A" w:rsidRPr="00316249" w:rsidRDefault="00E9008A" w:rsidP="00E9008A">
      <w:pPr>
        <w:pStyle w:val="Corpodotextodf2"/>
        <w:keepLines w:val="0"/>
        <w:spacing w:before="240" w:after="240"/>
        <w:ind w:left="0"/>
      </w:pPr>
      <w:r w:rsidRPr="00316249">
        <w:t>O custeio do plano é feito mediante pagamento de coparticipação pelos usuários, no momento em que o utilizam, cujos percentuais são definidos no respectivo regulamento, ficando a patrocinadora com a responsabilidade por complementar os pagamentos dos usuários de forma a custear as despesas do plano.</w:t>
      </w:r>
    </w:p>
    <w:p w:rsidR="00E9008A" w:rsidRPr="00316249" w:rsidRDefault="00E9008A" w:rsidP="00E9008A">
      <w:pPr>
        <w:pStyle w:val="Recuodecorpodetexto3"/>
        <w:spacing w:before="240" w:after="240" w:line="240" w:lineRule="auto"/>
        <w:ind w:firstLine="0"/>
        <w:rPr>
          <w:rFonts w:ascii="Times New Roman" w:hAnsi="Times New Roman" w:cs="Times New Roman"/>
          <w:sz w:val="22"/>
          <w:szCs w:val="22"/>
        </w:rPr>
      </w:pPr>
      <w:r w:rsidRPr="00316249">
        <w:rPr>
          <w:rFonts w:ascii="Times New Roman" w:hAnsi="Times New Roman" w:cs="Times New Roman"/>
          <w:sz w:val="22"/>
          <w:szCs w:val="22"/>
        </w:rPr>
        <w:t xml:space="preserve">Os resultados da reavaliação atuarial das obrigações com benefícios a empregados da Companhia e suas controladas estão demonstrados nos quadros seguintes, divididas em função de cada plano previdenciário e de saúde, e foram calculados com base nas informações prestadas pela Companhia, suas controladas e pela FACEB. Os cálculos atuariais foram realizados em conformidade com o Pronunciamento CPC 33(R1). </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As informações que fundamentaram o trabalho atuarial são constituídas de bases cadastrais referentes ao plano previdenciário e plano de saúde; de informações sobre a utilização do plano de saúde nos últimos vinte e um meses; informações contábeis posicionadas em 31 de dezembro de 2016; e dados sobre a composição do valor justo dos ativos do plano de benefício posicionado na mesma data.</w:t>
      </w:r>
    </w:p>
    <w:p w:rsidR="00E9008A" w:rsidRPr="00316249" w:rsidRDefault="00E9008A" w:rsidP="00E9008A">
      <w:pPr>
        <w:pStyle w:val="Corpodotextodf2"/>
        <w:keepLines w:val="0"/>
        <w:spacing w:before="240" w:after="240"/>
        <w:ind w:left="0"/>
      </w:pPr>
      <w:r w:rsidRPr="00316249">
        <w:t>Os montantes no passivo quanto aos planos previdenciários e de assistência são os seguintes:</w:t>
      </w:r>
    </w:p>
    <w:tbl>
      <w:tblPr>
        <w:tblW w:w="5000" w:type="pct"/>
        <w:tblCellMar>
          <w:left w:w="70" w:type="dxa"/>
          <w:right w:w="70" w:type="dxa"/>
        </w:tblCellMar>
        <w:tblLook w:val="04A0" w:firstRow="1" w:lastRow="0" w:firstColumn="1" w:lastColumn="0" w:noHBand="0" w:noVBand="1"/>
      </w:tblPr>
      <w:tblGrid>
        <w:gridCol w:w="6611"/>
        <w:gridCol w:w="1404"/>
        <w:gridCol w:w="1196"/>
      </w:tblGrid>
      <w:tr w:rsidR="00E9008A" w:rsidRPr="00316249" w:rsidTr="005B7D01">
        <w:trPr>
          <w:trHeight w:val="238"/>
          <w:tblHeader/>
        </w:trPr>
        <w:tc>
          <w:tcPr>
            <w:tcW w:w="35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rsidR="00E9008A" w:rsidRPr="00316249" w:rsidRDefault="00E9008A" w:rsidP="005B7D01">
            <w:pPr>
              <w:spacing w:before="240" w:after="240"/>
              <w:jc w:val="center"/>
              <w:rPr>
                <w:color w:val="000000"/>
                <w:sz w:val="18"/>
                <w:szCs w:val="18"/>
              </w:rPr>
            </w:pPr>
            <w:r w:rsidRPr="00316249">
              <w:rPr>
                <w:color w:val="000000"/>
                <w:sz w:val="18"/>
                <w:szCs w:val="18"/>
              </w:rPr>
              <w:t> </w:t>
            </w:r>
          </w:p>
        </w:tc>
        <w:tc>
          <w:tcPr>
            <w:tcW w:w="1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3589" w:type="pct"/>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5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Plano de Previdência </w:t>
            </w:r>
          </w:p>
        </w:tc>
        <w:tc>
          <w:tcPr>
            <w:tcW w:w="76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rPr>
            </w:pPr>
            <w:r w:rsidRPr="00316249">
              <w:rPr>
                <w:color w:val="000000"/>
              </w:rPr>
              <w:t>79.578</w:t>
            </w:r>
          </w:p>
        </w:tc>
        <w:tc>
          <w:tcPr>
            <w:tcW w:w="6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rPr>
            </w:pPr>
            <w:r w:rsidRPr="00316249">
              <w:rPr>
                <w:color w:val="000000"/>
              </w:rPr>
              <w:t xml:space="preserve">         44.613 </w:t>
            </w:r>
          </w:p>
        </w:tc>
      </w:tr>
      <w:tr w:rsidR="00E9008A" w:rsidRPr="00316249" w:rsidTr="005B7D01">
        <w:trPr>
          <w:trHeight w:val="238"/>
        </w:trPr>
        <w:tc>
          <w:tcPr>
            <w:tcW w:w="35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Plano de Assistência </w:t>
            </w:r>
          </w:p>
        </w:tc>
        <w:tc>
          <w:tcPr>
            <w:tcW w:w="76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rPr>
            </w:pPr>
            <w:r w:rsidRPr="00316249">
              <w:rPr>
                <w:color w:val="000000"/>
              </w:rPr>
              <w:t>9.775</w:t>
            </w:r>
          </w:p>
        </w:tc>
        <w:tc>
          <w:tcPr>
            <w:tcW w:w="6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rPr>
            </w:pPr>
            <w:r w:rsidRPr="00316249">
              <w:rPr>
                <w:color w:val="000000"/>
              </w:rPr>
              <w:t xml:space="preserve">         46.478 </w:t>
            </w:r>
          </w:p>
        </w:tc>
      </w:tr>
      <w:tr w:rsidR="00E9008A" w:rsidRPr="00316249" w:rsidTr="005B7D01">
        <w:trPr>
          <w:trHeight w:val="238"/>
        </w:trPr>
        <w:tc>
          <w:tcPr>
            <w:tcW w:w="35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Total </w:t>
            </w:r>
          </w:p>
        </w:tc>
        <w:tc>
          <w:tcPr>
            <w:tcW w:w="76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rPr>
            </w:pPr>
            <w:r w:rsidRPr="00316249">
              <w:rPr>
                <w:b/>
                <w:bCs/>
                <w:color w:val="000000"/>
              </w:rPr>
              <w:t>89.353</w:t>
            </w:r>
          </w:p>
        </w:tc>
        <w:tc>
          <w:tcPr>
            <w:tcW w:w="6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rPr>
            </w:pPr>
            <w:r w:rsidRPr="00316249">
              <w:rPr>
                <w:b/>
                <w:bCs/>
                <w:color w:val="000000"/>
              </w:rPr>
              <w:t xml:space="preserve">       91.091 </w:t>
            </w:r>
          </w:p>
        </w:tc>
      </w:tr>
      <w:tr w:rsidR="00E9008A" w:rsidRPr="00316249" w:rsidTr="005B7D01">
        <w:trPr>
          <w:trHeight w:val="238"/>
        </w:trPr>
        <w:tc>
          <w:tcPr>
            <w:tcW w:w="35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Circulante </w:t>
            </w:r>
          </w:p>
        </w:tc>
        <w:tc>
          <w:tcPr>
            <w:tcW w:w="76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color w:val="000000"/>
              </w:rPr>
            </w:pPr>
            <w:r w:rsidRPr="00316249">
              <w:rPr>
                <w:b/>
                <w:color w:val="000000"/>
              </w:rPr>
              <w:t>30.252</w:t>
            </w:r>
          </w:p>
        </w:tc>
        <w:tc>
          <w:tcPr>
            <w:tcW w:w="6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color w:val="000000"/>
              </w:rPr>
            </w:pPr>
            <w:r w:rsidRPr="00316249">
              <w:rPr>
                <w:b/>
                <w:color w:val="000000"/>
              </w:rPr>
              <w:t xml:space="preserve">         69.465 </w:t>
            </w:r>
          </w:p>
        </w:tc>
      </w:tr>
      <w:tr w:rsidR="00E9008A" w:rsidRPr="00316249" w:rsidTr="005B7D01">
        <w:trPr>
          <w:trHeight w:val="238"/>
        </w:trPr>
        <w:tc>
          <w:tcPr>
            <w:tcW w:w="358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Não Circulante </w:t>
            </w:r>
          </w:p>
        </w:tc>
        <w:tc>
          <w:tcPr>
            <w:tcW w:w="76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color w:val="000000"/>
              </w:rPr>
            </w:pPr>
            <w:r w:rsidRPr="00316249">
              <w:rPr>
                <w:b/>
                <w:color w:val="000000"/>
              </w:rPr>
              <w:t>59.101</w:t>
            </w:r>
          </w:p>
        </w:tc>
        <w:tc>
          <w:tcPr>
            <w:tcW w:w="64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color w:val="000000"/>
              </w:rPr>
            </w:pPr>
            <w:r w:rsidRPr="00316249">
              <w:rPr>
                <w:b/>
                <w:color w:val="000000"/>
              </w:rPr>
              <w:t xml:space="preserve">         21.626 </w:t>
            </w:r>
          </w:p>
        </w:tc>
      </w:tr>
    </w:tbl>
    <w:p w:rsidR="00E9008A" w:rsidRPr="001E7EF1" w:rsidRDefault="00E9008A"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1E7EF1">
        <w:rPr>
          <w:rFonts w:ascii="Times New Roman" w:eastAsia="Arial Unicode MS" w:hAnsi="Times New Roman" w:cs="Times New Roman"/>
          <w:b/>
          <w:bCs/>
          <w:iCs/>
          <w:lang w:val="pt-BR"/>
        </w:rPr>
        <w:t>Planos Previdenciário e Assistencial</w:t>
      </w:r>
    </w:p>
    <w:p w:rsidR="00E9008A" w:rsidRDefault="00E9008A" w:rsidP="00E9008A">
      <w:pPr>
        <w:spacing w:before="240" w:after="240"/>
        <w:jc w:val="both"/>
        <w:rPr>
          <w:snapToGrid w:val="0"/>
          <w:sz w:val="22"/>
          <w:szCs w:val="22"/>
        </w:rPr>
      </w:pPr>
      <w:r w:rsidRPr="00316249">
        <w:rPr>
          <w:snapToGrid w:val="0"/>
          <w:sz w:val="22"/>
          <w:szCs w:val="22"/>
        </w:rPr>
        <w:t>As movimentações a valor presente da obrigação com benefício definido são:</w:t>
      </w:r>
    </w:p>
    <w:tbl>
      <w:tblPr>
        <w:tblW w:w="5000" w:type="pct"/>
        <w:tblCellMar>
          <w:left w:w="70" w:type="dxa"/>
          <w:right w:w="70" w:type="dxa"/>
        </w:tblCellMar>
        <w:tblLook w:val="04A0" w:firstRow="1" w:lastRow="0" w:firstColumn="1" w:lastColumn="0" w:noHBand="0" w:noVBand="1"/>
      </w:tblPr>
      <w:tblGrid>
        <w:gridCol w:w="4869"/>
        <w:gridCol w:w="1096"/>
        <w:gridCol w:w="1096"/>
        <w:gridCol w:w="1076"/>
        <w:gridCol w:w="1074"/>
      </w:tblGrid>
      <w:tr w:rsidR="00E9008A" w:rsidRPr="00316249" w:rsidTr="005B7D01">
        <w:trPr>
          <w:trHeight w:val="238"/>
          <w:tblHeader/>
        </w:trPr>
        <w:tc>
          <w:tcPr>
            <w:tcW w:w="26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1190"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Previdenciário</w:t>
            </w:r>
          </w:p>
        </w:tc>
        <w:tc>
          <w:tcPr>
            <w:tcW w:w="1167"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Assistencial</w:t>
            </w:r>
          </w:p>
        </w:tc>
      </w:tr>
      <w:tr w:rsidR="00E9008A" w:rsidRPr="00316249" w:rsidTr="005B7D01">
        <w:trPr>
          <w:trHeight w:val="238"/>
          <w:tblHeader/>
        </w:trPr>
        <w:tc>
          <w:tcPr>
            <w:tcW w:w="264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Valor Presente das Obrigações Atuariais</w:t>
            </w:r>
          </w:p>
        </w:tc>
        <w:tc>
          <w:tcPr>
            <w:tcW w:w="59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9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64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Valor Presente da Obrigação Atuarial no Início do Exercício</w:t>
            </w:r>
          </w:p>
        </w:tc>
        <w:tc>
          <w:tcPr>
            <w:tcW w:w="59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bCs/>
                <w:color w:val="000000"/>
                <w:sz w:val="18"/>
                <w:szCs w:val="18"/>
              </w:rPr>
              <w:t>(1.106.216)</w:t>
            </w:r>
          </w:p>
        </w:tc>
        <w:tc>
          <w:tcPr>
            <w:tcW w:w="59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(1.137.535)</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b/>
                <w:bCs/>
                <w:color w:val="000000"/>
                <w:sz w:val="18"/>
                <w:szCs w:val="18"/>
              </w:rPr>
              <w:t xml:space="preserve">     </w:t>
            </w:r>
            <w:r w:rsidRPr="00316249">
              <w:rPr>
                <w:bCs/>
                <w:color w:val="000000"/>
                <w:sz w:val="18"/>
                <w:szCs w:val="18"/>
              </w:rPr>
              <w:t>(28.564)</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(305.787)</w:t>
            </w:r>
          </w:p>
        </w:tc>
      </w:tr>
      <w:tr w:rsidR="00E9008A" w:rsidRPr="00316249" w:rsidTr="005B7D01">
        <w:trPr>
          <w:trHeight w:val="238"/>
        </w:trPr>
        <w:tc>
          <w:tcPr>
            <w:tcW w:w="264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Custo do Serviço Corrente</w:t>
            </w:r>
          </w:p>
        </w:tc>
        <w:tc>
          <w:tcPr>
            <w:tcW w:w="59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(11.756)</w:t>
            </w:r>
          </w:p>
        </w:tc>
        <w:tc>
          <w:tcPr>
            <w:tcW w:w="59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(9.486)</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(174)</w:t>
            </w:r>
          </w:p>
        </w:tc>
      </w:tr>
      <w:tr w:rsidR="00E9008A" w:rsidRPr="00316249" w:rsidTr="005B7D01">
        <w:trPr>
          <w:trHeight w:val="238"/>
        </w:trPr>
        <w:tc>
          <w:tcPr>
            <w:tcW w:w="264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Custo de Juros</w:t>
            </w:r>
          </w:p>
        </w:tc>
        <w:tc>
          <w:tcPr>
            <w:tcW w:w="59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(146.905)</w:t>
            </w:r>
          </w:p>
        </w:tc>
        <w:tc>
          <w:tcPr>
            <w:tcW w:w="59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(136.163)</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(3.793)</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(36.603)</w:t>
            </w:r>
          </w:p>
        </w:tc>
      </w:tr>
      <w:tr w:rsidR="00E9008A" w:rsidRPr="00316249" w:rsidTr="005B7D01">
        <w:trPr>
          <w:trHeight w:val="238"/>
        </w:trPr>
        <w:tc>
          <w:tcPr>
            <w:tcW w:w="264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Ganhos/(Perda) Atuariais</w:t>
            </w:r>
          </w:p>
        </w:tc>
        <w:tc>
          <w:tcPr>
            <w:tcW w:w="59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(206.552)</w:t>
            </w:r>
          </w:p>
        </w:tc>
        <w:tc>
          <w:tcPr>
            <w:tcW w:w="59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100.553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(16.614)</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281.468 </w:t>
            </w:r>
          </w:p>
        </w:tc>
      </w:tr>
      <w:tr w:rsidR="00E9008A" w:rsidRPr="00316249" w:rsidTr="005B7D01">
        <w:trPr>
          <w:trHeight w:val="238"/>
        </w:trPr>
        <w:tc>
          <w:tcPr>
            <w:tcW w:w="2643"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Benefícios Pagos Pelo Plano</w:t>
            </w:r>
          </w:p>
        </w:tc>
        <w:tc>
          <w:tcPr>
            <w:tcW w:w="59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83.295</w:t>
            </w:r>
          </w:p>
        </w:tc>
        <w:tc>
          <w:tcPr>
            <w:tcW w:w="59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76.415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39.212</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32.532 </w:t>
            </w:r>
          </w:p>
        </w:tc>
      </w:tr>
      <w:tr w:rsidR="00E9008A" w:rsidRPr="00316249" w:rsidTr="005B7D01">
        <w:trPr>
          <w:trHeight w:val="238"/>
        </w:trPr>
        <w:tc>
          <w:tcPr>
            <w:tcW w:w="264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Valor Presente da Obrigação Atuarial no Final do Período</w:t>
            </w:r>
          </w:p>
        </w:tc>
        <w:tc>
          <w:tcPr>
            <w:tcW w:w="595"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(1.388.134)</w:t>
            </w:r>
          </w:p>
        </w:tc>
        <w:tc>
          <w:tcPr>
            <w:tcW w:w="595"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(1.106.216)</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(9.775)</w:t>
            </w:r>
          </w:p>
        </w:tc>
        <w:tc>
          <w:tcPr>
            <w:tcW w:w="58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(28.564)</w:t>
            </w:r>
          </w:p>
        </w:tc>
      </w:tr>
    </w:tbl>
    <w:p w:rsidR="00E9008A" w:rsidRPr="00316249" w:rsidRDefault="00E9008A" w:rsidP="00E9008A">
      <w:pPr>
        <w:spacing w:before="240" w:after="240"/>
        <w:jc w:val="both"/>
        <w:rPr>
          <w:sz w:val="22"/>
          <w:szCs w:val="22"/>
        </w:rPr>
      </w:pPr>
      <w:r w:rsidRPr="00316249">
        <w:rPr>
          <w:sz w:val="22"/>
          <w:szCs w:val="22"/>
        </w:rPr>
        <w:t>Análise da obrigação atuarial dos planos:</w:t>
      </w:r>
    </w:p>
    <w:tbl>
      <w:tblPr>
        <w:tblW w:w="5000" w:type="pct"/>
        <w:tblCellMar>
          <w:left w:w="70" w:type="dxa"/>
          <w:right w:w="70" w:type="dxa"/>
        </w:tblCellMar>
        <w:tblLook w:val="04A0" w:firstRow="1" w:lastRow="0" w:firstColumn="1" w:lastColumn="0" w:noHBand="0" w:noVBand="1"/>
      </w:tblPr>
      <w:tblGrid>
        <w:gridCol w:w="4841"/>
        <w:gridCol w:w="1109"/>
        <w:gridCol w:w="1109"/>
        <w:gridCol w:w="1076"/>
        <w:gridCol w:w="1076"/>
      </w:tblGrid>
      <w:tr w:rsidR="00E9008A" w:rsidRPr="00316249" w:rsidTr="005B7D01">
        <w:trPr>
          <w:trHeight w:val="238"/>
          <w:tblHeader/>
        </w:trPr>
        <w:tc>
          <w:tcPr>
            <w:tcW w:w="262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jc w:val="center"/>
              <w:rPr>
                <w:b/>
                <w:bCs/>
                <w:color w:val="000000"/>
                <w:sz w:val="18"/>
                <w:szCs w:val="18"/>
              </w:rPr>
            </w:pPr>
            <w:r w:rsidRPr="00316249">
              <w:rPr>
                <w:b/>
                <w:bCs/>
                <w:color w:val="000000"/>
                <w:sz w:val="18"/>
                <w:szCs w:val="18"/>
              </w:rPr>
              <w:t> </w:t>
            </w:r>
          </w:p>
        </w:tc>
        <w:tc>
          <w:tcPr>
            <w:tcW w:w="1204"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Previdenciário</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Assistencial</w:t>
            </w:r>
          </w:p>
        </w:tc>
      </w:tr>
      <w:tr w:rsidR="00E9008A" w:rsidRPr="00316249" w:rsidTr="005B7D01">
        <w:trPr>
          <w:trHeight w:val="238"/>
          <w:tblHeader/>
        </w:trPr>
        <w:tc>
          <w:tcPr>
            <w:tcW w:w="262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31/12/2016</w:t>
            </w:r>
          </w:p>
        </w:tc>
        <w:tc>
          <w:tcPr>
            <w:tcW w:w="60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31/12/2015</w:t>
            </w:r>
          </w:p>
        </w:tc>
      </w:tr>
      <w:tr w:rsidR="00E9008A" w:rsidRPr="00316249" w:rsidTr="005B7D01">
        <w:trPr>
          <w:trHeight w:val="238"/>
        </w:trPr>
        <w:tc>
          <w:tcPr>
            <w:tcW w:w="262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Valor Presente da Obrigação Atuarial</w:t>
            </w:r>
          </w:p>
        </w:tc>
        <w:tc>
          <w:tcPr>
            <w:tcW w:w="60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1.388.134</w:t>
            </w:r>
          </w:p>
        </w:tc>
        <w:tc>
          <w:tcPr>
            <w:tcW w:w="60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1.106.216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28.564</w:t>
            </w:r>
          </w:p>
        </w:tc>
      </w:tr>
      <w:tr w:rsidR="00E9008A" w:rsidRPr="00316249" w:rsidTr="005B7D01">
        <w:trPr>
          <w:trHeight w:val="238"/>
        </w:trPr>
        <w:tc>
          <w:tcPr>
            <w:tcW w:w="262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Valor Justo dos Ativos do Plano </w:t>
            </w:r>
          </w:p>
        </w:tc>
        <w:tc>
          <w:tcPr>
            <w:tcW w:w="60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(1.308.556)</w:t>
            </w:r>
          </w:p>
        </w:tc>
        <w:tc>
          <w:tcPr>
            <w:tcW w:w="60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(1.098.956)</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p>
        </w:tc>
      </w:tr>
      <w:tr w:rsidR="00E9008A" w:rsidRPr="00316249" w:rsidTr="005B7D01">
        <w:trPr>
          <w:trHeight w:val="238"/>
        </w:trPr>
        <w:tc>
          <w:tcPr>
            <w:tcW w:w="262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Valor Presente da Obrigação Coberta</w:t>
            </w:r>
          </w:p>
        </w:tc>
        <w:tc>
          <w:tcPr>
            <w:tcW w:w="60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(1.308.556)</w:t>
            </w:r>
          </w:p>
        </w:tc>
        <w:tc>
          <w:tcPr>
            <w:tcW w:w="60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1.098.956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p>
        </w:tc>
      </w:tr>
      <w:tr w:rsidR="00E9008A" w:rsidRPr="00316249" w:rsidTr="005B7D01">
        <w:trPr>
          <w:trHeight w:val="238"/>
        </w:trPr>
        <w:tc>
          <w:tcPr>
            <w:tcW w:w="262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lastRenderedPageBreak/>
              <w:t>Valor Presente da Obrigação Sem Cobertura</w:t>
            </w:r>
          </w:p>
        </w:tc>
        <w:tc>
          <w:tcPr>
            <w:tcW w:w="60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79.578</w:t>
            </w:r>
          </w:p>
        </w:tc>
        <w:tc>
          <w:tcPr>
            <w:tcW w:w="60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7.260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28.564</w:t>
            </w:r>
          </w:p>
        </w:tc>
      </w:tr>
      <w:tr w:rsidR="00E9008A" w:rsidRPr="00316249" w:rsidTr="005B7D01">
        <w:trPr>
          <w:trHeight w:val="238"/>
        </w:trPr>
        <w:tc>
          <w:tcPr>
            <w:tcW w:w="262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i/>
                <w:color w:val="000000"/>
                <w:sz w:val="18"/>
                <w:szCs w:val="18"/>
              </w:rPr>
              <w:t>Status</w:t>
            </w:r>
            <w:r w:rsidRPr="00316249">
              <w:rPr>
                <w:color w:val="000000"/>
                <w:sz w:val="18"/>
                <w:szCs w:val="18"/>
              </w:rPr>
              <w:t xml:space="preserve"> dos Planos</w:t>
            </w:r>
          </w:p>
        </w:tc>
        <w:tc>
          <w:tcPr>
            <w:tcW w:w="602"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8"/>
                <w:szCs w:val="18"/>
              </w:rPr>
            </w:pPr>
            <w:r w:rsidRPr="00316249">
              <w:rPr>
                <w:color w:val="000000"/>
                <w:sz w:val="18"/>
                <w:szCs w:val="18"/>
              </w:rPr>
              <w:t>Parcialmente Fundado</w:t>
            </w:r>
          </w:p>
        </w:tc>
        <w:tc>
          <w:tcPr>
            <w:tcW w:w="602"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8"/>
                <w:szCs w:val="18"/>
              </w:rPr>
            </w:pPr>
            <w:r w:rsidRPr="00316249">
              <w:rPr>
                <w:color w:val="000000"/>
                <w:sz w:val="18"/>
                <w:szCs w:val="18"/>
              </w:rPr>
              <w:t>Parcialmente Fundado</w:t>
            </w:r>
          </w:p>
        </w:tc>
        <w:tc>
          <w:tcPr>
            <w:tcW w:w="584"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8"/>
                <w:szCs w:val="18"/>
              </w:rPr>
            </w:pPr>
            <w:r w:rsidRPr="00316249">
              <w:rPr>
                <w:color w:val="000000"/>
                <w:sz w:val="18"/>
                <w:szCs w:val="18"/>
              </w:rPr>
              <w:t>Sem Cobertura</w:t>
            </w:r>
          </w:p>
        </w:tc>
        <w:tc>
          <w:tcPr>
            <w:tcW w:w="584"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color w:val="000000"/>
                <w:sz w:val="18"/>
                <w:szCs w:val="18"/>
              </w:rPr>
            </w:pPr>
            <w:r w:rsidRPr="00316249">
              <w:rPr>
                <w:color w:val="000000"/>
                <w:sz w:val="18"/>
                <w:szCs w:val="18"/>
              </w:rPr>
              <w:t>Sem Cobertura</w:t>
            </w:r>
          </w:p>
        </w:tc>
      </w:tr>
    </w:tbl>
    <w:p w:rsidR="00E9008A" w:rsidRPr="00316249" w:rsidRDefault="00E9008A" w:rsidP="00E9008A">
      <w:pPr>
        <w:spacing w:before="240" w:after="240"/>
        <w:jc w:val="both"/>
        <w:rPr>
          <w:snapToGrid w:val="0"/>
          <w:sz w:val="22"/>
        </w:rPr>
      </w:pPr>
      <w:r w:rsidRPr="00316249">
        <w:rPr>
          <w:snapToGrid w:val="0"/>
          <w:sz w:val="22"/>
        </w:rPr>
        <w:t>As movimentações no valor justo dos ativos dos planos são as seguintes:</w:t>
      </w:r>
    </w:p>
    <w:tbl>
      <w:tblPr>
        <w:tblW w:w="5000" w:type="pct"/>
        <w:tblCellMar>
          <w:left w:w="70" w:type="dxa"/>
          <w:right w:w="70" w:type="dxa"/>
        </w:tblCellMar>
        <w:tblLook w:val="04A0" w:firstRow="1" w:lastRow="0" w:firstColumn="1" w:lastColumn="0" w:noHBand="0" w:noVBand="1"/>
      </w:tblPr>
      <w:tblGrid>
        <w:gridCol w:w="4909"/>
        <w:gridCol w:w="1076"/>
        <w:gridCol w:w="1076"/>
        <w:gridCol w:w="1076"/>
        <w:gridCol w:w="1074"/>
      </w:tblGrid>
      <w:tr w:rsidR="00E9008A" w:rsidRPr="00316249" w:rsidTr="005B7D01">
        <w:trPr>
          <w:trHeight w:val="238"/>
          <w:tblHeader/>
        </w:trPr>
        <w:tc>
          <w:tcPr>
            <w:tcW w:w="266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Previdenciário</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Assistencial</w:t>
            </w:r>
          </w:p>
        </w:tc>
      </w:tr>
      <w:tr w:rsidR="00E9008A" w:rsidRPr="00316249" w:rsidTr="005B7D01">
        <w:trPr>
          <w:trHeight w:val="238"/>
          <w:tblHeader/>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Valor Justo dos Ativos dos Planos</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31/12/2015</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Valor Justo dos Ativos do Plano no Início do Exercício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b/>
                <w:bCs/>
                <w:color w:val="000000"/>
                <w:sz w:val="18"/>
                <w:szCs w:val="18"/>
              </w:rPr>
              <w:t xml:space="preserve">   </w:t>
            </w:r>
            <w:r w:rsidRPr="00316249">
              <w:rPr>
                <w:bCs/>
                <w:color w:val="000000"/>
                <w:sz w:val="18"/>
                <w:szCs w:val="18"/>
              </w:rPr>
              <w:t>1.098.956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1.108.746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Rendimento Esperado dos Ativos do Plano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145.941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132.717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Contribuições Recebidas Pelo Fundo – Patrocinador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23.113</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38.199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39.212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32.532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Contribuições Recebidas Pelo Fundo – Participantes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6.626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6.291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Benefícios Pagos Pelo Fundo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(83.295)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(76.415)</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(39.212)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(32.532)</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Ganhos/(Perda) Atuariais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117.216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(110.582)</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Valor Justo dos Ativos dos Planos no Final do Período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1.308.558</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1.098.956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bl>
    <w:p w:rsidR="007F7D85" w:rsidRDefault="007F7D85" w:rsidP="00E9008A">
      <w:pPr>
        <w:spacing w:before="240" w:after="240"/>
        <w:jc w:val="both"/>
        <w:rPr>
          <w:snapToGrid w:val="0"/>
          <w:sz w:val="22"/>
        </w:rPr>
      </w:pPr>
    </w:p>
    <w:p w:rsidR="007F7D85" w:rsidRDefault="007F7D85">
      <w:pPr>
        <w:rPr>
          <w:snapToGrid w:val="0"/>
          <w:sz w:val="22"/>
        </w:rPr>
      </w:pPr>
      <w:r>
        <w:rPr>
          <w:snapToGrid w:val="0"/>
          <w:sz w:val="22"/>
        </w:rPr>
        <w:br w:type="page"/>
      </w:r>
    </w:p>
    <w:p w:rsidR="00E9008A" w:rsidRPr="00316249" w:rsidRDefault="00E9008A" w:rsidP="00E9008A">
      <w:pPr>
        <w:spacing w:before="240" w:after="240"/>
        <w:jc w:val="both"/>
        <w:rPr>
          <w:sz w:val="22"/>
          <w:szCs w:val="22"/>
        </w:rPr>
      </w:pPr>
      <w:r w:rsidRPr="00316249">
        <w:rPr>
          <w:snapToGrid w:val="0"/>
          <w:sz w:val="22"/>
        </w:rPr>
        <w:lastRenderedPageBreak/>
        <w:t>Conciliação</w:t>
      </w:r>
      <w:r w:rsidRPr="00316249">
        <w:rPr>
          <w:sz w:val="22"/>
          <w:szCs w:val="22"/>
        </w:rPr>
        <w:t xml:space="preserve"> dos valores reconhecidos no balanço:</w:t>
      </w:r>
    </w:p>
    <w:tbl>
      <w:tblPr>
        <w:tblW w:w="5000" w:type="pct"/>
        <w:tblCellMar>
          <w:left w:w="70" w:type="dxa"/>
          <w:right w:w="70" w:type="dxa"/>
        </w:tblCellMar>
        <w:tblLook w:val="04A0" w:firstRow="1" w:lastRow="0" w:firstColumn="1" w:lastColumn="0" w:noHBand="0" w:noVBand="1"/>
      </w:tblPr>
      <w:tblGrid>
        <w:gridCol w:w="6667"/>
        <w:gridCol w:w="1273"/>
        <w:gridCol w:w="1271"/>
      </w:tblGrid>
      <w:tr w:rsidR="00E9008A" w:rsidRPr="00316249" w:rsidTr="005B7D01">
        <w:trPr>
          <w:trHeight w:val="238"/>
          <w:tblHeader/>
        </w:trPr>
        <w:tc>
          <w:tcPr>
            <w:tcW w:w="361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1381"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Previdenciário</w:t>
            </w:r>
          </w:p>
        </w:tc>
      </w:tr>
      <w:tr w:rsidR="00E9008A" w:rsidRPr="00316249" w:rsidTr="005B7D01">
        <w:trPr>
          <w:trHeight w:val="238"/>
          <w:tblHeader/>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Valores Reconhecidos no Balanço Patrimonial</w:t>
            </w:r>
          </w:p>
        </w:tc>
        <w:tc>
          <w:tcPr>
            <w:tcW w:w="69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Valor Presente da Obrigação Atuarial </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79.578</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7.260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Ganhos/(Perdas) Atuariais não Reconhecidos (item 92)</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Passivo/(Ativo) Líquido Reconhecido no Final do Período (Saldo da Dívida com a FACEB)</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35.889</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44.608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color w:val="000000"/>
                <w:sz w:val="18"/>
                <w:szCs w:val="18"/>
              </w:rPr>
            </w:pPr>
            <w:r w:rsidRPr="00316249">
              <w:rPr>
                <w:color w:val="000000"/>
                <w:sz w:val="18"/>
                <w:szCs w:val="18"/>
              </w:rPr>
              <w:t> </w:t>
            </w:r>
          </w:p>
        </w:tc>
        <w:tc>
          <w:tcPr>
            <w:tcW w:w="691" w:type="pct"/>
            <w:tcBorders>
              <w:top w:val="nil"/>
              <w:left w:val="nil"/>
              <w:bottom w:val="single" w:sz="4" w:space="0" w:color="auto"/>
              <w:right w:val="single" w:sz="4" w:space="0" w:color="auto"/>
            </w:tcBorders>
            <w:shd w:val="clear" w:color="000000" w:fill="D9D9D9"/>
            <w:noWrap/>
            <w:vAlign w:val="center"/>
          </w:tcPr>
          <w:p w:rsidR="00E9008A" w:rsidRPr="00316249" w:rsidRDefault="00E9008A" w:rsidP="005B7D01">
            <w:pPr>
              <w:rPr>
                <w:color w:val="000000"/>
                <w:sz w:val="18"/>
                <w:szCs w:val="18"/>
              </w:rPr>
            </w:pPr>
          </w:p>
        </w:tc>
        <w:tc>
          <w:tcPr>
            <w:tcW w:w="690"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Movimentação do Passivo (Ativo) Líquido Reconhecido no Balanço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Passivo (Ativo) Reconhecido no Início do Exercício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7.259</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28.789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Contribuições Aportadas no Plano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(23.113)</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(38.199)</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Amortização de (Ganhos)/Perdas Atuariais</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89.336</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10.029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Despesas do Exercício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6.093</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6.641 </w:t>
            </w:r>
          </w:p>
        </w:tc>
      </w:tr>
      <w:tr w:rsidR="00E9008A" w:rsidRPr="00316249" w:rsidTr="005B7D01">
        <w:trPr>
          <w:trHeight w:val="238"/>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Passivo/(Ativo) Reconhecido no Final do Período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79.576</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7.260 </w:t>
            </w:r>
          </w:p>
        </w:tc>
      </w:tr>
    </w:tbl>
    <w:p w:rsidR="00E9008A" w:rsidRPr="00316249" w:rsidRDefault="00E9008A" w:rsidP="00E9008A">
      <w:pPr>
        <w:rPr>
          <w:color w:val="000000"/>
        </w:rPr>
      </w:pPr>
    </w:p>
    <w:tbl>
      <w:tblPr>
        <w:tblW w:w="5000" w:type="pct"/>
        <w:tblCellMar>
          <w:left w:w="70" w:type="dxa"/>
          <w:right w:w="70" w:type="dxa"/>
        </w:tblCellMar>
        <w:tblLook w:val="04A0" w:firstRow="1" w:lastRow="0" w:firstColumn="1" w:lastColumn="0" w:noHBand="0" w:noVBand="1"/>
      </w:tblPr>
      <w:tblGrid>
        <w:gridCol w:w="6667"/>
        <w:gridCol w:w="1273"/>
        <w:gridCol w:w="1271"/>
      </w:tblGrid>
      <w:tr w:rsidR="00E9008A" w:rsidRPr="00316249" w:rsidTr="005B7D01">
        <w:trPr>
          <w:trHeight w:val="240"/>
          <w:tblHeader/>
        </w:trPr>
        <w:tc>
          <w:tcPr>
            <w:tcW w:w="361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1381"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Assistencial</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Valores Reconhecidos no Balanço Patrimonial</w:t>
            </w:r>
          </w:p>
        </w:tc>
        <w:tc>
          <w:tcPr>
            <w:tcW w:w="69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31/12/2016</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31/12/2015</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Valor Presente da Obrigação Atuarial sem Cobertura</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9.775</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28.564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Ganhos/(Perdas) Atuariais não Reconhecidos (item 92)</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Passivo/(Ativo) Líquido Reconhecido no Final do Período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20.683</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277.791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color w:val="000000"/>
                <w:sz w:val="18"/>
                <w:szCs w:val="18"/>
              </w:rPr>
            </w:pPr>
            <w:r w:rsidRPr="00316249">
              <w:rPr>
                <w:color w:val="000000"/>
                <w:sz w:val="18"/>
                <w:szCs w:val="18"/>
              </w:rPr>
              <w:t> </w:t>
            </w:r>
          </w:p>
        </w:tc>
        <w:tc>
          <w:tcPr>
            <w:tcW w:w="691" w:type="pct"/>
            <w:tcBorders>
              <w:top w:val="nil"/>
              <w:left w:val="nil"/>
              <w:bottom w:val="single" w:sz="4" w:space="0" w:color="auto"/>
              <w:right w:val="single" w:sz="4" w:space="0" w:color="auto"/>
            </w:tcBorders>
            <w:shd w:val="clear" w:color="000000" w:fill="D9D9D9"/>
            <w:noWrap/>
            <w:vAlign w:val="center"/>
          </w:tcPr>
          <w:p w:rsidR="00E9008A" w:rsidRPr="00316249" w:rsidRDefault="00E9008A" w:rsidP="005B7D01">
            <w:pPr>
              <w:jc w:val="right"/>
              <w:rPr>
                <w:color w:val="000000"/>
                <w:sz w:val="18"/>
                <w:szCs w:val="18"/>
              </w:rPr>
            </w:pPr>
          </w:p>
        </w:tc>
        <w:tc>
          <w:tcPr>
            <w:tcW w:w="690"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Movimentação do Passivo (Ativo) Líquido Reconhecido no Balanço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Passivo (ativo) Reconhecido no Início do Exercício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28.564</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305.787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Contribuições Aportadas no Plano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(39.212)</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(32.532)</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Amortização de (Ganhos)/Perdas Atuariais</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16.614</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(281.468)</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Despesas do Exercício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3.809</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36.777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Passivo/(Ativo) Reconhecido no Final do Período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9.775</w:t>
            </w:r>
          </w:p>
        </w:tc>
        <w:tc>
          <w:tcPr>
            <w:tcW w:w="69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28.564 </w:t>
            </w:r>
          </w:p>
        </w:tc>
      </w:tr>
    </w:tbl>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1E7EF1" w:rsidRPr="001E7EF1" w:rsidRDefault="001E7EF1" w:rsidP="001E7EF1">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E9008A" w:rsidRPr="001E7EF1"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1E7EF1">
        <w:rPr>
          <w:b/>
        </w:rPr>
        <w:t>Plano previdenciário</w:t>
      </w:r>
    </w:p>
    <w:p w:rsidR="00E9008A" w:rsidRPr="00316249" w:rsidRDefault="00E9008A" w:rsidP="00E9008A">
      <w:pPr>
        <w:pStyle w:val="AsteriscoMarcador2"/>
        <w:spacing w:before="240"/>
        <w:ind w:firstLine="0"/>
        <w:jc w:val="both"/>
        <w:rPr>
          <w:szCs w:val="22"/>
        </w:rPr>
      </w:pPr>
      <w:r w:rsidRPr="00316249">
        <w:rPr>
          <w:szCs w:val="22"/>
        </w:rPr>
        <w:t xml:space="preserve">O Plano Complementar de Benefícios </w:t>
      </w:r>
      <w:proofErr w:type="spellStart"/>
      <w:r w:rsidRPr="00316249">
        <w:rPr>
          <w:szCs w:val="22"/>
        </w:rPr>
        <w:t>Previdenciais</w:t>
      </w:r>
      <w:proofErr w:type="spellEnd"/>
      <w:r w:rsidRPr="00316249">
        <w:rPr>
          <w:szCs w:val="22"/>
        </w:rPr>
        <w:t xml:space="preserve"> apresentou um valor presente de obrigação atuarial de R$ 1.388.134, que ao ser confrontado com o valor justo dos ativos do plano de R$ 1.308.558 resultou em um déficit de R$ 79.578, constituindo-se, portanto, em um passivo atuarial. </w:t>
      </w:r>
    </w:p>
    <w:p w:rsidR="00E9008A" w:rsidRPr="00316249" w:rsidRDefault="00E9008A" w:rsidP="00E9008A">
      <w:pPr>
        <w:pStyle w:val="AsteriscoMarcador2"/>
        <w:spacing w:before="240"/>
        <w:ind w:firstLine="0"/>
        <w:jc w:val="both"/>
        <w:rPr>
          <w:szCs w:val="22"/>
        </w:rPr>
      </w:pPr>
      <w:r w:rsidRPr="00316249">
        <w:rPr>
          <w:szCs w:val="22"/>
        </w:rPr>
        <w:t>O valor justo dos ativos do plano foi informado pela FACEB e, segundo a entidade, está precificado a mercado na posição de 31 de dezembro de 2016. Do ativo total informado pela FACEB (R$ 1.329.122) foram deduzidos os valores registrados no balancete nas rubricas do exigível operacional (R$ 4.303), exigível contingencial (R$ 4.950) e fundos (R$ 11.311), resultando no valor justo de R$ 1.308.558, uma vez que essas parcelas do ativo não se destinam à cobertura das provisões matemáticas. Ressalte-se que o saldo do contrato de dívida da CEB D junto à entidade não está incluído no valor justo dos ativos do plano.</w:t>
      </w:r>
    </w:p>
    <w:p w:rsidR="00E9008A" w:rsidRPr="00316249" w:rsidRDefault="00E9008A" w:rsidP="00E9008A">
      <w:pPr>
        <w:pStyle w:val="AsteriscoMarcador2"/>
        <w:spacing w:before="240"/>
        <w:ind w:firstLine="0"/>
        <w:jc w:val="both"/>
        <w:rPr>
          <w:szCs w:val="22"/>
        </w:rPr>
      </w:pPr>
      <w:r w:rsidRPr="00316249">
        <w:rPr>
          <w:szCs w:val="22"/>
        </w:rPr>
        <w:t xml:space="preserve">O Plano Complementar de Benefícios </w:t>
      </w:r>
      <w:proofErr w:type="spellStart"/>
      <w:r w:rsidRPr="00316249">
        <w:rPr>
          <w:szCs w:val="22"/>
        </w:rPr>
        <w:t>Previdenciais</w:t>
      </w:r>
      <w:proofErr w:type="spellEnd"/>
      <w:r w:rsidRPr="00316249">
        <w:rPr>
          <w:szCs w:val="22"/>
        </w:rPr>
        <w:t xml:space="preserve"> se encontra em situação de cobertura parcial do valor presente da obrigação atuarial, conforme demonstrado nos quadros anteriores, tendo apresentado, em 31 de dezembro de 2016, um déficit atuarial. A variação no resultado atuarial, quando comparado com a situação em 31 de dezembro de 2016 se deve à alteração da hipótese de taxa de juros atuarial.</w:t>
      </w:r>
    </w:p>
    <w:p w:rsidR="00E9008A" w:rsidRPr="00316249" w:rsidRDefault="00E9008A" w:rsidP="00E9008A">
      <w:pPr>
        <w:pStyle w:val="AsteriscoMarcador2"/>
        <w:spacing w:before="240"/>
        <w:ind w:firstLine="0"/>
        <w:jc w:val="both"/>
        <w:rPr>
          <w:szCs w:val="22"/>
        </w:rPr>
      </w:pPr>
      <w:r w:rsidRPr="00316249">
        <w:rPr>
          <w:szCs w:val="22"/>
        </w:rPr>
        <w:t>Os resultados apresentados pelo plano ao longo dos últimos períodos estão listados no quadro seguinte: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9"/>
        <w:gridCol w:w="1531"/>
        <w:gridCol w:w="1531"/>
      </w:tblGrid>
      <w:tr w:rsidR="00E9008A" w:rsidRPr="00316249" w:rsidTr="005B7D01">
        <w:trPr>
          <w:trHeight w:val="238"/>
        </w:trPr>
        <w:tc>
          <w:tcPr>
            <w:tcW w:w="3338" w:type="pct"/>
            <w:shd w:val="clear" w:color="000000" w:fill="D9D9D9"/>
            <w:noWrap/>
            <w:vAlign w:val="center"/>
            <w:hideMark/>
          </w:tcPr>
          <w:p w:rsidR="00E9008A" w:rsidRPr="00316249" w:rsidRDefault="00E9008A" w:rsidP="005B7D01">
            <w:pPr>
              <w:spacing w:before="240" w:after="240"/>
              <w:rPr>
                <w:color w:val="000000"/>
                <w:sz w:val="18"/>
                <w:szCs w:val="18"/>
              </w:rPr>
            </w:pPr>
            <w:r w:rsidRPr="00316249">
              <w:rPr>
                <w:color w:val="000000"/>
                <w:sz w:val="18"/>
                <w:szCs w:val="18"/>
              </w:rPr>
              <w:lastRenderedPageBreak/>
              <w:t> </w:t>
            </w:r>
          </w:p>
        </w:tc>
        <w:tc>
          <w:tcPr>
            <w:tcW w:w="83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83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338"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Valor Presente da Obrigação Atuarial</w:t>
            </w:r>
          </w:p>
        </w:tc>
        <w:tc>
          <w:tcPr>
            <w:tcW w:w="8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1.388.134</w:t>
            </w:r>
          </w:p>
        </w:tc>
        <w:tc>
          <w:tcPr>
            <w:tcW w:w="83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1.106.216 </w:t>
            </w:r>
          </w:p>
        </w:tc>
      </w:tr>
      <w:tr w:rsidR="00E9008A" w:rsidRPr="00316249" w:rsidTr="005B7D01">
        <w:trPr>
          <w:trHeight w:val="238"/>
        </w:trPr>
        <w:tc>
          <w:tcPr>
            <w:tcW w:w="3338"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Valor Justo dos Ativos do Plano</w:t>
            </w:r>
          </w:p>
        </w:tc>
        <w:tc>
          <w:tcPr>
            <w:tcW w:w="83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(1.308.558)</w:t>
            </w:r>
          </w:p>
        </w:tc>
        <w:tc>
          <w:tcPr>
            <w:tcW w:w="83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(1.098.956)</w:t>
            </w:r>
          </w:p>
        </w:tc>
      </w:tr>
      <w:tr w:rsidR="00E9008A" w:rsidRPr="00316249" w:rsidTr="005B7D01">
        <w:trPr>
          <w:trHeight w:val="238"/>
        </w:trPr>
        <w:tc>
          <w:tcPr>
            <w:tcW w:w="3338"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Resultado</w:t>
            </w:r>
          </w:p>
        </w:tc>
        <w:tc>
          <w:tcPr>
            <w:tcW w:w="83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79.578</w:t>
            </w:r>
          </w:p>
        </w:tc>
        <w:tc>
          <w:tcPr>
            <w:tcW w:w="831"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7.260 </w:t>
            </w:r>
          </w:p>
        </w:tc>
      </w:tr>
    </w:tbl>
    <w:p w:rsidR="00E9008A" w:rsidRPr="00316249" w:rsidRDefault="00E9008A" w:rsidP="00E9008A">
      <w:pPr>
        <w:pStyle w:val="AsteriscoMarcador2"/>
        <w:spacing w:before="240"/>
        <w:ind w:firstLine="0"/>
        <w:jc w:val="both"/>
        <w:rPr>
          <w:szCs w:val="22"/>
        </w:rPr>
      </w:pPr>
      <w:r w:rsidRPr="00316249">
        <w:rPr>
          <w:szCs w:val="22"/>
        </w:rPr>
        <w:t xml:space="preserve">O quadro a seguir contém a despesa do plano de responsabilidade da patrocinadora, estimada para o exercício de </w:t>
      </w:r>
      <w:r w:rsidRPr="00747E73">
        <w:rPr>
          <w:szCs w:val="22"/>
        </w:rPr>
        <w:t>2017,</w:t>
      </w:r>
      <w:r w:rsidRPr="00316249">
        <w:rPr>
          <w:szCs w:val="22"/>
        </w:rPr>
        <w:t xml:space="preserve"> calculada com base nos custos normais; no custo dos juros incidentes sobre a obrigação atuarial; nos rendimentos esperados do valor justo dos ativos do plano; e nas contribuições estimadas dos participantes e assistidos.</w:t>
      </w:r>
    </w:p>
    <w:tbl>
      <w:tblPr>
        <w:tblW w:w="5000" w:type="pct"/>
        <w:tblCellMar>
          <w:left w:w="70" w:type="dxa"/>
          <w:right w:w="70" w:type="dxa"/>
        </w:tblCellMar>
        <w:tblLook w:val="04A0" w:firstRow="1" w:lastRow="0" w:firstColumn="1" w:lastColumn="0" w:noHBand="0" w:noVBand="1"/>
      </w:tblPr>
      <w:tblGrid>
        <w:gridCol w:w="8109"/>
        <w:gridCol w:w="1102"/>
      </w:tblGrid>
      <w:tr w:rsidR="00E9008A" w:rsidRPr="00316249" w:rsidTr="005B7D01">
        <w:trPr>
          <w:trHeight w:val="238"/>
        </w:trPr>
        <w:tc>
          <w:tcPr>
            <w:tcW w:w="440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9008A" w:rsidRPr="00316249" w:rsidRDefault="00E9008A" w:rsidP="005B7D01">
            <w:pPr>
              <w:spacing w:before="240"/>
              <w:rPr>
                <w:color w:val="000000"/>
                <w:sz w:val="18"/>
                <w:szCs w:val="18"/>
              </w:rPr>
            </w:pP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2017</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Custo do Serviço Corrente</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9.686</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Custo dos Juros</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152.901</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Rendimento Esperado dos Ativos do Plano</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(144.135)</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Contribuições dos Participantes</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(6.295)</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Total da Despesa Estimada</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12.156</w:t>
            </w:r>
          </w:p>
        </w:tc>
      </w:tr>
    </w:tbl>
    <w:p w:rsidR="00E9008A" w:rsidRPr="00316249"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316249">
        <w:rPr>
          <w:b/>
        </w:rPr>
        <w:t>Plano de Benefícios CEBPREV</w:t>
      </w:r>
    </w:p>
    <w:p w:rsidR="00E9008A" w:rsidRDefault="00E9008A" w:rsidP="00E9008A">
      <w:pPr>
        <w:autoSpaceDE w:val="0"/>
        <w:autoSpaceDN w:val="0"/>
        <w:adjustRightInd w:val="0"/>
        <w:spacing w:before="240" w:after="240"/>
        <w:jc w:val="both"/>
        <w:rPr>
          <w:sz w:val="22"/>
          <w:szCs w:val="22"/>
        </w:rPr>
      </w:pPr>
      <w:r w:rsidRPr="00316249">
        <w:rPr>
          <w:sz w:val="22"/>
          <w:szCs w:val="22"/>
        </w:rPr>
        <w:t xml:space="preserve">O plano CEBPREV, por ser constituído na modalidade de contribuição definida, não imputa riscos às suas patrocinadoras e, por conseguinte, não gera a necessidade de provisão de benefícios pós-emprego para a CEB Distribuição </w:t>
      </w:r>
      <w:proofErr w:type="gramStart"/>
      <w:r w:rsidRPr="00316249">
        <w:rPr>
          <w:sz w:val="22"/>
          <w:szCs w:val="22"/>
        </w:rPr>
        <w:t>S.A..</w:t>
      </w:r>
      <w:proofErr w:type="gramEnd"/>
    </w:p>
    <w:p w:rsidR="00E9008A" w:rsidRPr="001E7EF1"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316249">
        <w:rPr>
          <w:b/>
        </w:rPr>
        <w:t>Plano CEB-Saúde</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O plano CEB-Saúde não gerou provisão de benefícios pós-emprego em função das disposições de seu regulamento que preveem a participação da CEB Distribuição S.A., bem como das demais associadas, apenas em relação aos participantes ativos e seus dependentes, não lhes imputando responsabilidades em relação aos aposentados e pensionistas.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Dessa forma, não há qualquer provisão de benefícios pós-emprego a contabilizar em função desse plano de saúde.</w:t>
      </w:r>
    </w:p>
    <w:p w:rsidR="00E9008A" w:rsidRPr="001E7EF1"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1E7EF1">
        <w:rPr>
          <w:b/>
        </w:rPr>
        <w:t xml:space="preserve">Plano de saúde da CEB – Assistencial </w:t>
      </w:r>
    </w:p>
    <w:p w:rsidR="00E9008A" w:rsidRPr="00316249" w:rsidRDefault="00E9008A" w:rsidP="00E9008A">
      <w:pPr>
        <w:autoSpaceDE w:val="0"/>
        <w:autoSpaceDN w:val="0"/>
        <w:adjustRightInd w:val="0"/>
        <w:spacing w:before="240" w:after="240"/>
        <w:jc w:val="both"/>
        <w:rPr>
          <w:sz w:val="23"/>
          <w:szCs w:val="23"/>
        </w:rPr>
      </w:pPr>
      <w:r w:rsidRPr="00316249">
        <w:rPr>
          <w:sz w:val="23"/>
          <w:szCs w:val="23"/>
        </w:rPr>
        <w:t xml:space="preserve">Este plano é administrado pela FACEB como uma autogestão, estando registrado na Agência Nacional de Saúde Suplementar – ANS. Participam do plano os empregados ativos, aposentados, pensionistas e aqueles vinculados ao programa de demissão voluntária da CEB, bem como os dependentes desses grupos, tendo ainda direito à remissão, o cônjuge ou companheiro, após o falecimento do titular. </w:t>
      </w:r>
    </w:p>
    <w:p w:rsidR="00E9008A" w:rsidRPr="00316249" w:rsidRDefault="00E9008A" w:rsidP="00E9008A">
      <w:pPr>
        <w:autoSpaceDE w:val="0"/>
        <w:autoSpaceDN w:val="0"/>
        <w:adjustRightInd w:val="0"/>
        <w:spacing w:before="240" w:after="240"/>
        <w:jc w:val="both"/>
        <w:rPr>
          <w:sz w:val="23"/>
          <w:szCs w:val="23"/>
        </w:rPr>
      </w:pPr>
      <w:r w:rsidRPr="00316249">
        <w:rPr>
          <w:sz w:val="23"/>
          <w:szCs w:val="23"/>
        </w:rPr>
        <w:t>As coberturas do plano permitem enquadrá-lo na segmentação assistencial hospitalar com obstetrícia e odontologia.</w:t>
      </w:r>
    </w:p>
    <w:p w:rsidR="00E9008A" w:rsidRPr="00316249" w:rsidRDefault="00E9008A" w:rsidP="00E9008A">
      <w:pPr>
        <w:autoSpaceDE w:val="0"/>
        <w:autoSpaceDN w:val="0"/>
        <w:adjustRightInd w:val="0"/>
        <w:spacing w:before="240" w:after="240"/>
        <w:jc w:val="both"/>
        <w:rPr>
          <w:sz w:val="23"/>
          <w:szCs w:val="23"/>
        </w:rPr>
      </w:pPr>
      <w:r w:rsidRPr="00316249">
        <w:rPr>
          <w:sz w:val="23"/>
          <w:szCs w:val="23"/>
        </w:rPr>
        <w:t>O custeio do plano é feito mediante o pagamento de coparticipação pelos usuários, no momento em que o utilizam, cujos percentuais são definidos no respectivo regulamento, ficando a patrocinadora com a responsabilidade de complementar os pagamentos dos usuários de forma a custear as despesas.</w:t>
      </w:r>
    </w:p>
    <w:p w:rsidR="00E9008A" w:rsidRPr="00747E73" w:rsidRDefault="00E9008A" w:rsidP="00E9008A">
      <w:pPr>
        <w:autoSpaceDE w:val="0"/>
        <w:autoSpaceDN w:val="0"/>
        <w:adjustRightInd w:val="0"/>
        <w:spacing w:before="240" w:after="240"/>
        <w:jc w:val="both"/>
        <w:rPr>
          <w:sz w:val="23"/>
          <w:szCs w:val="23"/>
        </w:rPr>
      </w:pPr>
      <w:r w:rsidRPr="00747E73">
        <w:rPr>
          <w:sz w:val="23"/>
          <w:szCs w:val="23"/>
        </w:rPr>
        <w:lastRenderedPageBreak/>
        <w:t xml:space="preserve">Com o trânsito em julgado da </w:t>
      </w:r>
      <w:r w:rsidRPr="00747E73">
        <w:rPr>
          <w:sz w:val="22"/>
          <w:szCs w:val="22"/>
        </w:rPr>
        <w:t>Ação Direta de Inconstitucionalidade mencionada na Nota Explicativa nº 2.2.1.1.1</w:t>
      </w:r>
      <w:r w:rsidRPr="00747E73">
        <w:rPr>
          <w:sz w:val="23"/>
          <w:szCs w:val="23"/>
        </w:rPr>
        <w:t>, a responsabilidade da CEB com relação aos benefícios de pós-emprego do Plano CEB – Assistencial ficou restrita ao período de dezembro de 2015 a março de 2017. Dessa forma, ocorreu uma forte redução no valor da provisão relativa a esse benefício.</w:t>
      </w:r>
    </w:p>
    <w:p w:rsidR="00E9008A" w:rsidRPr="00316249" w:rsidRDefault="00E9008A" w:rsidP="00E9008A">
      <w:pPr>
        <w:autoSpaceDE w:val="0"/>
        <w:autoSpaceDN w:val="0"/>
        <w:adjustRightInd w:val="0"/>
        <w:spacing w:before="240" w:after="240"/>
        <w:jc w:val="both"/>
        <w:rPr>
          <w:sz w:val="23"/>
          <w:szCs w:val="23"/>
        </w:rPr>
      </w:pPr>
      <w:r w:rsidRPr="00747E73">
        <w:rPr>
          <w:sz w:val="23"/>
          <w:szCs w:val="23"/>
        </w:rPr>
        <w:t>A variação na obrigação atuarial decorreu da modificação na taxa de juros, que passou de 7,34% para 5,91%; da redução no número total de beneficiários, que na reavaliação anterior em unidade monetária era de R$ 3.879 e passou para R$ 3.646; e, principalmente, da publicação do Acórdão da ADI nº 2014002032055-2, que restringiu a cobertura do plano assistencial para os aposentados e pensionistas até março de 2017.</w:t>
      </w:r>
    </w:p>
    <w:p w:rsidR="007F7D85" w:rsidRDefault="007F7D85">
      <w:pPr>
        <w:rPr>
          <w:sz w:val="22"/>
          <w:szCs w:val="22"/>
        </w:rPr>
      </w:pPr>
      <w:r>
        <w:rPr>
          <w:sz w:val="22"/>
          <w:szCs w:val="22"/>
        </w:rPr>
        <w:br w:type="page"/>
      </w:r>
    </w:p>
    <w:p w:rsidR="00E9008A" w:rsidRPr="00316249" w:rsidRDefault="00E9008A" w:rsidP="00E9008A">
      <w:pPr>
        <w:autoSpaceDE w:val="0"/>
        <w:autoSpaceDN w:val="0"/>
        <w:spacing w:before="240" w:after="240"/>
        <w:jc w:val="both"/>
        <w:rPr>
          <w:sz w:val="22"/>
          <w:szCs w:val="22"/>
        </w:rPr>
      </w:pPr>
      <w:r w:rsidRPr="00316249">
        <w:rPr>
          <w:sz w:val="22"/>
          <w:szCs w:val="22"/>
        </w:rPr>
        <w:lastRenderedPageBreak/>
        <w:t>Despesa estimada para o exercício seguinte:</w:t>
      </w:r>
    </w:p>
    <w:tbl>
      <w:tblPr>
        <w:tblW w:w="5000" w:type="pct"/>
        <w:tblCellMar>
          <w:left w:w="70" w:type="dxa"/>
          <w:right w:w="70" w:type="dxa"/>
        </w:tblCellMar>
        <w:tblLook w:val="04A0" w:firstRow="1" w:lastRow="0" w:firstColumn="1" w:lastColumn="0" w:noHBand="0" w:noVBand="1"/>
      </w:tblPr>
      <w:tblGrid>
        <w:gridCol w:w="8109"/>
        <w:gridCol w:w="1102"/>
      </w:tblGrid>
      <w:tr w:rsidR="00E9008A" w:rsidRPr="00316249" w:rsidTr="005B7D01">
        <w:trPr>
          <w:trHeight w:val="238"/>
          <w:tblHeader/>
        </w:trPr>
        <w:tc>
          <w:tcPr>
            <w:tcW w:w="440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2017</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Custo do Serviço Corrente</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18</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Custo dos Juros</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1.076</w:t>
            </w:r>
          </w:p>
        </w:tc>
      </w:tr>
      <w:tr w:rsidR="00E9008A" w:rsidRPr="00316249" w:rsidTr="005B7D01">
        <w:trPr>
          <w:trHeight w:val="238"/>
        </w:trPr>
        <w:tc>
          <w:tcPr>
            <w:tcW w:w="4402"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Total da Despesa Estimada</w:t>
            </w:r>
          </w:p>
        </w:tc>
        <w:tc>
          <w:tcPr>
            <w:tcW w:w="59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1.095</w:t>
            </w:r>
          </w:p>
        </w:tc>
      </w:tr>
    </w:tbl>
    <w:p w:rsidR="00E9008A" w:rsidRPr="00316249" w:rsidRDefault="00E9008A" w:rsidP="00E9008A">
      <w:pPr>
        <w:autoSpaceDE w:val="0"/>
        <w:autoSpaceDN w:val="0"/>
        <w:adjustRightInd w:val="0"/>
        <w:spacing w:before="240" w:after="240"/>
        <w:jc w:val="both"/>
        <w:rPr>
          <w:sz w:val="22"/>
          <w:szCs w:val="22"/>
        </w:rPr>
      </w:pPr>
      <w:r w:rsidRPr="00316249">
        <w:rPr>
          <w:sz w:val="22"/>
          <w:szCs w:val="22"/>
        </w:rPr>
        <w:t>Os resultados apresentados pelo plano ao longo dos últimos períodos estão listados no quadro seguinte: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9"/>
        <w:gridCol w:w="1509"/>
        <w:gridCol w:w="1643"/>
      </w:tblGrid>
      <w:tr w:rsidR="00E9008A" w:rsidRPr="00316249" w:rsidTr="005B7D01">
        <w:trPr>
          <w:trHeight w:val="238"/>
        </w:trPr>
        <w:tc>
          <w:tcPr>
            <w:tcW w:w="3289" w:type="pct"/>
            <w:shd w:val="clear" w:color="000000" w:fill="D9D9D9"/>
            <w:noWrap/>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819"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892"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289"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Valor Presente da Obrigação Atuarial</w:t>
            </w:r>
          </w:p>
        </w:tc>
        <w:tc>
          <w:tcPr>
            <w:tcW w:w="819"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9.776</w:t>
            </w:r>
          </w:p>
        </w:tc>
        <w:tc>
          <w:tcPr>
            <w:tcW w:w="892"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28.564 </w:t>
            </w:r>
          </w:p>
        </w:tc>
      </w:tr>
      <w:tr w:rsidR="00E9008A" w:rsidRPr="00316249" w:rsidTr="005B7D01">
        <w:trPr>
          <w:trHeight w:val="238"/>
        </w:trPr>
        <w:tc>
          <w:tcPr>
            <w:tcW w:w="3289"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Valor Justo dos Ativos do Plano</w:t>
            </w:r>
          </w:p>
        </w:tc>
        <w:tc>
          <w:tcPr>
            <w:tcW w:w="819" w:type="pct"/>
            <w:shd w:val="clear" w:color="auto" w:fill="auto"/>
            <w:noWrap/>
            <w:vAlign w:val="center"/>
          </w:tcPr>
          <w:p w:rsidR="00E9008A" w:rsidRPr="00316249" w:rsidRDefault="00E9008A" w:rsidP="005B7D01">
            <w:pPr>
              <w:jc w:val="right"/>
              <w:rPr>
                <w:color w:val="000000"/>
                <w:sz w:val="18"/>
                <w:szCs w:val="18"/>
              </w:rPr>
            </w:pPr>
          </w:p>
        </w:tc>
        <w:tc>
          <w:tcPr>
            <w:tcW w:w="892" w:type="pct"/>
            <w:shd w:val="clear" w:color="auto" w:fill="auto"/>
            <w:noWrap/>
            <w:vAlign w:val="center"/>
            <w:hideMark/>
          </w:tcPr>
          <w:p w:rsidR="00E9008A" w:rsidRPr="00316249" w:rsidRDefault="00E9008A" w:rsidP="005B7D01">
            <w:pPr>
              <w:jc w:val="right"/>
              <w:rPr>
                <w:color w:val="000000"/>
                <w:sz w:val="18"/>
                <w:szCs w:val="18"/>
              </w:rPr>
            </w:pPr>
          </w:p>
        </w:tc>
      </w:tr>
      <w:tr w:rsidR="00E9008A" w:rsidRPr="00316249" w:rsidTr="005B7D01">
        <w:trPr>
          <w:trHeight w:val="238"/>
        </w:trPr>
        <w:tc>
          <w:tcPr>
            <w:tcW w:w="3289"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Resultado</w:t>
            </w:r>
          </w:p>
        </w:tc>
        <w:tc>
          <w:tcPr>
            <w:tcW w:w="819"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9.776</w:t>
            </w:r>
          </w:p>
        </w:tc>
        <w:tc>
          <w:tcPr>
            <w:tcW w:w="892"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28.564 </w:t>
            </w:r>
          </w:p>
        </w:tc>
      </w:tr>
    </w:tbl>
    <w:p w:rsidR="00E9008A" w:rsidRPr="001E7EF1"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1E7EF1">
        <w:rPr>
          <w:b/>
        </w:rPr>
        <w:t>Categoria de ativo e dados cadastrais</w:t>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O quadro a seguir mostra as estatísticas dos planos de benefícios conforme dados cadastrais:</w:t>
      </w:r>
    </w:p>
    <w:tbl>
      <w:tblPr>
        <w:tblW w:w="5000" w:type="pct"/>
        <w:tblCellMar>
          <w:left w:w="70" w:type="dxa"/>
          <w:right w:w="70" w:type="dxa"/>
        </w:tblCellMar>
        <w:tblLook w:val="04A0" w:firstRow="1" w:lastRow="0" w:firstColumn="1" w:lastColumn="0" w:noHBand="0" w:noVBand="1"/>
      </w:tblPr>
      <w:tblGrid>
        <w:gridCol w:w="6293"/>
        <w:gridCol w:w="1430"/>
        <w:gridCol w:w="29"/>
        <w:gridCol w:w="1459"/>
      </w:tblGrid>
      <w:tr w:rsidR="00E9008A" w:rsidRPr="00316249" w:rsidTr="005B7D01">
        <w:trPr>
          <w:trHeight w:val="238"/>
          <w:tblHeader/>
        </w:trPr>
        <w:tc>
          <w:tcPr>
            <w:tcW w:w="341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jc w:val="center"/>
              <w:rPr>
                <w:b/>
                <w:bCs/>
                <w:sz w:val="18"/>
                <w:szCs w:val="18"/>
              </w:rPr>
            </w:pPr>
            <w:r w:rsidRPr="00316249">
              <w:rPr>
                <w:b/>
                <w:bCs/>
                <w:sz w:val="18"/>
                <w:szCs w:val="18"/>
              </w:rPr>
              <w:t>Previdenciário </w:t>
            </w:r>
          </w:p>
        </w:tc>
        <w:tc>
          <w:tcPr>
            <w:tcW w:w="792"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sz w:val="18"/>
                <w:szCs w:val="18"/>
              </w:rPr>
            </w:pPr>
            <w:r w:rsidRPr="00316249">
              <w:rPr>
                <w:b/>
                <w:bCs/>
                <w:sz w:val="18"/>
                <w:szCs w:val="18"/>
              </w:rPr>
              <w:t>31/12/2016</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sz w:val="18"/>
                <w:szCs w:val="18"/>
              </w:rPr>
            </w:pPr>
            <w:r w:rsidRPr="00316249">
              <w:rPr>
                <w:b/>
                <w:bCs/>
                <w:sz w:val="18"/>
                <w:szCs w:val="18"/>
              </w:rPr>
              <w:t>31/12/2015</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8"/>
                <w:szCs w:val="18"/>
              </w:rPr>
            </w:pPr>
            <w:r w:rsidRPr="00316249">
              <w:rPr>
                <w:b/>
                <w:bCs/>
                <w:sz w:val="18"/>
                <w:szCs w:val="18"/>
              </w:rPr>
              <w:t>Ativos</w:t>
            </w:r>
          </w:p>
        </w:tc>
        <w:tc>
          <w:tcPr>
            <w:tcW w:w="792" w:type="pct"/>
            <w:gridSpan w:val="2"/>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Quantidade</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466</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506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Idade Média</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50,79</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50,27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Tempo Médio de Serviço (anos)</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25,71</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25,10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Tempo Médio Esperado de Serviço Futuro (anos)</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5,87</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6,48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Valor do Salário Médio (R$)</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12.884,07</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11.855,28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8"/>
                <w:szCs w:val="18"/>
              </w:rPr>
            </w:pPr>
            <w:r w:rsidRPr="00316249">
              <w:rPr>
                <w:b/>
                <w:bCs/>
                <w:sz w:val="18"/>
                <w:szCs w:val="18"/>
              </w:rPr>
              <w:t>Aposentados</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Quantidade</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1.093</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1.074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Idade Média</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66,77</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66,20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Benefício Médio (R$)</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6.016,61</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5.473,39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b/>
                <w:bCs/>
                <w:sz w:val="18"/>
                <w:szCs w:val="18"/>
              </w:rPr>
            </w:pPr>
            <w:r w:rsidRPr="00316249">
              <w:rPr>
                <w:b/>
                <w:bCs/>
                <w:sz w:val="18"/>
                <w:szCs w:val="18"/>
              </w:rPr>
              <w:t>Pensionistas</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Quantidade</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339</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322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Idade Média</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64,17</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64,07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sz w:val="18"/>
                <w:szCs w:val="18"/>
              </w:rPr>
            </w:pPr>
            <w:r w:rsidRPr="00316249">
              <w:rPr>
                <w:sz w:val="18"/>
                <w:szCs w:val="18"/>
              </w:rPr>
              <w:t xml:space="preserve">   Benefício Médio (R$)</w:t>
            </w:r>
          </w:p>
        </w:tc>
        <w:tc>
          <w:tcPr>
            <w:tcW w:w="792" w:type="pct"/>
            <w:gridSpan w:val="2"/>
            <w:tcBorders>
              <w:top w:val="nil"/>
              <w:left w:val="nil"/>
              <w:bottom w:val="single" w:sz="4" w:space="0" w:color="auto"/>
              <w:right w:val="single" w:sz="4" w:space="0" w:color="auto"/>
            </w:tcBorders>
            <w:shd w:val="clear" w:color="auto" w:fill="auto"/>
            <w:noWrap/>
            <w:vAlign w:val="bottom"/>
          </w:tcPr>
          <w:p w:rsidR="00E9008A" w:rsidRPr="00316249" w:rsidRDefault="00E9008A" w:rsidP="005B7D01">
            <w:pPr>
              <w:jc w:val="right"/>
              <w:rPr>
                <w:sz w:val="18"/>
                <w:szCs w:val="18"/>
              </w:rPr>
            </w:pPr>
            <w:r w:rsidRPr="00316249">
              <w:rPr>
                <w:sz w:val="18"/>
                <w:szCs w:val="18"/>
              </w:rPr>
              <w:t>1.825,29</w:t>
            </w:r>
          </w:p>
        </w:tc>
        <w:tc>
          <w:tcPr>
            <w:tcW w:w="792" w:type="pct"/>
            <w:tcBorders>
              <w:top w:val="nil"/>
              <w:left w:val="nil"/>
              <w:bottom w:val="single" w:sz="4" w:space="0" w:color="auto"/>
              <w:right w:val="single" w:sz="4" w:space="0" w:color="auto"/>
            </w:tcBorders>
            <w:shd w:val="clear" w:color="auto" w:fill="auto"/>
            <w:noWrap/>
            <w:vAlign w:val="bottom"/>
            <w:hideMark/>
          </w:tcPr>
          <w:p w:rsidR="00E9008A" w:rsidRPr="00316249" w:rsidRDefault="00E9008A" w:rsidP="005B7D01">
            <w:pPr>
              <w:jc w:val="right"/>
              <w:rPr>
                <w:sz w:val="18"/>
                <w:szCs w:val="18"/>
              </w:rPr>
            </w:pPr>
            <w:r w:rsidRPr="00316249">
              <w:rPr>
                <w:sz w:val="18"/>
                <w:szCs w:val="18"/>
              </w:rPr>
              <w:t xml:space="preserve">       1.635,16 </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9"/>
        </w:trPr>
        <w:tc>
          <w:tcPr>
            <w:tcW w:w="3415" w:type="pct"/>
            <w:shd w:val="clear" w:color="000000" w:fill="D9D9D9"/>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Assistencial</w:t>
            </w:r>
          </w:p>
        </w:tc>
        <w:tc>
          <w:tcPr>
            <w:tcW w:w="776"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809"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Titulares</w:t>
            </w:r>
          </w:p>
        </w:tc>
        <w:tc>
          <w:tcPr>
            <w:tcW w:w="776"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w:t>
            </w:r>
          </w:p>
        </w:tc>
        <w:tc>
          <w:tcPr>
            <w:tcW w:w="809" w:type="pct"/>
            <w:gridSpan w:val="2"/>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Quantidade</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1.748</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1.836</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Idade Média</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62,48</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61,34</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Custo Médio</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821,02</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728,62</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Dependentes</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 </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 </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Quantidade</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1.898</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2.043</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Idade Média</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47,56</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45,49</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Custo Médio</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599,53</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519,61</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Total</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 </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 </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Quantidade</w:t>
            </w:r>
          </w:p>
        </w:tc>
        <w:tc>
          <w:tcPr>
            <w:tcW w:w="776" w:type="pct"/>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3.646</w:t>
            </w:r>
          </w:p>
        </w:tc>
        <w:tc>
          <w:tcPr>
            <w:tcW w:w="809" w:type="pct"/>
            <w:gridSpan w:val="2"/>
            <w:shd w:val="clear" w:color="auto" w:fill="auto"/>
            <w:noWrap/>
            <w:vAlign w:val="bottom"/>
            <w:hideMark/>
          </w:tcPr>
          <w:p w:rsidR="00E9008A" w:rsidRPr="00747E73" w:rsidRDefault="00E9008A" w:rsidP="005B7D01">
            <w:pPr>
              <w:jc w:val="right"/>
              <w:rPr>
                <w:color w:val="000000"/>
                <w:sz w:val="18"/>
                <w:szCs w:val="18"/>
              </w:rPr>
            </w:pPr>
            <w:r w:rsidRPr="00747E73">
              <w:rPr>
                <w:color w:val="000000"/>
                <w:sz w:val="18"/>
                <w:szCs w:val="18"/>
              </w:rPr>
              <w:t>3.879</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lastRenderedPageBreak/>
              <w:t xml:space="preserve">   Idade Média</w:t>
            </w:r>
          </w:p>
        </w:tc>
        <w:tc>
          <w:tcPr>
            <w:tcW w:w="776"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54,71</w:t>
            </w:r>
          </w:p>
        </w:tc>
        <w:tc>
          <w:tcPr>
            <w:tcW w:w="809" w:type="pct"/>
            <w:gridSpan w:val="2"/>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52,99</w:t>
            </w:r>
          </w:p>
        </w:tc>
      </w:tr>
      <w:tr w:rsidR="00E9008A" w:rsidRPr="00316249" w:rsidTr="005B7D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415"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 xml:space="preserve">   Custo Médio</w:t>
            </w:r>
          </w:p>
        </w:tc>
        <w:tc>
          <w:tcPr>
            <w:tcW w:w="776"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705,72</w:t>
            </w:r>
          </w:p>
        </w:tc>
        <w:tc>
          <w:tcPr>
            <w:tcW w:w="809" w:type="pct"/>
            <w:gridSpan w:val="2"/>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618,54</w:t>
            </w:r>
          </w:p>
        </w:tc>
      </w:tr>
    </w:tbl>
    <w:p w:rsidR="007F7D85" w:rsidRDefault="007F7D85">
      <w:pPr>
        <w:rPr>
          <w:rFonts w:eastAsia="Calibri"/>
          <w:snapToGrid w:val="0"/>
          <w:sz w:val="22"/>
          <w:szCs w:val="22"/>
        </w:rPr>
      </w:pPr>
      <w:r>
        <w:rPr>
          <w:snapToGrid w:val="0"/>
          <w:szCs w:val="22"/>
        </w:rPr>
        <w:br w:type="page"/>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lastRenderedPageBreak/>
        <w:t>O quadro seguinte mostra a abertura do valor justo dos ativos do plano por tipo de investimento. A maior parte dos ativos está concentrada em investimentos de renda fixa:</w:t>
      </w:r>
    </w:p>
    <w:tbl>
      <w:tblPr>
        <w:tblW w:w="5000" w:type="pct"/>
        <w:tblCellMar>
          <w:left w:w="70" w:type="dxa"/>
          <w:right w:w="70" w:type="dxa"/>
        </w:tblCellMar>
        <w:tblLook w:val="04A0" w:firstRow="1" w:lastRow="0" w:firstColumn="1" w:lastColumn="0" w:noHBand="0" w:noVBand="1"/>
      </w:tblPr>
      <w:tblGrid>
        <w:gridCol w:w="4909"/>
        <w:gridCol w:w="1076"/>
        <w:gridCol w:w="1076"/>
        <w:gridCol w:w="1076"/>
        <w:gridCol w:w="1074"/>
      </w:tblGrid>
      <w:tr w:rsidR="00E9008A" w:rsidRPr="00316249" w:rsidTr="005B7D01">
        <w:trPr>
          <w:trHeight w:val="240"/>
          <w:tblHeader/>
        </w:trPr>
        <w:tc>
          <w:tcPr>
            <w:tcW w:w="266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Complementar</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Assistencial</w:t>
            </w:r>
          </w:p>
        </w:tc>
      </w:tr>
      <w:tr w:rsidR="00E9008A" w:rsidRPr="00316249" w:rsidTr="005B7D01">
        <w:trPr>
          <w:trHeight w:val="240"/>
          <w:tblHeader/>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Composição dos Ativos</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31/12/2015</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Disponível</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0,19%</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Renda Fixa</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92,92%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89,81%</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Renda Variável</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0,68%</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0,76%</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Investimentos Estruturados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2,42%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5,06%</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Investimentos Imobiliários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1,39%</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1,66%</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Empréstimos com Participantes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2,43%</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2,72%</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pPr>
            <w:r w:rsidRPr="00316249">
              <w:rPr>
                <w:color w:val="000000"/>
                <w:sz w:val="18"/>
                <w:szCs w:val="18"/>
              </w:rPr>
              <w:t>0,00%</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Outras Exigibilidades e Depósitos Judiciais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-0,03%</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-0,02%</w:t>
            </w:r>
          </w:p>
        </w:tc>
        <w:tc>
          <w:tcPr>
            <w:tcW w:w="584" w:type="pct"/>
            <w:tcBorders>
              <w:top w:val="nil"/>
              <w:left w:val="nil"/>
              <w:bottom w:val="single" w:sz="4" w:space="0" w:color="auto"/>
              <w:right w:val="single" w:sz="4" w:space="0" w:color="auto"/>
            </w:tcBorders>
            <w:shd w:val="clear" w:color="auto" w:fill="auto"/>
            <w:noWrap/>
          </w:tcPr>
          <w:p w:rsidR="00E9008A" w:rsidRPr="00316249" w:rsidRDefault="00E9008A" w:rsidP="005B7D01">
            <w:pPr>
              <w:jc w:val="right"/>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tcPr>
          <w:p w:rsidR="00E9008A" w:rsidRPr="00316249" w:rsidRDefault="00E9008A" w:rsidP="005B7D01">
            <w:pPr>
              <w:jc w:val="right"/>
            </w:pPr>
            <w:r w:rsidRPr="00316249">
              <w:rPr>
                <w:color w:val="000000"/>
                <w:sz w:val="18"/>
                <w:szCs w:val="18"/>
              </w:rPr>
              <w:t>0,00%</w:t>
            </w:r>
          </w:p>
        </w:tc>
      </w:tr>
      <w:tr w:rsidR="00E9008A" w:rsidRPr="00316249" w:rsidTr="005B7D01">
        <w:trPr>
          <w:trHeight w:val="240"/>
        </w:trPr>
        <w:tc>
          <w:tcPr>
            <w:tcW w:w="2665"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Total Percentual dos Ativos do Plano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100,00%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100,00%</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rPr>
                <w:b/>
              </w:rPr>
            </w:pPr>
            <w:r w:rsidRPr="00316249">
              <w:rPr>
                <w:b/>
                <w:color w:val="000000"/>
                <w:sz w:val="18"/>
                <w:szCs w:val="18"/>
              </w:rPr>
              <w:t>0,00%</w:t>
            </w:r>
          </w:p>
        </w:tc>
        <w:tc>
          <w:tcPr>
            <w:tcW w:w="584" w:type="pct"/>
            <w:tcBorders>
              <w:top w:val="nil"/>
              <w:left w:val="nil"/>
              <w:bottom w:val="single" w:sz="4" w:space="0" w:color="auto"/>
              <w:right w:val="single" w:sz="4" w:space="0" w:color="auto"/>
            </w:tcBorders>
            <w:shd w:val="clear" w:color="auto" w:fill="auto"/>
            <w:noWrap/>
            <w:hideMark/>
          </w:tcPr>
          <w:p w:rsidR="00E9008A" w:rsidRPr="00316249" w:rsidRDefault="00E9008A" w:rsidP="005B7D01">
            <w:pPr>
              <w:jc w:val="right"/>
              <w:rPr>
                <w:b/>
              </w:rPr>
            </w:pPr>
            <w:r w:rsidRPr="00316249">
              <w:rPr>
                <w:b/>
                <w:color w:val="000000"/>
                <w:sz w:val="18"/>
                <w:szCs w:val="18"/>
              </w:rPr>
              <w:t>0,00%</w:t>
            </w:r>
          </w:p>
        </w:tc>
      </w:tr>
    </w:tbl>
    <w:p w:rsidR="00E9008A" w:rsidRPr="001E7EF1" w:rsidRDefault="00E9008A" w:rsidP="001E7EF1">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1E7EF1">
        <w:rPr>
          <w:b/>
        </w:rPr>
        <w:t>Premissas atuariais</w:t>
      </w:r>
    </w:p>
    <w:tbl>
      <w:tblPr>
        <w:tblW w:w="5000" w:type="pct"/>
        <w:tblCellMar>
          <w:left w:w="70" w:type="dxa"/>
          <w:right w:w="70" w:type="dxa"/>
        </w:tblCellMar>
        <w:tblLook w:val="04A0" w:firstRow="1" w:lastRow="0" w:firstColumn="1" w:lastColumn="0" w:noHBand="0" w:noVBand="1"/>
      </w:tblPr>
      <w:tblGrid>
        <w:gridCol w:w="4720"/>
        <w:gridCol w:w="1195"/>
        <w:gridCol w:w="1195"/>
        <w:gridCol w:w="1050"/>
        <w:gridCol w:w="1051"/>
      </w:tblGrid>
      <w:tr w:rsidR="00E9008A" w:rsidRPr="00316249" w:rsidTr="005B7D01">
        <w:trPr>
          <w:trHeight w:val="238"/>
          <w:tblHeader/>
        </w:trPr>
        <w:tc>
          <w:tcPr>
            <w:tcW w:w="257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Complementar</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Assistencial</w:t>
            </w:r>
          </w:p>
        </w:tc>
      </w:tr>
      <w:tr w:rsidR="00E9008A" w:rsidRPr="00316249" w:rsidTr="005B7D01">
        <w:trPr>
          <w:trHeight w:val="238"/>
          <w:tblHeader/>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Premissas Atuariais Adotadas</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Financeira</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Taxa de Juros Anual Para Cálculo do Valor Presente da Obrigação</w:t>
            </w:r>
          </w:p>
        </w:tc>
        <w:tc>
          <w:tcPr>
            <w:tcW w:w="6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5,91%</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7,34%</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5,91%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7,34%</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Expectativa de Retorno do Valor Justo dos Ativos do Plano</w:t>
            </w:r>
          </w:p>
        </w:tc>
        <w:tc>
          <w:tcPr>
            <w:tcW w:w="6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11,01%</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13.28%</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Taxa Anual de Inflação</w:t>
            </w:r>
          </w:p>
        </w:tc>
        <w:tc>
          <w:tcPr>
            <w:tcW w:w="6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4,82%</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5,53%</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4,82%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5,53%</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Taxa Nominal de Crescimento Anual dos Salários</w:t>
            </w:r>
          </w:p>
        </w:tc>
        <w:tc>
          <w:tcPr>
            <w:tcW w:w="6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4,82%</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5,53%</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4,82%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5,53%</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Taxa Nominal de Crescimento dos Benefícios do Plano</w:t>
            </w:r>
          </w:p>
        </w:tc>
        <w:tc>
          <w:tcPr>
            <w:tcW w:w="6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4,82%</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5,53%</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4,82%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5,53%</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Taxa de Crescimento Nominal Anual dos Custos de Saúde</w:t>
            </w:r>
          </w:p>
        </w:tc>
        <w:tc>
          <w:tcPr>
            <w:tcW w:w="628"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0,00%</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7,00%</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Demográficas</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Taxa de Rotatividade</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c>
          <w:tcPr>
            <w:tcW w:w="62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0,00%</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Tábua de Mortalidade/Sobrevivência de Ativos</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AT-2000 masculina</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AT-2000 masculina</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Tábua de Mortalidade/Sobrevivência de Assistidos</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AT-2000 masculina</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AT-2000 masculina</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Tábua de Mortalidade/Sobrevivência de Inválidos</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i/>
                <w:color w:val="000000"/>
                <w:sz w:val="18"/>
                <w:szCs w:val="18"/>
              </w:rPr>
            </w:pPr>
            <w:proofErr w:type="spellStart"/>
            <w:r w:rsidRPr="00316249">
              <w:rPr>
                <w:i/>
                <w:color w:val="000000"/>
                <w:sz w:val="18"/>
                <w:szCs w:val="18"/>
              </w:rPr>
              <w:t>Winklevoss</w:t>
            </w:r>
            <w:proofErr w:type="spellEnd"/>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i/>
                <w:color w:val="000000"/>
                <w:sz w:val="18"/>
                <w:szCs w:val="18"/>
              </w:rPr>
            </w:pPr>
            <w:proofErr w:type="spellStart"/>
            <w:r w:rsidRPr="00316249">
              <w:rPr>
                <w:i/>
                <w:color w:val="000000"/>
                <w:sz w:val="18"/>
                <w:szCs w:val="18"/>
              </w:rPr>
              <w:t>Winklevoss</w:t>
            </w:r>
            <w:proofErr w:type="spellEnd"/>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Tábua de Entrada em Invalidez</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Álvaro Vindas</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Álvaro Vindas</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Tábua de Morbidez</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Não Usada</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color w:val="000000"/>
                <w:sz w:val="18"/>
                <w:szCs w:val="18"/>
              </w:rPr>
            </w:pPr>
            <w:r w:rsidRPr="00316249">
              <w:rPr>
                <w:color w:val="000000"/>
                <w:sz w:val="18"/>
                <w:szCs w:val="18"/>
              </w:rPr>
              <w:t>Não Usada</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Idade de Aposentadoria</w:t>
            </w:r>
          </w:p>
        </w:tc>
        <w:tc>
          <w:tcPr>
            <w:tcW w:w="1256" w:type="pct"/>
            <w:gridSpan w:val="2"/>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Primeira aposentadoria, considerando-se as elegibilidades do regulamento do plano.</w:t>
            </w:r>
          </w:p>
        </w:tc>
        <w:tc>
          <w:tcPr>
            <w:tcW w:w="1168" w:type="pct"/>
            <w:gridSpan w:val="2"/>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Primeira aposentadoria, considerando-se as elegibilidades do regulamento do plano.</w:t>
            </w:r>
          </w:p>
        </w:tc>
      </w:tr>
      <w:tr w:rsidR="00E9008A" w:rsidRPr="00316249" w:rsidTr="005B7D01">
        <w:trPr>
          <w:trHeight w:val="238"/>
        </w:trPr>
        <w:tc>
          <w:tcPr>
            <w:tcW w:w="2576" w:type="pct"/>
            <w:tcBorders>
              <w:top w:val="nil"/>
              <w:left w:val="single" w:sz="4" w:space="0" w:color="auto"/>
              <w:bottom w:val="single" w:sz="4" w:space="0" w:color="auto"/>
              <w:right w:val="nil"/>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Composição Familiar para Cálculo de Pensão e Reversão</w:t>
            </w:r>
          </w:p>
        </w:tc>
        <w:tc>
          <w:tcPr>
            <w:tcW w:w="628" w:type="pct"/>
            <w:tcBorders>
              <w:top w:val="nil"/>
              <w:left w:val="nil"/>
              <w:bottom w:val="single" w:sz="4" w:space="0" w:color="auto"/>
              <w:right w:val="nil"/>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628" w:type="pct"/>
            <w:tcBorders>
              <w:top w:val="nil"/>
              <w:left w:val="nil"/>
              <w:bottom w:val="single" w:sz="4" w:space="0" w:color="auto"/>
              <w:right w:val="nil"/>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4" w:type="pct"/>
            <w:tcBorders>
              <w:top w:val="nil"/>
              <w:left w:val="nil"/>
              <w:bottom w:val="single" w:sz="4" w:space="0" w:color="auto"/>
              <w:right w:val="nil"/>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Ativos</w:t>
            </w:r>
          </w:p>
        </w:tc>
        <w:tc>
          <w:tcPr>
            <w:tcW w:w="1256" w:type="pct"/>
            <w:gridSpan w:val="2"/>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90% casados com cônjuge feminino 4 anos mais jovem.</w:t>
            </w:r>
          </w:p>
        </w:tc>
        <w:tc>
          <w:tcPr>
            <w:tcW w:w="584" w:type="pct"/>
            <w:tcBorders>
              <w:top w:val="nil"/>
              <w:left w:val="nil"/>
              <w:bottom w:val="nil"/>
              <w:right w:val="nil"/>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4" w:type="pct"/>
            <w:tcBorders>
              <w:top w:val="nil"/>
              <w:left w:val="nil"/>
              <w:bottom w:val="nil"/>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r>
      <w:tr w:rsidR="00E9008A" w:rsidRPr="00316249" w:rsidTr="005B7D01">
        <w:trPr>
          <w:trHeight w:val="238"/>
        </w:trPr>
        <w:tc>
          <w:tcPr>
            <w:tcW w:w="257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Assistidos</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Família informada no cadastro.</w:t>
            </w:r>
          </w:p>
        </w:tc>
        <w:tc>
          <w:tcPr>
            <w:tcW w:w="584" w:type="pct"/>
            <w:tcBorders>
              <w:top w:val="nil"/>
              <w:left w:val="nil"/>
              <w:bottom w:val="single" w:sz="4" w:space="0" w:color="auto"/>
              <w:right w:val="nil"/>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000000" w:fill="D9D9D9"/>
            <w:noWrap/>
            <w:vAlign w:val="center"/>
            <w:hideMark/>
          </w:tcPr>
          <w:p w:rsidR="00E9008A" w:rsidRPr="00316249" w:rsidRDefault="00E9008A" w:rsidP="005B7D01">
            <w:pPr>
              <w:rPr>
                <w:color w:val="000000"/>
                <w:sz w:val="18"/>
                <w:szCs w:val="18"/>
              </w:rPr>
            </w:pPr>
            <w:r w:rsidRPr="00316249">
              <w:rPr>
                <w:color w:val="000000"/>
                <w:sz w:val="18"/>
                <w:szCs w:val="18"/>
              </w:rPr>
              <w:t> </w:t>
            </w:r>
          </w:p>
        </w:tc>
      </w:tr>
    </w:tbl>
    <w:p w:rsidR="00E9008A" w:rsidRPr="00316249" w:rsidRDefault="00E9008A" w:rsidP="00E9008A">
      <w:pPr>
        <w:rPr>
          <w:color w:val="000000"/>
        </w:rPr>
      </w:pPr>
    </w:p>
    <w:tbl>
      <w:tblPr>
        <w:tblW w:w="5000" w:type="pct"/>
        <w:tblCellMar>
          <w:left w:w="70" w:type="dxa"/>
          <w:right w:w="70" w:type="dxa"/>
        </w:tblCellMar>
        <w:tblLook w:val="04A0" w:firstRow="1" w:lastRow="0" w:firstColumn="1" w:lastColumn="0" w:noHBand="0" w:noVBand="1"/>
      </w:tblPr>
      <w:tblGrid>
        <w:gridCol w:w="4909"/>
        <w:gridCol w:w="1076"/>
        <w:gridCol w:w="1076"/>
        <w:gridCol w:w="1076"/>
        <w:gridCol w:w="1074"/>
      </w:tblGrid>
      <w:tr w:rsidR="00E9008A" w:rsidRPr="00316249" w:rsidTr="005B7D01">
        <w:trPr>
          <w:trHeight w:val="238"/>
        </w:trPr>
        <w:tc>
          <w:tcPr>
            <w:tcW w:w="266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color w:val="000000"/>
                <w:sz w:val="18"/>
                <w:szCs w:val="18"/>
              </w:rPr>
            </w:pPr>
            <w:r w:rsidRPr="00316249">
              <w:rPr>
                <w:color w:val="000000"/>
                <w:sz w:val="18"/>
                <w:szCs w:val="18"/>
              </w:rPr>
              <w:t>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Previdenciário</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Plano Assistencial</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Comparativo Evidenciando Retorno Esperado e o Retorno Real dos Ativos do Plano</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665"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Taxa Nominal de Rendimento Esperada Sobre os Ativos do Plano</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11,01%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13,28%</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N/A</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N/A</w:t>
            </w:r>
          </w:p>
        </w:tc>
      </w:tr>
    </w:tbl>
    <w:p w:rsidR="00E9008A" w:rsidRPr="001E7EF1" w:rsidRDefault="00E9008A" w:rsidP="001E7EF1">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1E7EF1">
        <w:rPr>
          <w:rFonts w:ascii="Times New Roman" w:eastAsia="Arial Unicode MS" w:hAnsi="Times New Roman" w:cs="Times New Roman"/>
          <w:b/>
          <w:bCs/>
          <w:iCs/>
          <w:lang w:val="pt-BR"/>
        </w:rPr>
        <w:t xml:space="preserve">Contrato de Dívida Atuarial </w:t>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 xml:space="preserve">Em 27 de dezembro de 2001, a Companhia Energética de Brasília – CEB, na qualidade de patrocinadora da Fundação de Previdência dos Empregados da CEB – FACEB, assinou contrato de parcelamento de contribuição suplementar para com essa Fundação, oriundo dos compromissos </w:t>
      </w:r>
      <w:r w:rsidRPr="00316249">
        <w:rPr>
          <w:snapToGrid w:val="0"/>
          <w:szCs w:val="22"/>
        </w:rPr>
        <w:lastRenderedPageBreak/>
        <w:t xml:space="preserve">especiais assumidos em 1993. Com a </w:t>
      </w:r>
      <w:proofErr w:type="spellStart"/>
      <w:r w:rsidRPr="00316249">
        <w:rPr>
          <w:snapToGrid w:val="0"/>
          <w:szCs w:val="22"/>
        </w:rPr>
        <w:t>desverticalização</w:t>
      </w:r>
      <w:proofErr w:type="spellEnd"/>
      <w:r w:rsidRPr="00316249">
        <w:rPr>
          <w:snapToGrid w:val="0"/>
          <w:szCs w:val="22"/>
        </w:rPr>
        <w:t xml:space="preserve"> ocorrida em janeiro de 2006, a CEB Distribuição S.A. assumiu a dívida relativa a esse contrato.</w:t>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 xml:space="preserve">Esses compromissos decorrem das alterações ocorridas quando da implantação do Plano Complementar de Benefícios Previdenciários (aprovado pela Secretaria de Previdência Complementar em 1992), principalmente de verbas salariais introduzidas nas remunerações dos empregados da Companhia e que passaram, desde então, a compor os salários de participação da FACEB, tais como: adicionais de periculosidade e </w:t>
      </w:r>
      <w:proofErr w:type="spellStart"/>
      <w:r w:rsidRPr="00316249">
        <w:rPr>
          <w:snapToGrid w:val="0"/>
          <w:szCs w:val="22"/>
        </w:rPr>
        <w:t>penosidade</w:t>
      </w:r>
      <w:proofErr w:type="spellEnd"/>
      <w:r w:rsidRPr="00316249">
        <w:rPr>
          <w:snapToGrid w:val="0"/>
          <w:szCs w:val="22"/>
        </w:rPr>
        <w:t>; décimo quarto salário; e participação nos lucros. Até aquele ano, as reservas correspondentes às citadas rubricas eram amortizadas pela CEB por meio do pagamento à FACEB de parcelas mensais extraordinárias ou quitação anual por período. Essa contribuição foi denominada “suplementar”, pois é uma contribuição adicional além da contribuição normal, e foi decorrente do custo do serviço passado dos empregados.</w:t>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As características dessa contratação foram incluídas no Regulamento do Plano, conforme descreve-se: encargos financeiros de 6% ao ano; correção monetária igual à variação INPC, capitalizada mensalmente; e prazo de amortização de 180 meses sucessivos.</w:t>
      </w:r>
    </w:p>
    <w:p w:rsidR="00DC1756" w:rsidRPr="00DC1756" w:rsidRDefault="00DC1756" w:rsidP="00DC1756">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E9008A" w:rsidRPr="00DC1756" w:rsidRDefault="00E9008A" w:rsidP="00DC1756">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DC1756">
        <w:rPr>
          <w:b/>
        </w:rPr>
        <w:t>Contrato de parcelamento do saldo devedor</w:t>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Em abril de 2015, a CEB Distribuição S.A. e a FACEB celebraram acordo através de Contrato de Parcelamento de Contribuição Suplementar, correspondente ao saldo devedor remanescente em 1º de abril de 2015, no valor de R$ 28.897, do contrato de dívida atuarial assinado em 27 de dezembro de 2001. Neste contrato de parcelamento, não foi contemplado o valor da variação monetária no montante de R$ 12.722, ou seja, na celebração da avença, o valor que deveria ser parcelado seria de R$ 41.619. A CEB Distribuição S.A. já está realizando tratativas no sentido da alteração do contrato, para que o valor da diferença seja considerado no acordo.</w:t>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No contrato celebrado no valor de R$ 28.897, ficou pactuado que o saldo remanescente terá um período de carência de 15 meses e que neste período, incidirão juros equivalentes a 6% ao ano capitalizado mensalmente, bem como correção monetária calculada de acordo com a variação do INPC, ou índice que vier a substituí-lo. Ao fim do período de carência, o saldo devedor apurado em 1º de abril de 2015, devidamente atualizado e acrescido dos encargos previstos, será pago em 13 parcelas mensais e sucessivas, vencendo a primeira em 31 de dezembro de 2016.</w:t>
      </w:r>
    </w:p>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As movimentações da dívida atuarial ocorreram conforme quadro a seguir:</w:t>
      </w:r>
    </w:p>
    <w:tbl>
      <w:tblPr>
        <w:tblW w:w="5000" w:type="pct"/>
        <w:tblCellMar>
          <w:left w:w="70" w:type="dxa"/>
          <w:right w:w="70" w:type="dxa"/>
        </w:tblCellMar>
        <w:tblLook w:val="04A0" w:firstRow="1" w:lastRow="0" w:firstColumn="1" w:lastColumn="0" w:noHBand="0" w:noVBand="1"/>
      </w:tblPr>
      <w:tblGrid>
        <w:gridCol w:w="4985"/>
        <w:gridCol w:w="1629"/>
        <w:gridCol w:w="1315"/>
        <w:gridCol w:w="1282"/>
      </w:tblGrid>
      <w:tr w:rsidR="00E9008A" w:rsidRPr="00316249" w:rsidTr="005B7D01">
        <w:trPr>
          <w:trHeight w:val="238"/>
          <w:tblHeader/>
        </w:trPr>
        <w:tc>
          <w:tcPr>
            <w:tcW w:w="27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Circulante</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Não Circulante</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Total</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Saldo em 31 de dezembro 2014 </w:t>
            </w:r>
          </w:p>
        </w:tc>
        <w:tc>
          <w:tcPr>
            <w:tcW w:w="8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31.368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17.869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49.237 </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Amortização no Exercício</w:t>
            </w:r>
          </w:p>
        </w:tc>
        <w:tc>
          <w:tcPr>
            <w:tcW w:w="8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(15.221)</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(15.221)</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Atualização no Exercício</w:t>
            </w:r>
          </w:p>
        </w:tc>
        <w:tc>
          <w:tcPr>
            <w:tcW w:w="8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8.671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603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9.274 </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Transferências Para o Circulante </w:t>
            </w:r>
          </w:p>
        </w:tc>
        <w:tc>
          <w:tcPr>
            <w:tcW w:w="8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2.558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(2.558)</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Passivo em 31 de dezembro de 2015</w:t>
            </w:r>
          </w:p>
        </w:tc>
        <w:tc>
          <w:tcPr>
            <w:tcW w:w="8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27.376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15.914 </w:t>
            </w:r>
          </w:p>
        </w:tc>
        <w:tc>
          <w:tcPr>
            <w:tcW w:w="70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43.290 </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Amortização no Exercício</w:t>
            </w:r>
          </w:p>
        </w:tc>
        <w:tc>
          <w:tcPr>
            <w:tcW w:w="8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(14.334)</w:t>
            </w: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(14.334)</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Reversão de Encargos</w:t>
            </w:r>
          </w:p>
        </w:tc>
        <w:tc>
          <w:tcPr>
            <w:tcW w:w="8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(10.322)</w:t>
            </w: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(10.322)</w:t>
            </w: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Atualização no Exercício</w:t>
            </w:r>
          </w:p>
        </w:tc>
        <w:tc>
          <w:tcPr>
            <w:tcW w:w="8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lastRenderedPageBreak/>
              <w:t xml:space="preserve">Transferências Para o Circulante </w:t>
            </w:r>
          </w:p>
        </w:tc>
        <w:tc>
          <w:tcPr>
            <w:tcW w:w="8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15.914</w:t>
            </w: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(15.914)</w:t>
            </w: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271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Passivo em 31 de dezembro de 2016</w:t>
            </w:r>
          </w:p>
        </w:tc>
        <w:tc>
          <w:tcPr>
            <w:tcW w:w="8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18.633</w:t>
            </w: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70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18.633</w:t>
            </w:r>
          </w:p>
        </w:tc>
      </w:tr>
    </w:tbl>
    <w:p w:rsidR="00E9008A" w:rsidRPr="00316249" w:rsidRDefault="00E9008A" w:rsidP="00E9008A">
      <w:pPr>
        <w:pStyle w:val="AsteriscoMarcador2"/>
        <w:spacing w:before="240" w:line="276" w:lineRule="auto"/>
        <w:ind w:firstLine="0"/>
        <w:jc w:val="both"/>
        <w:rPr>
          <w:snapToGrid w:val="0"/>
          <w:szCs w:val="22"/>
        </w:rPr>
      </w:pPr>
      <w:r w:rsidRPr="00316249">
        <w:rPr>
          <w:snapToGrid w:val="0"/>
          <w:szCs w:val="22"/>
        </w:rPr>
        <w:t>Valores calculados em conformidade com as disposições da Lei Complementar n° 109/2001 e Resolução CGPC n° 26/2008, observando-se as contribuições atuais e futuras, de patrocinadoras e participantes, inclusive assistidos, de acordo com as regras estabelecidas no Plano de Custeio vigente.</w:t>
      </w:r>
    </w:p>
    <w:p w:rsidR="007F7D85" w:rsidRDefault="007F7D85">
      <w:pPr>
        <w:rPr>
          <w:color w:val="000000"/>
          <w:sz w:val="22"/>
          <w:szCs w:val="22"/>
        </w:rPr>
      </w:pPr>
      <w:r>
        <w:rPr>
          <w:color w:val="000000"/>
          <w:sz w:val="22"/>
          <w:szCs w:val="22"/>
        </w:rPr>
        <w:br w:type="page"/>
      </w:r>
    </w:p>
    <w:p w:rsidR="00E9008A" w:rsidRPr="00316249" w:rsidRDefault="00E9008A" w:rsidP="00E9008A">
      <w:pPr>
        <w:spacing w:before="240" w:after="240"/>
        <w:ind w:right="1700"/>
        <w:jc w:val="both"/>
        <w:rPr>
          <w:color w:val="000000"/>
          <w:sz w:val="22"/>
          <w:szCs w:val="22"/>
        </w:rPr>
      </w:pPr>
      <w:r w:rsidRPr="00316249">
        <w:rPr>
          <w:color w:val="000000"/>
          <w:sz w:val="22"/>
          <w:szCs w:val="22"/>
        </w:rPr>
        <w:lastRenderedPageBreak/>
        <w:t>A composição do passivo é a seguinte:</w:t>
      </w:r>
    </w:p>
    <w:tbl>
      <w:tblPr>
        <w:tblW w:w="5000" w:type="pct"/>
        <w:tblCellMar>
          <w:left w:w="70" w:type="dxa"/>
          <w:right w:w="70" w:type="dxa"/>
        </w:tblCellMar>
        <w:tblLook w:val="04A0" w:firstRow="1" w:lastRow="0" w:firstColumn="1" w:lastColumn="0" w:noHBand="0" w:noVBand="1"/>
      </w:tblPr>
      <w:tblGrid>
        <w:gridCol w:w="6667"/>
        <w:gridCol w:w="1273"/>
        <w:gridCol w:w="1271"/>
      </w:tblGrid>
      <w:tr w:rsidR="00E9008A" w:rsidRPr="00316249" w:rsidTr="005B7D01">
        <w:trPr>
          <w:trHeight w:val="240"/>
        </w:trPr>
        <w:tc>
          <w:tcPr>
            <w:tcW w:w="361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1E7066" w:rsidRDefault="00E9008A" w:rsidP="005B7D01">
            <w:pPr>
              <w:rPr>
                <w:b/>
                <w:color w:val="000000"/>
                <w:sz w:val="18"/>
                <w:szCs w:val="18"/>
              </w:rPr>
            </w:pPr>
            <w:r w:rsidRPr="001E7066">
              <w:rPr>
                <w:b/>
                <w:color w:val="000000"/>
                <w:sz w:val="18"/>
                <w:szCs w:val="18"/>
              </w:rPr>
              <w:t>Previdenciário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1E7066" w:rsidRDefault="00E9008A" w:rsidP="005B7D01">
            <w:pPr>
              <w:rPr>
                <w:color w:val="000000"/>
                <w:sz w:val="18"/>
                <w:szCs w:val="18"/>
              </w:rPr>
            </w:pPr>
            <w:r w:rsidRPr="001E7066">
              <w:rPr>
                <w:color w:val="000000"/>
                <w:sz w:val="18"/>
                <w:szCs w:val="18"/>
              </w:rPr>
              <w:t>Contribuições Para o Plano</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1.840</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1.323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Contrato de Dívida</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18.633</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43.290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Cs/>
                <w:color w:val="000000"/>
                <w:sz w:val="18"/>
                <w:szCs w:val="18"/>
              </w:rPr>
            </w:pPr>
            <w:r w:rsidRPr="00316249">
              <w:rPr>
                <w:bCs/>
                <w:color w:val="000000"/>
                <w:sz w:val="18"/>
                <w:szCs w:val="18"/>
              </w:rPr>
              <w:t>Provisão Atuarial Previdência</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59.101</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Assistencial</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Cs/>
                <w:color w:val="000000"/>
                <w:sz w:val="18"/>
                <w:szCs w:val="18"/>
              </w:rPr>
              <w:t>Provisão Atuarial Assistencial</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9.775</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color w:val="000000"/>
              </w:rPr>
              <w:t xml:space="preserve">         46.478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89.353</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rPr>
              <w:t xml:space="preserve">       91.091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30.252</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color w:val="000000"/>
              </w:rPr>
              <w:t xml:space="preserve">         69.465 </w:t>
            </w:r>
          </w:p>
        </w:tc>
      </w:tr>
      <w:tr w:rsidR="00E9008A" w:rsidRPr="00316249" w:rsidTr="005B7D01">
        <w:trPr>
          <w:trHeight w:val="240"/>
        </w:trPr>
        <w:tc>
          <w:tcPr>
            <w:tcW w:w="361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69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59.101</w:t>
            </w:r>
          </w:p>
        </w:tc>
        <w:tc>
          <w:tcPr>
            <w:tcW w:w="690"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color w:val="000000"/>
              </w:rPr>
              <w:t xml:space="preserve">         21.626 </w:t>
            </w:r>
          </w:p>
        </w:tc>
      </w:tr>
    </w:tbl>
    <w:p w:rsidR="00E9008A" w:rsidRDefault="00E9008A" w:rsidP="00E9008A">
      <w:pPr>
        <w:pStyle w:val="Recuodecorpodetexto3"/>
        <w:tabs>
          <w:tab w:val="left" w:pos="9923"/>
        </w:tabs>
        <w:spacing w:before="240" w:after="240" w:line="240" w:lineRule="auto"/>
        <w:ind w:right="144" w:firstLine="0"/>
        <w:rPr>
          <w:rFonts w:ascii="Times New Roman" w:hAnsi="Times New Roman" w:cs="Times New Roman"/>
          <w:snapToGrid w:val="0"/>
          <w:sz w:val="22"/>
          <w:szCs w:val="22"/>
        </w:rPr>
      </w:pPr>
      <w:r w:rsidRPr="00316249">
        <w:rPr>
          <w:rFonts w:ascii="Times New Roman" w:hAnsi="Times New Roman" w:cs="Times New Roman"/>
          <w:snapToGrid w:val="0"/>
          <w:sz w:val="22"/>
          <w:szCs w:val="22"/>
        </w:rPr>
        <w:t>Para o cálculo do passivo a ser registrado, foram consideradas já no resultado, as contribuições a pagar. Dessa forma, o valor restante já se encontra contabilizado por meio do Contrato de Equacionamento de Déficit pactua</w:t>
      </w:r>
      <w:r>
        <w:rPr>
          <w:rFonts w:ascii="Times New Roman" w:hAnsi="Times New Roman" w:cs="Times New Roman"/>
          <w:snapToGrid w:val="0"/>
          <w:sz w:val="22"/>
          <w:szCs w:val="22"/>
        </w:rPr>
        <w:t>do entre a Companhia e a FACEB.</w:t>
      </w:r>
    </w:p>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t>PROVISÕES PARA RISCOS TRIBUTÁRIOS, CÍVEIS, TRABALHISTAS E REGULATÓRIOS</w:t>
      </w:r>
    </w:p>
    <w:p w:rsidR="00E9008A" w:rsidRDefault="00E9008A" w:rsidP="00E9008A">
      <w:pPr>
        <w:spacing w:before="240" w:after="240"/>
        <w:rPr>
          <w:sz w:val="22"/>
          <w:szCs w:val="22"/>
        </w:rPr>
      </w:pPr>
      <w:r w:rsidRPr="00316249">
        <w:rPr>
          <w:sz w:val="22"/>
          <w:szCs w:val="22"/>
        </w:rPr>
        <w:t>Os processos judiciais provisionados e não provisionados, são apresentados a seguir:</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Provisões Para Riscos Tributários, Cíveis, Trabalhistas e Regulatórios Provisionados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 Companhia e suas controladas possuem processos judiciais e administrativos de natureza trabalhista, cível, fiscal e regulatório. A Administração reavalia os riscos de contingências relacionados a esses processos e, baseada na opinião de seus procuradores jurídicos, constitui provisão para as causas cujas expectativas de perda são consideradas prováveis.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9"/>
        <w:gridCol w:w="1358"/>
        <w:gridCol w:w="1358"/>
        <w:gridCol w:w="1358"/>
        <w:gridCol w:w="1348"/>
      </w:tblGrid>
      <w:tr w:rsidR="00E9008A" w:rsidRPr="00316249" w:rsidTr="005B7D01">
        <w:trPr>
          <w:trHeight w:val="238"/>
          <w:tblHeader/>
        </w:trPr>
        <w:tc>
          <w:tcPr>
            <w:tcW w:w="2057" w:type="pct"/>
            <w:vMerge w:val="restart"/>
            <w:shd w:val="clear" w:color="000000" w:fill="D9D9D9"/>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w:t>
            </w:r>
          </w:p>
        </w:tc>
        <w:tc>
          <w:tcPr>
            <w:tcW w:w="1474"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470"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057" w:type="pct"/>
            <w:vMerge/>
            <w:vAlign w:val="center"/>
            <w:hideMark/>
          </w:tcPr>
          <w:p w:rsidR="00E9008A" w:rsidRPr="00316249" w:rsidRDefault="00E9008A" w:rsidP="005B7D01">
            <w:pPr>
              <w:rPr>
                <w:b/>
                <w:bCs/>
                <w:color w:val="000000"/>
                <w:sz w:val="18"/>
                <w:szCs w:val="18"/>
              </w:rPr>
            </w:pPr>
          </w:p>
        </w:tc>
        <w:tc>
          <w:tcPr>
            <w:tcW w:w="73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3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73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33"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057"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Regulatórias</w:t>
            </w:r>
          </w:p>
        </w:tc>
        <w:tc>
          <w:tcPr>
            <w:tcW w:w="73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73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3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53.865 </w:t>
            </w:r>
          </w:p>
        </w:tc>
        <w:tc>
          <w:tcPr>
            <w:tcW w:w="73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53.024 </w:t>
            </w:r>
          </w:p>
        </w:tc>
      </w:tr>
      <w:tr w:rsidR="00E9008A" w:rsidRPr="00316249" w:rsidTr="005B7D01">
        <w:trPr>
          <w:trHeight w:val="238"/>
        </w:trPr>
        <w:tc>
          <w:tcPr>
            <w:tcW w:w="2057"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Trabalhistas</w:t>
            </w:r>
          </w:p>
        </w:tc>
        <w:tc>
          <w:tcPr>
            <w:tcW w:w="73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737" w:type="pct"/>
            <w:shd w:val="clear" w:color="auto" w:fill="auto"/>
            <w:noWrap/>
            <w:vAlign w:val="center"/>
            <w:hideMark/>
          </w:tcPr>
          <w:p w:rsidR="00E9008A" w:rsidRPr="00316249" w:rsidRDefault="00E9008A" w:rsidP="005B7D01">
            <w:pPr>
              <w:jc w:val="right"/>
              <w:rPr>
                <w:color w:val="000000"/>
                <w:sz w:val="18"/>
                <w:szCs w:val="18"/>
              </w:rPr>
            </w:pPr>
          </w:p>
        </w:tc>
        <w:tc>
          <w:tcPr>
            <w:tcW w:w="73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4.276 </w:t>
            </w:r>
          </w:p>
        </w:tc>
        <w:tc>
          <w:tcPr>
            <w:tcW w:w="73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9.048 </w:t>
            </w:r>
          </w:p>
        </w:tc>
      </w:tr>
      <w:tr w:rsidR="00E9008A" w:rsidRPr="00316249" w:rsidTr="005B7D01">
        <w:trPr>
          <w:trHeight w:val="238"/>
        </w:trPr>
        <w:tc>
          <w:tcPr>
            <w:tcW w:w="2057"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Fiscais</w:t>
            </w:r>
          </w:p>
        </w:tc>
        <w:tc>
          <w:tcPr>
            <w:tcW w:w="73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10.827</w:t>
            </w:r>
          </w:p>
        </w:tc>
        <w:tc>
          <w:tcPr>
            <w:tcW w:w="73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8.356 </w:t>
            </w:r>
          </w:p>
        </w:tc>
        <w:tc>
          <w:tcPr>
            <w:tcW w:w="73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10.827 </w:t>
            </w:r>
          </w:p>
        </w:tc>
        <w:tc>
          <w:tcPr>
            <w:tcW w:w="73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8.356 </w:t>
            </w:r>
          </w:p>
        </w:tc>
      </w:tr>
      <w:tr w:rsidR="00E9008A" w:rsidRPr="00316249" w:rsidTr="005B7D01">
        <w:trPr>
          <w:trHeight w:val="238"/>
        </w:trPr>
        <w:tc>
          <w:tcPr>
            <w:tcW w:w="2057"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Cíveis</w:t>
            </w:r>
          </w:p>
        </w:tc>
        <w:tc>
          <w:tcPr>
            <w:tcW w:w="737" w:type="pct"/>
            <w:shd w:val="clear" w:color="auto" w:fill="auto"/>
            <w:noWrap/>
            <w:vAlign w:val="center"/>
          </w:tcPr>
          <w:p w:rsidR="00E9008A" w:rsidRPr="00316249" w:rsidRDefault="00E9008A" w:rsidP="005B7D01">
            <w:pPr>
              <w:jc w:val="right"/>
              <w:rPr>
                <w:color w:val="000000"/>
                <w:sz w:val="18"/>
                <w:szCs w:val="18"/>
              </w:rPr>
            </w:pPr>
          </w:p>
        </w:tc>
        <w:tc>
          <w:tcPr>
            <w:tcW w:w="73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3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3.449 </w:t>
            </w:r>
          </w:p>
        </w:tc>
        <w:tc>
          <w:tcPr>
            <w:tcW w:w="733"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8.139 </w:t>
            </w:r>
          </w:p>
        </w:tc>
      </w:tr>
      <w:tr w:rsidR="00E9008A" w:rsidRPr="00316249" w:rsidTr="005B7D01">
        <w:trPr>
          <w:trHeight w:val="238"/>
        </w:trPr>
        <w:tc>
          <w:tcPr>
            <w:tcW w:w="2057"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3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10.827</w:t>
            </w:r>
          </w:p>
        </w:tc>
        <w:tc>
          <w:tcPr>
            <w:tcW w:w="737"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8.356 </w:t>
            </w:r>
          </w:p>
        </w:tc>
        <w:tc>
          <w:tcPr>
            <w:tcW w:w="73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72.417 </w:t>
            </w:r>
          </w:p>
        </w:tc>
        <w:tc>
          <w:tcPr>
            <w:tcW w:w="733"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78.567 </w:t>
            </w:r>
          </w:p>
        </w:tc>
      </w:tr>
      <w:tr w:rsidR="00E9008A" w:rsidRPr="00316249" w:rsidTr="005B7D01">
        <w:trPr>
          <w:trHeight w:val="238"/>
        </w:trPr>
        <w:tc>
          <w:tcPr>
            <w:tcW w:w="2057"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737" w:type="pct"/>
            <w:shd w:val="clear" w:color="auto" w:fill="auto"/>
            <w:noWrap/>
            <w:vAlign w:val="center"/>
          </w:tcPr>
          <w:p w:rsidR="00E9008A" w:rsidRPr="00316249" w:rsidRDefault="00E9008A" w:rsidP="005B7D01">
            <w:pPr>
              <w:jc w:val="right"/>
              <w:rPr>
                <w:b/>
                <w:bCs/>
                <w:color w:val="000000"/>
                <w:sz w:val="18"/>
                <w:szCs w:val="18"/>
              </w:rPr>
            </w:pPr>
          </w:p>
        </w:tc>
        <w:tc>
          <w:tcPr>
            <w:tcW w:w="737"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73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3.905 </w:t>
            </w:r>
          </w:p>
        </w:tc>
        <w:tc>
          <w:tcPr>
            <w:tcW w:w="733"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9.168 </w:t>
            </w:r>
          </w:p>
        </w:tc>
      </w:tr>
      <w:tr w:rsidR="00E9008A" w:rsidRPr="00316249" w:rsidTr="005B7D01">
        <w:trPr>
          <w:trHeight w:val="238"/>
        </w:trPr>
        <w:tc>
          <w:tcPr>
            <w:tcW w:w="2057"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73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10.827</w:t>
            </w:r>
          </w:p>
        </w:tc>
        <w:tc>
          <w:tcPr>
            <w:tcW w:w="737"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8.356 </w:t>
            </w:r>
          </w:p>
        </w:tc>
        <w:tc>
          <w:tcPr>
            <w:tcW w:w="73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68.512 </w:t>
            </w:r>
          </w:p>
        </w:tc>
        <w:tc>
          <w:tcPr>
            <w:tcW w:w="733"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69.399 </w:t>
            </w:r>
          </w:p>
        </w:tc>
      </w:tr>
    </w:tbl>
    <w:p w:rsidR="00DC1756" w:rsidRPr="00DC1756" w:rsidRDefault="00DC1756" w:rsidP="00DC1756">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DC1756" w:rsidRPr="00DC1756" w:rsidRDefault="00DC1756" w:rsidP="00DC1756">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7F7D85" w:rsidRDefault="007F7D85">
      <w:pPr>
        <w:rPr>
          <w:b/>
          <w:sz w:val="22"/>
          <w:szCs w:val="22"/>
          <w:lang w:eastAsia="en-US"/>
        </w:rPr>
      </w:pPr>
      <w:r>
        <w:rPr>
          <w:b/>
        </w:rPr>
        <w:br w:type="page"/>
      </w:r>
    </w:p>
    <w:p w:rsidR="00E9008A" w:rsidRPr="00DC1756" w:rsidRDefault="00E9008A" w:rsidP="00DC1756">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DC1756">
        <w:rPr>
          <w:b/>
        </w:rPr>
        <w:lastRenderedPageBreak/>
        <w:t>Movimentação das provisões para riscos tributários, cíveis, trabalhistas e regulatórios</w:t>
      </w:r>
    </w:p>
    <w:tbl>
      <w:tblPr>
        <w:tblW w:w="5000" w:type="pct"/>
        <w:tblCellMar>
          <w:left w:w="70" w:type="dxa"/>
          <w:right w:w="70" w:type="dxa"/>
        </w:tblCellMar>
        <w:tblLook w:val="04A0" w:firstRow="1" w:lastRow="0" w:firstColumn="1" w:lastColumn="0" w:noHBand="0" w:noVBand="1"/>
      </w:tblPr>
      <w:tblGrid>
        <w:gridCol w:w="5717"/>
        <w:gridCol w:w="1278"/>
        <w:gridCol w:w="1057"/>
        <w:gridCol w:w="1159"/>
      </w:tblGrid>
      <w:tr w:rsidR="00E9008A" w:rsidRPr="00316249" w:rsidTr="005B7D01">
        <w:trPr>
          <w:trHeight w:val="238"/>
          <w:tblHeader/>
        </w:trPr>
        <w:tc>
          <w:tcPr>
            <w:tcW w:w="310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1897" w:type="pct"/>
            <w:gridSpan w:val="3"/>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r>
      <w:tr w:rsidR="00E9008A" w:rsidRPr="00316249" w:rsidTr="005B7D01">
        <w:trPr>
          <w:trHeight w:val="238"/>
          <w:tblHeader/>
        </w:trPr>
        <w:tc>
          <w:tcPr>
            <w:tcW w:w="3103"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8"/>
                <w:szCs w:val="18"/>
              </w:rPr>
            </w:pPr>
          </w:p>
        </w:tc>
        <w:tc>
          <w:tcPr>
            <w:tcW w:w="69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Trabalhista</w:t>
            </w:r>
          </w:p>
        </w:tc>
        <w:tc>
          <w:tcPr>
            <w:tcW w:w="57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Fiscais</w:t>
            </w:r>
          </w:p>
        </w:tc>
        <w:tc>
          <w:tcPr>
            <w:tcW w:w="6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Total</w:t>
            </w: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2014</w:t>
            </w:r>
          </w:p>
        </w:tc>
        <w:tc>
          <w:tcPr>
            <w:tcW w:w="69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54 </w:t>
            </w:r>
          </w:p>
        </w:tc>
        <w:tc>
          <w:tcPr>
            <w:tcW w:w="57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8.251 </w:t>
            </w:r>
          </w:p>
        </w:tc>
        <w:tc>
          <w:tcPr>
            <w:tcW w:w="6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8.305 </w:t>
            </w: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Constituições de Provisão</w:t>
            </w:r>
          </w:p>
        </w:tc>
        <w:tc>
          <w:tcPr>
            <w:tcW w:w="69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bCs/>
                <w:color w:val="000000"/>
                <w:sz w:val="18"/>
                <w:szCs w:val="18"/>
              </w:rPr>
              <w:t xml:space="preserve">                  8 </w:t>
            </w:r>
          </w:p>
        </w:tc>
        <w:tc>
          <w:tcPr>
            <w:tcW w:w="57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bCs/>
                <w:color w:val="000000"/>
                <w:sz w:val="18"/>
                <w:szCs w:val="18"/>
              </w:rPr>
              <w:t> </w:t>
            </w:r>
          </w:p>
        </w:tc>
        <w:tc>
          <w:tcPr>
            <w:tcW w:w="6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bCs/>
                <w:color w:val="000000"/>
                <w:sz w:val="18"/>
                <w:szCs w:val="18"/>
              </w:rPr>
              <w:t xml:space="preserve">               8 </w:t>
            </w: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Pagamentos</w:t>
            </w:r>
          </w:p>
        </w:tc>
        <w:tc>
          <w:tcPr>
            <w:tcW w:w="69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(62)</w:t>
            </w:r>
          </w:p>
        </w:tc>
        <w:tc>
          <w:tcPr>
            <w:tcW w:w="57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6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(62)</w:t>
            </w: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Atualização Monetária</w:t>
            </w:r>
          </w:p>
        </w:tc>
        <w:tc>
          <w:tcPr>
            <w:tcW w:w="69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7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105 </w:t>
            </w:r>
          </w:p>
        </w:tc>
        <w:tc>
          <w:tcPr>
            <w:tcW w:w="6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105 </w:t>
            </w: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2015</w:t>
            </w:r>
          </w:p>
        </w:tc>
        <w:tc>
          <w:tcPr>
            <w:tcW w:w="69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w:t>
            </w:r>
          </w:p>
        </w:tc>
        <w:tc>
          <w:tcPr>
            <w:tcW w:w="57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8.356 </w:t>
            </w:r>
          </w:p>
        </w:tc>
        <w:tc>
          <w:tcPr>
            <w:tcW w:w="62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8.356 </w:t>
            </w: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Constituições de Provisão</w:t>
            </w:r>
          </w:p>
        </w:tc>
        <w:tc>
          <w:tcPr>
            <w:tcW w:w="69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7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2.471</w:t>
            </w:r>
          </w:p>
        </w:tc>
        <w:tc>
          <w:tcPr>
            <w:tcW w:w="6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2.471</w:t>
            </w: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Pagamentos</w:t>
            </w:r>
          </w:p>
        </w:tc>
        <w:tc>
          <w:tcPr>
            <w:tcW w:w="69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7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highlight w:val="yellow"/>
              </w:rPr>
            </w:pPr>
          </w:p>
        </w:tc>
        <w:tc>
          <w:tcPr>
            <w:tcW w:w="6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highlight w:val="yellow"/>
              </w:rPr>
            </w:pP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Atualização Monetária</w:t>
            </w:r>
          </w:p>
        </w:tc>
        <w:tc>
          <w:tcPr>
            <w:tcW w:w="69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7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highlight w:val="yellow"/>
              </w:rPr>
            </w:pPr>
          </w:p>
        </w:tc>
        <w:tc>
          <w:tcPr>
            <w:tcW w:w="6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highlight w:val="yellow"/>
              </w:rPr>
            </w:pPr>
          </w:p>
        </w:tc>
      </w:tr>
      <w:tr w:rsidR="00E9008A" w:rsidRPr="00316249" w:rsidTr="005B7D01">
        <w:trPr>
          <w:trHeight w:val="238"/>
        </w:trPr>
        <w:tc>
          <w:tcPr>
            <w:tcW w:w="3103"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Saldo em 31 de dezembro de 2016</w:t>
            </w:r>
          </w:p>
        </w:tc>
        <w:tc>
          <w:tcPr>
            <w:tcW w:w="69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57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10.827</w:t>
            </w:r>
          </w:p>
        </w:tc>
        <w:tc>
          <w:tcPr>
            <w:tcW w:w="62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10.827</w:t>
            </w:r>
          </w:p>
        </w:tc>
      </w:tr>
    </w:tbl>
    <w:p w:rsidR="00E9008A" w:rsidRPr="00316249" w:rsidRDefault="00E9008A" w:rsidP="00E9008A">
      <w:pPr>
        <w:rPr>
          <w:b/>
          <w:bCs/>
          <w:snapToGrid w:val="0"/>
          <w:sz w:val="22"/>
          <w:szCs w:val="22"/>
        </w:rPr>
      </w:pPr>
    </w:p>
    <w:tbl>
      <w:tblPr>
        <w:tblW w:w="5000" w:type="pct"/>
        <w:tblCellMar>
          <w:left w:w="70" w:type="dxa"/>
          <w:right w:w="70" w:type="dxa"/>
        </w:tblCellMar>
        <w:tblLook w:val="04A0" w:firstRow="1" w:lastRow="0" w:firstColumn="1" w:lastColumn="0" w:noHBand="0" w:noVBand="1"/>
      </w:tblPr>
      <w:tblGrid>
        <w:gridCol w:w="3349"/>
        <w:gridCol w:w="1227"/>
        <w:gridCol w:w="1227"/>
        <w:gridCol w:w="971"/>
        <w:gridCol w:w="1319"/>
        <w:gridCol w:w="1118"/>
      </w:tblGrid>
      <w:tr w:rsidR="00E9008A" w:rsidRPr="00316249" w:rsidTr="005B7D01">
        <w:trPr>
          <w:trHeight w:val="238"/>
          <w:tblHeader/>
        </w:trPr>
        <w:tc>
          <w:tcPr>
            <w:tcW w:w="181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color w:val="000000"/>
                <w:sz w:val="22"/>
                <w:szCs w:val="22"/>
              </w:rPr>
            </w:pPr>
            <w:r w:rsidRPr="00316249">
              <w:rPr>
                <w:color w:val="000000"/>
                <w:sz w:val="22"/>
                <w:szCs w:val="22"/>
              </w:rPr>
              <w:t> </w:t>
            </w:r>
          </w:p>
        </w:tc>
        <w:tc>
          <w:tcPr>
            <w:tcW w:w="3182" w:type="pct"/>
            <w:gridSpan w:val="5"/>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Consolidado </w:t>
            </w:r>
          </w:p>
        </w:tc>
      </w:tr>
      <w:tr w:rsidR="00E9008A" w:rsidRPr="00316249" w:rsidTr="005B7D01">
        <w:trPr>
          <w:trHeight w:val="238"/>
          <w:tblHeader/>
        </w:trPr>
        <w:tc>
          <w:tcPr>
            <w:tcW w:w="181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22"/>
                <w:szCs w:val="22"/>
              </w:rPr>
            </w:pP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Trabalhista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Cíveis </w:t>
            </w: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Fiscais </w:t>
            </w:r>
          </w:p>
        </w:tc>
        <w:tc>
          <w:tcPr>
            <w:tcW w:w="7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Regulatórias </w:t>
            </w:r>
          </w:p>
        </w:tc>
        <w:tc>
          <w:tcPr>
            <w:tcW w:w="60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Total </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2014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8.959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7.500 </w:t>
            </w: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8.251 </w:t>
            </w:r>
          </w:p>
        </w:tc>
        <w:tc>
          <w:tcPr>
            <w:tcW w:w="7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59.655 </w:t>
            </w:r>
          </w:p>
        </w:tc>
        <w:tc>
          <w:tcPr>
            <w:tcW w:w="60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84.365 </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Constituições de Provisão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3.295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2.484 </w:t>
            </w: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1.022 </w:t>
            </w:r>
          </w:p>
        </w:tc>
        <w:tc>
          <w:tcPr>
            <w:tcW w:w="60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6.801 </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Reversão de Provisão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(4.102)</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(2.319)</w:t>
            </w: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(14.495)</w:t>
            </w:r>
          </w:p>
        </w:tc>
        <w:tc>
          <w:tcPr>
            <w:tcW w:w="60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(20.916)</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Atualização Monetária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958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475 </w:t>
            </w: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105 </w:t>
            </w:r>
          </w:p>
        </w:tc>
        <w:tc>
          <w:tcPr>
            <w:tcW w:w="7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6.841 </w:t>
            </w:r>
          </w:p>
        </w:tc>
        <w:tc>
          <w:tcPr>
            <w:tcW w:w="60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8.379 </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Pagamento</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(62)</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0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(62)</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2015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9.048 </w:t>
            </w:r>
          </w:p>
        </w:tc>
        <w:tc>
          <w:tcPr>
            <w:tcW w:w="66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8.140 </w:t>
            </w:r>
          </w:p>
        </w:tc>
        <w:tc>
          <w:tcPr>
            <w:tcW w:w="52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8.356 </w:t>
            </w:r>
          </w:p>
        </w:tc>
        <w:tc>
          <w:tcPr>
            <w:tcW w:w="7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53.023 </w:t>
            </w:r>
          </w:p>
        </w:tc>
        <w:tc>
          <w:tcPr>
            <w:tcW w:w="60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78.567 </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Constituições de Provisão </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1.123</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5.569</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2.471</w:t>
            </w:r>
          </w:p>
        </w:tc>
        <w:tc>
          <w:tcPr>
            <w:tcW w:w="7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2.217</w:t>
            </w:r>
          </w:p>
        </w:tc>
        <w:tc>
          <w:tcPr>
            <w:tcW w:w="60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11.380</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Reversão de Provisão </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(6.229)</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(10.530)</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(7.226)</w:t>
            </w:r>
          </w:p>
        </w:tc>
        <w:tc>
          <w:tcPr>
            <w:tcW w:w="60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(23.985)</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Atualização Monetária </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334</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271</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5.851</w:t>
            </w:r>
          </w:p>
        </w:tc>
        <w:tc>
          <w:tcPr>
            <w:tcW w:w="60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6.456</w:t>
            </w: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Pagamento</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0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181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 Saldo em 31 de dezembro de 2016</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4.276</w:t>
            </w:r>
          </w:p>
        </w:tc>
        <w:tc>
          <w:tcPr>
            <w:tcW w:w="66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3.448</w:t>
            </w:r>
          </w:p>
        </w:tc>
        <w:tc>
          <w:tcPr>
            <w:tcW w:w="52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10.827</w:t>
            </w:r>
          </w:p>
        </w:tc>
        <w:tc>
          <w:tcPr>
            <w:tcW w:w="7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53.865</w:t>
            </w:r>
          </w:p>
        </w:tc>
        <w:tc>
          <w:tcPr>
            <w:tcW w:w="60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72.417</w:t>
            </w:r>
          </w:p>
        </w:tc>
      </w:tr>
    </w:tbl>
    <w:p w:rsidR="00E9008A" w:rsidRPr="00316249" w:rsidRDefault="00E9008A" w:rsidP="00E9008A">
      <w:pPr>
        <w:spacing w:before="240" w:after="240"/>
        <w:rPr>
          <w:b/>
          <w:bCs/>
          <w:snapToGrid w:val="0"/>
          <w:sz w:val="22"/>
          <w:szCs w:val="22"/>
        </w:rPr>
      </w:pPr>
      <w:r w:rsidRPr="00316249">
        <w:rPr>
          <w:b/>
          <w:bCs/>
          <w:snapToGrid w:val="0"/>
          <w:sz w:val="22"/>
          <w:szCs w:val="22"/>
        </w:rPr>
        <w:t>(i)</w:t>
      </w:r>
      <w:r w:rsidRPr="00316249">
        <w:rPr>
          <w:b/>
          <w:bCs/>
          <w:snapToGrid w:val="0"/>
          <w:sz w:val="22"/>
          <w:szCs w:val="22"/>
        </w:rPr>
        <w:tab/>
        <w:t>Demandas trabalhistas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Ações movidas por empregados e </w:t>
      </w:r>
      <w:proofErr w:type="spellStart"/>
      <w:r w:rsidRPr="00316249">
        <w:rPr>
          <w:rFonts w:ascii="Times New Roman" w:hAnsi="Times New Roman" w:cs="Times New Roman"/>
          <w:b w:val="0"/>
          <w:bCs w:val="0"/>
          <w:sz w:val="22"/>
          <w:szCs w:val="22"/>
        </w:rPr>
        <w:t>ex-empregados</w:t>
      </w:r>
      <w:proofErr w:type="spellEnd"/>
      <w:r w:rsidRPr="00316249">
        <w:rPr>
          <w:rFonts w:ascii="Times New Roman" w:hAnsi="Times New Roman" w:cs="Times New Roman"/>
          <w:b w:val="0"/>
          <w:bCs w:val="0"/>
          <w:sz w:val="22"/>
          <w:szCs w:val="22"/>
        </w:rPr>
        <w:t xml:space="preserve"> contra a Companhia e suas controladas, envolvendo cobrança de horas extras; adicionais de periculosidade; dano moral; e responsabilidade subsidiária/solidária de empregados de empresas contratadas para prestação de serviços terceirizados. A atualização das contingências trabalhistas é com base na Taxa Referencial (TR).</w:t>
      </w:r>
    </w:p>
    <w:p w:rsidR="00E9008A" w:rsidRPr="00316249" w:rsidRDefault="00E9008A" w:rsidP="00E9008A">
      <w:pPr>
        <w:spacing w:before="240" w:after="240"/>
        <w:rPr>
          <w:b/>
          <w:bCs/>
          <w:snapToGrid w:val="0"/>
          <w:sz w:val="22"/>
          <w:szCs w:val="22"/>
        </w:rPr>
      </w:pPr>
      <w:r w:rsidRPr="00316249">
        <w:rPr>
          <w:b/>
          <w:bCs/>
          <w:snapToGrid w:val="0"/>
          <w:sz w:val="22"/>
          <w:szCs w:val="22"/>
        </w:rPr>
        <w:t>(</w:t>
      </w:r>
      <w:proofErr w:type="spellStart"/>
      <w:r w:rsidRPr="00316249">
        <w:rPr>
          <w:b/>
          <w:bCs/>
          <w:snapToGrid w:val="0"/>
          <w:sz w:val="22"/>
          <w:szCs w:val="22"/>
        </w:rPr>
        <w:t>ii</w:t>
      </w:r>
      <w:proofErr w:type="spellEnd"/>
      <w:r w:rsidRPr="00316249">
        <w:rPr>
          <w:b/>
          <w:bCs/>
          <w:snapToGrid w:val="0"/>
          <w:sz w:val="22"/>
          <w:szCs w:val="22"/>
        </w:rPr>
        <w:t>)</w:t>
      </w:r>
      <w:r w:rsidRPr="00316249">
        <w:rPr>
          <w:b/>
          <w:bCs/>
          <w:snapToGrid w:val="0"/>
          <w:sz w:val="22"/>
          <w:szCs w:val="22"/>
        </w:rPr>
        <w:tab/>
        <w:t>Demandas cíveis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Ações pleiteando indenização por acidentes com a rede de distribuição de energia elétrica; danos morais; além de discussões quanto à relação de consumo, tais como cobrança e corte indevidos; corte por inadimplência; problemas na rede; e questionamentos de valores pagos por consumidores. A atualização das contingências cíveis é com base no INPC.</w:t>
      </w:r>
    </w:p>
    <w:p w:rsidR="00E9008A" w:rsidRPr="00316249" w:rsidRDefault="00E9008A" w:rsidP="00E9008A">
      <w:pPr>
        <w:spacing w:before="240" w:after="240"/>
        <w:rPr>
          <w:b/>
          <w:bCs/>
          <w:snapToGrid w:val="0"/>
          <w:szCs w:val="22"/>
        </w:rPr>
      </w:pPr>
      <w:r w:rsidRPr="00316249">
        <w:rPr>
          <w:b/>
          <w:bCs/>
          <w:snapToGrid w:val="0"/>
          <w:sz w:val="22"/>
          <w:szCs w:val="22"/>
        </w:rPr>
        <w:t>(</w:t>
      </w:r>
      <w:proofErr w:type="spellStart"/>
      <w:r w:rsidRPr="00316249">
        <w:rPr>
          <w:b/>
          <w:bCs/>
          <w:snapToGrid w:val="0"/>
          <w:sz w:val="22"/>
          <w:szCs w:val="22"/>
        </w:rPr>
        <w:t>iii</w:t>
      </w:r>
      <w:proofErr w:type="spellEnd"/>
      <w:r w:rsidRPr="00316249">
        <w:rPr>
          <w:b/>
          <w:bCs/>
          <w:snapToGrid w:val="0"/>
          <w:sz w:val="22"/>
          <w:szCs w:val="22"/>
        </w:rPr>
        <w:t>)</w:t>
      </w:r>
      <w:r w:rsidRPr="00316249">
        <w:rPr>
          <w:b/>
          <w:bCs/>
          <w:snapToGrid w:val="0"/>
          <w:sz w:val="22"/>
          <w:szCs w:val="22"/>
        </w:rPr>
        <w:tab/>
        <w:t>Demandas regulatórias</w:t>
      </w:r>
    </w:p>
    <w:p w:rsidR="00E9008A" w:rsidRPr="00316249" w:rsidRDefault="00E9008A" w:rsidP="00E9008A">
      <w:pPr>
        <w:pStyle w:val="PargrafodaLista"/>
        <w:spacing w:before="240" w:after="240"/>
        <w:ind w:left="0"/>
        <w:jc w:val="both"/>
        <w:rPr>
          <w:rFonts w:ascii="Times New Roman" w:hAnsi="Times New Roman" w:cs="Times New Roman"/>
          <w:lang w:val="pt-BR"/>
        </w:rPr>
      </w:pPr>
      <w:r w:rsidRPr="00316249">
        <w:rPr>
          <w:rFonts w:ascii="Times New Roman" w:hAnsi="Times New Roman" w:cs="Times New Roman"/>
          <w:lang w:val="pt-BR"/>
        </w:rPr>
        <w:t xml:space="preserve">A CEB D discute nas esferas administrativa e judicial autuações do Órgão Regulador sobre eventuais descumprimentos de normas regulatórias. As principais contingências regulatórias envolvem a não conformidade nos processos de fiscalização, tais como: ausência de anuência prévia para dação em garantia em empréstimos contraídos pela Companhia; investimentos em consórcio; extrapolação dos limites dos indicadores de qualidade do fornecimento de energia; falta de investimentos no sistema </w:t>
      </w:r>
      <w:r w:rsidRPr="00316249">
        <w:rPr>
          <w:rFonts w:ascii="Times New Roman" w:hAnsi="Times New Roman" w:cs="Times New Roman"/>
          <w:lang w:val="pt-BR"/>
        </w:rPr>
        <w:lastRenderedPageBreak/>
        <w:t>elétrico de distribuição; e fiscalização de procedimentos da atividade comercial. A atualização das provisões regulatórias é com base na taxa Selic.</w:t>
      </w:r>
    </w:p>
    <w:p w:rsidR="00E9008A" w:rsidRPr="00316249" w:rsidRDefault="00E9008A" w:rsidP="00E9008A">
      <w:pPr>
        <w:spacing w:before="240" w:after="240"/>
        <w:jc w:val="both"/>
        <w:rPr>
          <w:sz w:val="22"/>
          <w:szCs w:val="22"/>
        </w:rPr>
      </w:pPr>
      <w:r w:rsidRPr="00316249">
        <w:rPr>
          <w:sz w:val="22"/>
          <w:szCs w:val="22"/>
        </w:rPr>
        <w:t>A Administração da CEB D, consubstanciada na opinião de seus consultores legais quanto à possibilidade de êxito nas diversas demandas judiciais, entende que as provisões constituídas registradas no balanço são suficientes para cobrir prováveis perdas com tais causas.</w:t>
      </w:r>
    </w:p>
    <w:p w:rsidR="00E9008A" w:rsidRPr="00316249" w:rsidRDefault="00E9008A" w:rsidP="00E9008A">
      <w:pPr>
        <w:spacing w:before="240" w:after="240"/>
        <w:rPr>
          <w:b/>
          <w:bCs/>
          <w:snapToGrid w:val="0"/>
          <w:sz w:val="22"/>
          <w:szCs w:val="22"/>
        </w:rPr>
      </w:pPr>
      <w:r w:rsidRPr="00316249">
        <w:rPr>
          <w:b/>
          <w:bCs/>
          <w:snapToGrid w:val="0"/>
          <w:sz w:val="22"/>
          <w:szCs w:val="22"/>
        </w:rPr>
        <w:t>(</w:t>
      </w:r>
      <w:proofErr w:type="spellStart"/>
      <w:r w:rsidRPr="00316249">
        <w:rPr>
          <w:b/>
          <w:bCs/>
          <w:snapToGrid w:val="0"/>
          <w:sz w:val="22"/>
          <w:szCs w:val="22"/>
        </w:rPr>
        <w:t>iv</w:t>
      </w:r>
      <w:proofErr w:type="spellEnd"/>
      <w:r w:rsidRPr="00316249">
        <w:rPr>
          <w:b/>
          <w:bCs/>
          <w:snapToGrid w:val="0"/>
          <w:sz w:val="22"/>
          <w:szCs w:val="22"/>
        </w:rPr>
        <w:t>)</w:t>
      </w:r>
      <w:r w:rsidRPr="00316249">
        <w:rPr>
          <w:b/>
          <w:bCs/>
          <w:snapToGrid w:val="0"/>
          <w:sz w:val="22"/>
          <w:szCs w:val="22"/>
        </w:rPr>
        <w:tab/>
        <w:t>Demandas fiscais</w:t>
      </w:r>
    </w:p>
    <w:p w:rsidR="00E9008A" w:rsidRPr="00316249" w:rsidRDefault="00E9008A" w:rsidP="00E9008A">
      <w:pPr>
        <w:spacing w:before="240" w:after="240"/>
        <w:jc w:val="both"/>
      </w:pPr>
      <w:r w:rsidRPr="00316249">
        <w:rPr>
          <w:bCs/>
          <w:sz w:val="22"/>
          <w:szCs w:val="22"/>
        </w:rPr>
        <w:t>A Companhia é parte em processos administrativos e judiciais referentes às declarações de compensação não homologadas de tributos (PIS, COFINS, IRPJ, CSLL). A Companhia busca o reconhecimento do direito de compensação nas esferas administrativa e judicial. A representação judicial da Empresa foi avocada pela Procuradoria-Geral do Distrito Federal, em 2013.</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Passivo Contingente – Risco Possível</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Companhia e suas controladas possuem processos de natureza trabalhistas, cíveis e fiscais envolvendo riscos de perda classificados pela Administração como possíveis, com base na avaliação de seus assessores legais, para as quais não há provisão constituída. O</w:t>
      </w:r>
      <w:r>
        <w:rPr>
          <w:rFonts w:ascii="Times New Roman" w:hAnsi="Times New Roman" w:cs="Times New Roman"/>
          <w:b w:val="0"/>
          <w:bCs w:val="0"/>
          <w:sz w:val="22"/>
          <w:szCs w:val="22"/>
        </w:rPr>
        <w:t>s</w:t>
      </w:r>
      <w:r w:rsidRPr="00316249">
        <w:rPr>
          <w:rFonts w:ascii="Times New Roman" w:hAnsi="Times New Roman" w:cs="Times New Roman"/>
          <w:b w:val="0"/>
          <w:bCs w:val="0"/>
          <w:sz w:val="22"/>
          <w:szCs w:val="22"/>
        </w:rPr>
        <w:t xml:space="preserve"> montante</w:t>
      </w:r>
      <w:r>
        <w:rPr>
          <w:rFonts w:ascii="Times New Roman" w:hAnsi="Times New Roman" w:cs="Times New Roman"/>
          <w:b w:val="0"/>
          <w:bCs w:val="0"/>
          <w:sz w:val="22"/>
          <w:szCs w:val="22"/>
        </w:rPr>
        <w:t>s</w:t>
      </w:r>
      <w:r w:rsidRPr="00316249">
        <w:rPr>
          <w:rFonts w:ascii="Times New Roman" w:hAnsi="Times New Roman" w:cs="Times New Roman"/>
          <w:b w:val="0"/>
          <w:bCs w:val="0"/>
          <w:sz w:val="22"/>
          <w:szCs w:val="22"/>
        </w:rPr>
        <w:t xml:space="preserve"> desses processos</w:t>
      </w:r>
      <w:r>
        <w:rPr>
          <w:rFonts w:ascii="Times New Roman" w:hAnsi="Times New Roman" w:cs="Times New Roman"/>
          <w:b w:val="0"/>
          <w:bCs w:val="0"/>
          <w:sz w:val="22"/>
          <w:szCs w:val="22"/>
        </w:rPr>
        <w:t xml:space="preserve"> estão</w:t>
      </w:r>
      <w:r w:rsidRPr="00316249">
        <w:rPr>
          <w:rFonts w:ascii="Times New Roman" w:hAnsi="Times New Roman" w:cs="Times New Roman"/>
          <w:b w:val="0"/>
          <w:bCs w:val="0"/>
          <w:sz w:val="22"/>
          <w:szCs w:val="22"/>
        </w:rPr>
        <w:t xml:space="preserve"> reproduzido</w:t>
      </w:r>
      <w:r>
        <w:rPr>
          <w:rFonts w:ascii="Times New Roman" w:hAnsi="Times New Roman" w:cs="Times New Roman"/>
          <w:b w:val="0"/>
          <w:bCs w:val="0"/>
          <w:sz w:val="22"/>
          <w:szCs w:val="22"/>
        </w:rPr>
        <w:t>s</w:t>
      </w:r>
      <w:r w:rsidRPr="00316249">
        <w:rPr>
          <w:rFonts w:ascii="Times New Roman" w:hAnsi="Times New Roman" w:cs="Times New Roman"/>
          <w:b w:val="0"/>
          <w:bCs w:val="0"/>
          <w:sz w:val="22"/>
          <w:szCs w:val="22"/>
        </w:rPr>
        <w:t xml:space="preserve"> no quadro seguinte:</w:t>
      </w:r>
    </w:p>
    <w:tbl>
      <w:tblPr>
        <w:tblW w:w="5000" w:type="pct"/>
        <w:tblCellMar>
          <w:left w:w="70" w:type="dxa"/>
          <w:right w:w="70" w:type="dxa"/>
        </w:tblCellMar>
        <w:tblLook w:val="04A0" w:firstRow="1" w:lastRow="0" w:firstColumn="1" w:lastColumn="0" w:noHBand="0" w:noVBand="1"/>
      </w:tblPr>
      <w:tblGrid>
        <w:gridCol w:w="4518"/>
        <w:gridCol w:w="1174"/>
        <w:gridCol w:w="1173"/>
        <w:gridCol w:w="1173"/>
        <w:gridCol w:w="1173"/>
      </w:tblGrid>
      <w:tr w:rsidR="00E9008A" w:rsidRPr="00316249" w:rsidTr="005B7D01">
        <w:trPr>
          <w:trHeight w:val="238"/>
        </w:trPr>
        <w:tc>
          <w:tcPr>
            <w:tcW w:w="24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w:t>
            </w:r>
          </w:p>
        </w:tc>
        <w:tc>
          <w:tcPr>
            <w:tcW w:w="1274"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274"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rPr>
        <w:tc>
          <w:tcPr>
            <w:tcW w:w="2452"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Fiscais</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41.425</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37.262 </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45.045</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37.262 </w:t>
            </w:r>
          </w:p>
        </w:tc>
      </w:tr>
      <w:tr w:rsidR="00E9008A" w:rsidRPr="00316249" w:rsidTr="005B7D01">
        <w:trPr>
          <w:trHeight w:val="238"/>
        </w:trPr>
        <w:tc>
          <w:tcPr>
            <w:tcW w:w="2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Cíveis</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85 </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8.313</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806 </w:t>
            </w:r>
          </w:p>
        </w:tc>
      </w:tr>
      <w:tr w:rsidR="00E9008A" w:rsidRPr="00316249" w:rsidTr="005B7D01">
        <w:trPr>
          <w:trHeight w:val="238"/>
        </w:trPr>
        <w:tc>
          <w:tcPr>
            <w:tcW w:w="2452"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Trabalhistas</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24 </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896</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1.372 </w:t>
            </w:r>
          </w:p>
        </w:tc>
      </w:tr>
      <w:tr w:rsidR="00E9008A" w:rsidRPr="00316249" w:rsidTr="005B7D01">
        <w:trPr>
          <w:trHeight w:val="238"/>
        </w:trPr>
        <w:tc>
          <w:tcPr>
            <w:tcW w:w="245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41.426</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37.371 </w:t>
            </w:r>
          </w:p>
        </w:tc>
        <w:tc>
          <w:tcPr>
            <w:tcW w:w="63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54.254</w:t>
            </w:r>
          </w:p>
        </w:tc>
        <w:tc>
          <w:tcPr>
            <w:tcW w:w="63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39.440 </w:t>
            </w:r>
          </w:p>
        </w:tc>
      </w:tr>
    </w:tbl>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Ativo Contingente – Risco Provável</w:t>
      </w:r>
    </w:p>
    <w:p w:rsidR="00E9008A" w:rsidRDefault="00E9008A" w:rsidP="00E9008A">
      <w:pPr>
        <w:spacing w:before="240" w:after="240"/>
        <w:jc w:val="both"/>
        <w:rPr>
          <w:bCs/>
          <w:sz w:val="22"/>
          <w:szCs w:val="22"/>
        </w:rPr>
      </w:pPr>
      <w:r w:rsidRPr="00316249">
        <w:rPr>
          <w:bCs/>
          <w:sz w:val="22"/>
          <w:szCs w:val="22"/>
        </w:rPr>
        <w:t xml:space="preserve">Em 31 de dezembro de 2016, a Companhia estima que as contingências ativas prováveis de ganho </w:t>
      </w:r>
      <w:r>
        <w:rPr>
          <w:bCs/>
          <w:sz w:val="22"/>
          <w:szCs w:val="22"/>
        </w:rPr>
        <w:t>alcancem</w:t>
      </w:r>
      <w:r w:rsidRPr="00316249">
        <w:rPr>
          <w:bCs/>
          <w:sz w:val="22"/>
          <w:szCs w:val="22"/>
        </w:rPr>
        <w:t xml:space="preserve"> o montante de R$ 65.550. Desse valor, R$ 375 referem-se a ações trib</w:t>
      </w:r>
      <w:r>
        <w:rPr>
          <w:bCs/>
          <w:sz w:val="22"/>
          <w:szCs w:val="22"/>
        </w:rPr>
        <w:t>utárias e 65.175 a ações cíveis. E</w:t>
      </w:r>
      <w:r w:rsidRPr="00316249">
        <w:rPr>
          <w:bCs/>
          <w:sz w:val="22"/>
          <w:szCs w:val="22"/>
        </w:rPr>
        <w:t xml:space="preserve">stas </w:t>
      </w:r>
      <w:r>
        <w:rPr>
          <w:bCs/>
          <w:sz w:val="22"/>
          <w:szCs w:val="22"/>
        </w:rPr>
        <w:t>últimas são</w:t>
      </w:r>
      <w:r w:rsidRPr="00316249">
        <w:rPr>
          <w:bCs/>
          <w:sz w:val="22"/>
          <w:szCs w:val="22"/>
        </w:rPr>
        <w:t xml:space="preserve"> processos de cobrança de consumo de energia elétrica, assim como de obras e man</w:t>
      </w:r>
      <w:r>
        <w:rPr>
          <w:bCs/>
          <w:sz w:val="22"/>
          <w:szCs w:val="22"/>
        </w:rPr>
        <w:t>utenções de iluminação pública.</w:t>
      </w:r>
    </w:p>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t>DEMAIS OBRIGAÇÕES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9"/>
        <w:gridCol w:w="1076"/>
        <w:gridCol w:w="1115"/>
        <w:gridCol w:w="1076"/>
        <w:gridCol w:w="1115"/>
      </w:tblGrid>
      <w:tr w:rsidR="00E9008A" w:rsidRPr="00316249" w:rsidTr="005B7D01">
        <w:trPr>
          <w:trHeight w:val="238"/>
          <w:tblHeader/>
        </w:trPr>
        <w:tc>
          <w:tcPr>
            <w:tcW w:w="2622" w:type="pct"/>
            <w:vMerge w:val="restart"/>
            <w:shd w:val="clear" w:color="000000" w:fill="D9D9D9"/>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1189"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189"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622" w:type="pct"/>
            <w:vMerge/>
            <w:vAlign w:val="center"/>
            <w:hideMark/>
          </w:tcPr>
          <w:p w:rsidR="00E9008A" w:rsidRPr="00316249" w:rsidRDefault="00E9008A" w:rsidP="005B7D01">
            <w:pPr>
              <w:rPr>
                <w:color w:val="000000"/>
                <w:sz w:val="18"/>
                <w:szCs w:val="18"/>
              </w:rPr>
            </w:pPr>
          </w:p>
        </w:tc>
        <w:tc>
          <w:tcPr>
            <w:tcW w:w="58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05"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58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05"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Parcelamento de Multa ANEEL</w:t>
            </w:r>
          </w:p>
        </w:tc>
        <w:tc>
          <w:tcPr>
            <w:tcW w:w="584" w:type="pct"/>
            <w:shd w:val="clear" w:color="auto" w:fill="auto"/>
            <w:noWrap/>
            <w:vAlign w:val="center"/>
          </w:tcPr>
          <w:p w:rsidR="00E9008A" w:rsidRPr="00316249" w:rsidRDefault="00E9008A" w:rsidP="005B7D01">
            <w:pPr>
              <w:rPr>
                <w:color w:val="000000"/>
                <w:sz w:val="18"/>
                <w:szCs w:val="18"/>
              </w:rPr>
            </w:pP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20.309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17.459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Consumidores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362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196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10.775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13.017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Consignações a Favor de Terceiros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360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54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12.669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4.630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Arrendamento</w:t>
            </w:r>
          </w:p>
        </w:tc>
        <w:tc>
          <w:tcPr>
            <w:tcW w:w="584" w:type="pct"/>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5.013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3.843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Repasses de Bandeiras Tarifárias</w:t>
            </w:r>
          </w:p>
        </w:tc>
        <w:tc>
          <w:tcPr>
            <w:tcW w:w="584" w:type="pct"/>
            <w:shd w:val="clear" w:color="auto" w:fill="auto"/>
            <w:noWrap/>
            <w:vAlign w:val="center"/>
          </w:tcPr>
          <w:p w:rsidR="00E9008A" w:rsidRPr="00316249" w:rsidRDefault="00E9008A" w:rsidP="005B7D01">
            <w:pPr>
              <w:rPr>
                <w:color w:val="000000"/>
                <w:sz w:val="18"/>
                <w:szCs w:val="18"/>
              </w:rPr>
            </w:pPr>
            <w:r w:rsidRPr="00316249">
              <w:rPr>
                <w:color w:val="000000"/>
                <w:sz w:val="18"/>
                <w:szCs w:val="18"/>
              </w:rPr>
              <w:t>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1.830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Compensação Financeira Utilização de Recursos Hídricos</w:t>
            </w:r>
          </w:p>
        </w:tc>
        <w:tc>
          <w:tcPr>
            <w:tcW w:w="584" w:type="pct"/>
            <w:shd w:val="clear" w:color="auto" w:fill="auto"/>
            <w:noWrap/>
            <w:vAlign w:val="center"/>
          </w:tcPr>
          <w:p w:rsidR="00E9008A" w:rsidRPr="00316249" w:rsidRDefault="00E9008A" w:rsidP="005B7D01">
            <w:pPr>
              <w:rPr>
                <w:color w:val="000000"/>
                <w:sz w:val="18"/>
                <w:szCs w:val="18"/>
              </w:rPr>
            </w:pPr>
            <w:r w:rsidRPr="00316249">
              <w:rPr>
                <w:color w:val="000000"/>
                <w:sz w:val="18"/>
                <w:szCs w:val="18"/>
              </w:rPr>
              <w:t>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764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Pr>
                <w:color w:val="000000"/>
                <w:sz w:val="18"/>
                <w:szCs w:val="18"/>
              </w:rPr>
              <w:t xml:space="preserve">Retenção de Quotas – </w:t>
            </w:r>
            <w:r w:rsidRPr="00316249">
              <w:rPr>
                <w:color w:val="000000"/>
                <w:sz w:val="18"/>
                <w:szCs w:val="18"/>
              </w:rPr>
              <w:t>RGR</w:t>
            </w:r>
          </w:p>
        </w:tc>
        <w:tc>
          <w:tcPr>
            <w:tcW w:w="584" w:type="pct"/>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724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724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Cauções e Garantia</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56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566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438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Obrigações </w:t>
            </w:r>
            <w:r>
              <w:rPr>
                <w:color w:val="000000"/>
                <w:sz w:val="18"/>
                <w:szCs w:val="18"/>
              </w:rPr>
              <w:t>C</w:t>
            </w:r>
            <w:r w:rsidRPr="00316249">
              <w:rPr>
                <w:color w:val="000000"/>
                <w:sz w:val="18"/>
                <w:szCs w:val="18"/>
              </w:rPr>
              <w:t>om Empresas Ligadas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168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167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358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Outras Obrigações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3.050 </w:t>
            </w:r>
          </w:p>
        </w:tc>
        <w:tc>
          <w:tcPr>
            <w:tcW w:w="605"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2.545 </w:t>
            </w:r>
          </w:p>
        </w:tc>
      </w:tr>
      <w:tr w:rsidR="00E9008A" w:rsidRPr="00316249" w:rsidTr="005B7D01">
        <w:trPr>
          <w:trHeight w:val="238"/>
        </w:trPr>
        <w:tc>
          <w:tcPr>
            <w:tcW w:w="2622"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lastRenderedPageBreak/>
              <w:t>Total</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950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423 </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53.4664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45.250 </w:t>
            </w:r>
          </w:p>
        </w:tc>
      </w:tr>
      <w:tr w:rsidR="00E9008A" w:rsidRPr="00316249" w:rsidTr="005B7D01">
        <w:trPr>
          <w:trHeight w:val="238"/>
        </w:trPr>
        <w:tc>
          <w:tcPr>
            <w:tcW w:w="2622"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Circulante</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950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423 </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37.418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33.421 </w:t>
            </w:r>
          </w:p>
        </w:tc>
      </w:tr>
      <w:tr w:rsidR="00E9008A" w:rsidRPr="00316249" w:rsidTr="005B7D01">
        <w:trPr>
          <w:trHeight w:val="238"/>
        </w:trPr>
        <w:tc>
          <w:tcPr>
            <w:tcW w:w="2622"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58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16.046 </w:t>
            </w:r>
          </w:p>
        </w:tc>
        <w:tc>
          <w:tcPr>
            <w:tcW w:w="605"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11.829 </w:t>
            </w:r>
          </w:p>
        </w:tc>
      </w:tr>
    </w:tbl>
    <w:p w:rsidR="007F7D85" w:rsidRDefault="007F7D85">
      <w:pPr>
        <w:rPr>
          <w:b/>
          <w:caps/>
          <w:sz w:val="22"/>
          <w:szCs w:val="22"/>
        </w:rPr>
      </w:pPr>
      <w:r>
        <w:rPr>
          <w:sz w:val="22"/>
          <w:szCs w:val="22"/>
        </w:rPr>
        <w:br w:type="page"/>
      </w:r>
    </w:p>
    <w:p w:rsidR="00E9008A" w:rsidRPr="005B7D01" w:rsidRDefault="005B7D01" w:rsidP="005B7D01">
      <w:pPr>
        <w:pStyle w:val="Ttulo3"/>
        <w:numPr>
          <w:ilvl w:val="0"/>
          <w:numId w:val="23"/>
        </w:numPr>
        <w:shd w:val="clear" w:color="auto" w:fill="auto"/>
        <w:spacing w:before="240" w:after="240"/>
        <w:ind w:left="780" w:hanging="780"/>
        <w:jc w:val="both"/>
        <w:rPr>
          <w:sz w:val="22"/>
          <w:szCs w:val="22"/>
        </w:rPr>
      </w:pPr>
      <w:r>
        <w:rPr>
          <w:sz w:val="22"/>
          <w:szCs w:val="22"/>
        </w:rPr>
        <w:lastRenderedPageBreak/>
        <w:t>O</w:t>
      </w:r>
      <w:r w:rsidR="00E9008A" w:rsidRPr="005B7D01">
        <w:rPr>
          <w:sz w:val="22"/>
          <w:szCs w:val="22"/>
        </w:rPr>
        <w:t>BRIGAÇÕES VINCULADAS À CONCESSÃO</w:t>
      </w:r>
    </w:p>
    <w:tbl>
      <w:tblPr>
        <w:tblW w:w="5000" w:type="pct"/>
        <w:tblCellMar>
          <w:left w:w="70" w:type="dxa"/>
          <w:right w:w="70" w:type="dxa"/>
        </w:tblCellMar>
        <w:tblLook w:val="04A0" w:firstRow="1" w:lastRow="0" w:firstColumn="1" w:lastColumn="0" w:noHBand="0" w:noVBand="1"/>
      </w:tblPr>
      <w:tblGrid>
        <w:gridCol w:w="6479"/>
        <w:gridCol w:w="1402"/>
        <w:gridCol w:w="1330"/>
      </w:tblGrid>
      <w:tr w:rsidR="00E9008A" w:rsidRPr="00316249" w:rsidTr="005B7D01">
        <w:trPr>
          <w:trHeight w:val="244"/>
          <w:tblHeader/>
        </w:trPr>
        <w:tc>
          <w:tcPr>
            <w:tcW w:w="351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148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44"/>
          <w:tblHeader/>
        </w:trPr>
        <w:tc>
          <w:tcPr>
            <w:tcW w:w="3517"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8"/>
                <w:szCs w:val="18"/>
              </w:rPr>
            </w:pPr>
          </w:p>
        </w:tc>
        <w:tc>
          <w:tcPr>
            <w:tcW w:w="76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44"/>
        </w:trPr>
        <w:tc>
          <w:tcPr>
            <w:tcW w:w="351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Ultrapassagem de Demanda</w:t>
            </w:r>
          </w:p>
        </w:tc>
        <w:tc>
          <w:tcPr>
            <w:tcW w:w="76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17.149 </w:t>
            </w:r>
          </w:p>
        </w:tc>
      </w:tr>
      <w:tr w:rsidR="00E9008A" w:rsidRPr="00316249" w:rsidTr="005B7D01">
        <w:trPr>
          <w:trHeight w:val="244"/>
        </w:trPr>
        <w:tc>
          <w:tcPr>
            <w:tcW w:w="351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Excedente de Reativos</w:t>
            </w:r>
          </w:p>
        </w:tc>
        <w:tc>
          <w:tcPr>
            <w:tcW w:w="76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28.732 </w:t>
            </w:r>
          </w:p>
        </w:tc>
      </w:tr>
      <w:tr w:rsidR="00E9008A" w:rsidRPr="00316249" w:rsidTr="005B7D01">
        <w:trPr>
          <w:trHeight w:val="244"/>
        </w:trPr>
        <w:tc>
          <w:tcPr>
            <w:tcW w:w="3517"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Uso do Bem Público</w:t>
            </w:r>
          </w:p>
        </w:tc>
        <w:tc>
          <w:tcPr>
            <w:tcW w:w="76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867</w:t>
            </w:r>
          </w:p>
        </w:tc>
        <w:tc>
          <w:tcPr>
            <w:tcW w:w="722"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44"/>
        </w:trPr>
        <w:tc>
          <w:tcPr>
            <w:tcW w:w="351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Participação Financeira do Consumidor – Valores Não Aplicados </w:t>
            </w:r>
            <w:r w:rsidRPr="00316249">
              <w:rPr>
                <w:b/>
                <w:color w:val="000000"/>
                <w:sz w:val="18"/>
                <w:szCs w:val="18"/>
              </w:rPr>
              <w:t>(a)</w:t>
            </w:r>
          </w:p>
        </w:tc>
        <w:tc>
          <w:tcPr>
            <w:tcW w:w="76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75.996</w:t>
            </w:r>
          </w:p>
        </w:tc>
        <w:tc>
          <w:tcPr>
            <w:tcW w:w="7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71.665 </w:t>
            </w:r>
          </w:p>
        </w:tc>
      </w:tr>
      <w:tr w:rsidR="00E9008A" w:rsidRPr="00316249" w:rsidTr="005B7D01">
        <w:trPr>
          <w:trHeight w:val="244"/>
        </w:trPr>
        <w:tc>
          <w:tcPr>
            <w:tcW w:w="351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6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76.863</w:t>
            </w:r>
          </w:p>
        </w:tc>
        <w:tc>
          <w:tcPr>
            <w:tcW w:w="7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117.546 </w:t>
            </w:r>
          </w:p>
        </w:tc>
      </w:tr>
      <w:tr w:rsidR="00E9008A" w:rsidRPr="00316249" w:rsidTr="005B7D01">
        <w:trPr>
          <w:trHeight w:val="244"/>
        </w:trPr>
        <w:tc>
          <w:tcPr>
            <w:tcW w:w="3517"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Não Circulante</w:t>
            </w:r>
          </w:p>
        </w:tc>
        <w:tc>
          <w:tcPr>
            <w:tcW w:w="76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76.863</w:t>
            </w:r>
          </w:p>
        </w:tc>
        <w:tc>
          <w:tcPr>
            <w:tcW w:w="722"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117.546 </w:t>
            </w:r>
          </w:p>
        </w:tc>
      </w:tr>
    </w:tbl>
    <w:p w:rsidR="00E9008A" w:rsidRPr="00316249" w:rsidRDefault="00E9008A" w:rsidP="00E9008A">
      <w:pPr>
        <w:spacing w:after="240"/>
        <w:jc w:val="both"/>
        <w:rPr>
          <w:sz w:val="18"/>
          <w:szCs w:val="22"/>
        </w:rPr>
      </w:pPr>
      <w:r w:rsidRPr="00316249">
        <w:rPr>
          <w:sz w:val="18"/>
          <w:szCs w:val="22"/>
        </w:rPr>
        <w:t>(a) Valores recebidos antes do início do empreendimento e não aplicados.</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Obrigações Especiais – Receita de Ultrapassagem de Demanda e Excedente de Reativos</w:t>
      </w:r>
    </w:p>
    <w:p w:rsidR="00E9008A" w:rsidRPr="00316249" w:rsidRDefault="00E9008A" w:rsidP="00E9008A">
      <w:pPr>
        <w:spacing w:before="240" w:after="240"/>
        <w:jc w:val="both"/>
        <w:rPr>
          <w:sz w:val="22"/>
          <w:szCs w:val="22"/>
        </w:rPr>
      </w:pPr>
      <w:r w:rsidRPr="00316249">
        <w:rPr>
          <w:sz w:val="22"/>
          <w:szCs w:val="22"/>
        </w:rPr>
        <w:t>A receita de ultrapassagem de demanda é oriunda de contratos de fornecimento com grandes consumidores de energia, no qual é definida a demanda a ser utilizada pela unidade consumidora. Caso a demanda realizada exceda a demanda contratada, a diferença é cobrada com base na tarifa de ultrapassagem de demanda que é bem superior às tarifas regulares. As tarifas de ultrapassagem de demanda possuem caráter de penalidade ao consumidor e visam o incentivo à não utilização da rede, além do que foi contratado, estando prevista no art. 93 da Resolução n</w:t>
      </w:r>
      <w:r w:rsidRPr="00316249">
        <w:rPr>
          <w:sz w:val="22"/>
          <w:szCs w:val="22"/>
          <w:vertAlign w:val="superscript"/>
        </w:rPr>
        <w:t xml:space="preserve">o </w:t>
      </w:r>
      <w:r w:rsidRPr="00316249">
        <w:rPr>
          <w:sz w:val="22"/>
          <w:szCs w:val="22"/>
        </w:rPr>
        <w:t>14/2010.</w:t>
      </w:r>
    </w:p>
    <w:p w:rsidR="00E9008A" w:rsidRPr="00316249" w:rsidRDefault="00E9008A" w:rsidP="00E9008A">
      <w:pPr>
        <w:spacing w:before="240" w:after="240"/>
        <w:jc w:val="both"/>
        <w:rPr>
          <w:sz w:val="22"/>
          <w:szCs w:val="22"/>
        </w:rPr>
      </w:pPr>
      <w:r w:rsidRPr="00316249">
        <w:rPr>
          <w:sz w:val="22"/>
          <w:szCs w:val="22"/>
        </w:rPr>
        <w:t>A receita de excedente de reativos é uma penalidade ao consumidor decorrente da não instalação de equipamentos adequados para controle da energia reativa que podem prejudicar o funcionamento dos sistemas elétricos, gerando custos adicionais à rede distribuidora. O Órgão Regulador define um limite para essa energia reativa e, violado esse limite, a distribuidora cobra uma tarifa adicional de energia reativa excedente.</w:t>
      </w:r>
    </w:p>
    <w:p w:rsidR="00E9008A" w:rsidRPr="00316249" w:rsidRDefault="00E9008A" w:rsidP="00E9008A">
      <w:pPr>
        <w:autoSpaceDE w:val="0"/>
        <w:autoSpaceDN w:val="0"/>
        <w:spacing w:before="240" w:after="240"/>
        <w:jc w:val="both"/>
        <w:rPr>
          <w:sz w:val="22"/>
          <w:szCs w:val="22"/>
        </w:rPr>
      </w:pPr>
      <w:r w:rsidRPr="00316249">
        <w:rPr>
          <w:sz w:val="22"/>
          <w:szCs w:val="22"/>
        </w:rPr>
        <w:t>O procedimento de regulação tarifária (</w:t>
      </w:r>
      <w:proofErr w:type="spellStart"/>
      <w:r w:rsidRPr="00316249">
        <w:rPr>
          <w:sz w:val="22"/>
          <w:szCs w:val="22"/>
        </w:rPr>
        <w:t>Proret</w:t>
      </w:r>
      <w:proofErr w:type="spellEnd"/>
      <w:r w:rsidRPr="00316249">
        <w:rPr>
          <w:sz w:val="22"/>
          <w:szCs w:val="22"/>
        </w:rPr>
        <w:t xml:space="preserve"> 2.7) foi aprovado pela Resolução Normativa ANEEL n° 463, de 22 de novembro de 2011. Neste procedimento, ficou definido que as receitas auferidas com ultrapassagem de demanda e excedente de reativos, a partir do 3º ciclo de revisão tarifária periódica, deverão ser contabilizadas como obrigações especiais e serão amortizadas a partir d</w:t>
      </w:r>
      <w:r>
        <w:rPr>
          <w:sz w:val="22"/>
          <w:szCs w:val="22"/>
        </w:rPr>
        <w:t>o</w:t>
      </w:r>
      <w:r w:rsidRPr="00316249">
        <w:rPr>
          <w:sz w:val="22"/>
          <w:szCs w:val="22"/>
        </w:rPr>
        <w:t xml:space="preserve"> próxim</w:t>
      </w:r>
      <w:r>
        <w:rPr>
          <w:sz w:val="22"/>
          <w:szCs w:val="22"/>
        </w:rPr>
        <w:t>o ciclo</w:t>
      </w:r>
      <w:r w:rsidRPr="00316249">
        <w:rPr>
          <w:sz w:val="22"/>
          <w:szCs w:val="22"/>
        </w:rPr>
        <w:t xml:space="preserve"> </w:t>
      </w:r>
      <w:r>
        <w:rPr>
          <w:sz w:val="22"/>
          <w:szCs w:val="22"/>
        </w:rPr>
        <w:t xml:space="preserve">de </w:t>
      </w:r>
      <w:r w:rsidRPr="00316249">
        <w:rPr>
          <w:sz w:val="22"/>
          <w:szCs w:val="22"/>
        </w:rPr>
        <w:t>revisão tarifária.</w:t>
      </w:r>
    </w:p>
    <w:p w:rsidR="00E9008A" w:rsidRPr="00316249" w:rsidRDefault="00E9008A" w:rsidP="00E9008A">
      <w:pPr>
        <w:autoSpaceDE w:val="0"/>
        <w:autoSpaceDN w:val="0"/>
        <w:spacing w:before="240" w:after="240"/>
        <w:jc w:val="both"/>
        <w:rPr>
          <w:sz w:val="22"/>
          <w:szCs w:val="22"/>
        </w:rPr>
      </w:pPr>
      <w:r>
        <w:rPr>
          <w:sz w:val="22"/>
          <w:szCs w:val="22"/>
        </w:rPr>
        <w:t>O</w:t>
      </w:r>
      <w:r w:rsidRPr="00316249">
        <w:rPr>
          <w:sz w:val="22"/>
          <w:szCs w:val="22"/>
        </w:rPr>
        <w:t xml:space="preserve"> Despacho nº 4.991 da AN</w:t>
      </w:r>
      <w:r>
        <w:rPr>
          <w:sz w:val="22"/>
          <w:szCs w:val="22"/>
        </w:rPr>
        <w:t xml:space="preserve">EEL, de 29 de dezembro de 2011 </w:t>
      </w:r>
      <w:r w:rsidRPr="00316249">
        <w:rPr>
          <w:sz w:val="22"/>
          <w:szCs w:val="22"/>
        </w:rPr>
        <w:t xml:space="preserve">trata dos procedimentos básicos para a elaboração das demonstrações financeiras. Em conformidade com o mencionado </w:t>
      </w:r>
      <w:r>
        <w:rPr>
          <w:sz w:val="22"/>
          <w:szCs w:val="22"/>
        </w:rPr>
        <w:t>documento</w:t>
      </w:r>
      <w:r w:rsidRPr="00316249">
        <w:rPr>
          <w:sz w:val="22"/>
          <w:szCs w:val="22"/>
        </w:rPr>
        <w:t>, a CEB Distribuição S.A. efetuou o ajuste de receitas de ultrapassagem de demanda e excedente de reativos, reduzindo as contas de receitas de fornecimento de energia, em contrapartida à conta de obrigações especiais.</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Por determinação da ANEEL, essas receitas são reconhecidas como obrigações especiais, a partir do 3º </w:t>
      </w:r>
      <w:r>
        <w:rPr>
          <w:sz w:val="22"/>
          <w:szCs w:val="22"/>
        </w:rPr>
        <w:t>C</w:t>
      </w:r>
      <w:r w:rsidRPr="00316249">
        <w:rPr>
          <w:sz w:val="22"/>
          <w:szCs w:val="22"/>
        </w:rPr>
        <w:t xml:space="preserve">iclo da </w:t>
      </w:r>
      <w:r>
        <w:rPr>
          <w:sz w:val="22"/>
          <w:szCs w:val="22"/>
        </w:rPr>
        <w:t>R</w:t>
      </w:r>
      <w:r w:rsidRPr="00316249">
        <w:rPr>
          <w:sz w:val="22"/>
          <w:szCs w:val="22"/>
        </w:rPr>
        <w:t xml:space="preserve">evisão </w:t>
      </w:r>
      <w:r>
        <w:rPr>
          <w:sz w:val="22"/>
          <w:szCs w:val="22"/>
        </w:rPr>
        <w:t>T</w:t>
      </w:r>
      <w:r w:rsidRPr="00316249">
        <w:rPr>
          <w:sz w:val="22"/>
          <w:szCs w:val="22"/>
        </w:rPr>
        <w:t xml:space="preserve">arifária. Este procedimento foi objeto de questionamento judicial pela Associação Brasileira de Distribuidores de Energia Elétrica – </w:t>
      </w:r>
      <w:proofErr w:type="spellStart"/>
      <w:r w:rsidRPr="00316249">
        <w:rPr>
          <w:sz w:val="22"/>
          <w:szCs w:val="22"/>
        </w:rPr>
        <w:t>Abradee</w:t>
      </w:r>
      <w:proofErr w:type="spellEnd"/>
      <w:r w:rsidRPr="00316249">
        <w:rPr>
          <w:sz w:val="22"/>
          <w:szCs w:val="22"/>
        </w:rPr>
        <w:t xml:space="preserve"> e a questão encontra-se em tramitação.</w:t>
      </w:r>
    </w:p>
    <w:p w:rsidR="00E9008A" w:rsidRDefault="00E9008A" w:rsidP="00E9008A">
      <w:pPr>
        <w:autoSpaceDE w:val="0"/>
        <w:autoSpaceDN w:val="0"/>
        <w:spacing w:before="240" w:after="240"/>
        <w:jc w:val="both"/>
        <w:rPr>
          <w:sz w:val="22"/>
          <w:szCs w:val="22"/>
        </w:rPr>
      </w:pPr>
      <w:r w:rsidRPr="0063699A">
        <w:rPr>
          <w:sz w:val="22"/>
          <w:szCs w:val="22"/>
        </w:rPr>
        <w:t>A CEB Distribuição S.A. está aguardando o julgamento da ação e tais valores estão provisionados em obrigações especiais e apresentados como obrigações vinculadas à concessão.</w:t>
      </w:r>
    </w:p>
    <w:p w:rsidR="00E9008A" w:rsidRPr="00DA2DA0" w:rsidRDefault="00E9008A" w:rsidP="00E9008A">
      <w:pPr>
        <w:autoSpaceDE w:val="0"/>
        <w:autoSpaceDN w:val="0"/>
        <w:spacing w:before="240" w:after="240"/>
        <w:jc w:val="both"/>
        <w:rPr>
          <w:sz w:val="22"/>
          <w:szCs w:val="22"/>
        </w:rPr>
      </w:pPr>
      <w:r w:rsidRPr="00747E73">
        <w:rPr>
          <w:sz w:val="22"/>
          <w:szCs w:val="22"/>
        </w:rPr>
        <w:t>Em 2016, a Receita de Ultrapassagem de Demanda e Excedente de Reativos foi capturada via Obrigações Especiais e passou a ser considerada como componente dos passivos financeiros setoriais, conforme Resolução Normativa nº 660/2015-ANEEL.</w:t>
      </w:r>
    </w:p>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lastRenderedPageBreak/>
        <w:t>PATRIMÔNIO LÍQUIDO</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Capital Social</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O capital social subscrito e integralizado é de R$ 566.025 (R$ 566.025 </w:t>
      </w:r>
      <w:r>
        <w:rPr>
          <w:rFonts w:ascii="Times New Roman" w:hAnsi="Times New Roman" w:cs="Times New Roman"/>
          <w:b w:val="0"/>
          <w:bCs w:val="0"/>
          <w:sz w:val="22"/>
          <w:szCs w:val="22"/>
        </w:rPr>
        <w:t>–</w:t>
      </w:r>
      <w:r w:rsidRPr="00316249">
        <w:rPr>
          <w:rFonts w:ascii="Times New Roman" w:hAnsi="Times New Roman" w:cs="Times New Roman"/>
          <w:b w:val="0"/>
          <w:bCs w:val="0"/>
          <w:sz w:val="22"/>
          <w:szCs w:val="22"/>
        </w:rPr>
        <w:t xml:space="preserve"> 2015). As ações são escriturais e sem valor nominal, sendo que as ações preferenciais de ambas as classes não têm direito a voto. </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composição do capital social subscrito e integralizado, por classe de ações, é a seguinte: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1457"/>
        <w:gridCol w:w="1260"/>
      </w:tblGrid>
      <w:tr w:rsidR="00E9008A" w:rsidRPr="00316249" w:rsidTr="005B7D01">
        <w:trPr>
          <w:trHeight w:val="240"/>
          <w:tblHeader/>
        </w:trPr>
        <w:tc>
          <w:tcPr>
            <w:tcW w:w="3525" w:type="pct"/>
            <w:shd w:val="clear" w:color="000000" w:fill="D9D9D9"/>
            <w:noWrap/>
            <w:vAlign w:val="center"/>
            <w:hideMark/>
          </w:tcPr>
          <w:p w:rsidR="00E9008A" w:rsidRPr="00316249" w:rsidRDefault="00E9008A" w:rsidP="005B7D01">
            <w:pPr>
              <w:spacing w:before="240" w:after="240"/>
              <w:rPr>
                <w:b/>
                <w:bCs/>
                <w:color w:val="000000"/>
                <w:sz w:val="16"/>
                <w:szCs w:val="16"/>
              </w:rPr>
            </w:pPr>
            <w:r w:rsidRPr="00316249">
              <w:rPr>
                <w:b/>
                <w:bCs/>
                <w:color w:val="000000"/>
                <w:sz w:val="16"/>
                <w:szCs w:val="16"/>
              </w:rPr>
              <w:t>Capital Total em Ações</w:t>
            </w:r>
          </w:p>
        </w:tc>
        <w:tc>
          <w:tcPr>
            <w:tcW w:w="791"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31/12/2016</w:t>
            </w:r>
          </w:p>
        </w:tc>
        <w:tc>
          <w:tcPr>
            <w:tcW w:w="684" w:type="pct"/>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31/12/2015</w:t>
            </w:r>
          </w:p>
          <w:p w:rsidR="00E9008A" w:rsidRPr="00316249" w:rsidRDefault="00E9008A" w:rsidP="005B7D01">
            <w:pPr>
              <w:jc w:val="center"/>
              <w:rPr>
                <w:b/>
                <w:bCs/>
                <w:color w:val="000000"/>
                <w:sz w:val="16"/>
                <w:szCs w:val="16"/>
              </w:rPr>
            </w:pPr>
            <w:r w:rsidRPr="00316249">
              <w:rPr>
                <w:b/>
                <w:bCs/>
                <w:color w:val="000000"/>
                <w:sz w:val="16"/>
                <w:szCs w:val="16"/>
              </w:rPr>
              <w:t>Reapresentado</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Ações Ordinárias</w:t>
            </w:r>
          </w:p>
        </w:tc>
        <w:tc>
          <w:tcPr>
            <w:tcW w:w="791"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7.184.187 </w:t>
            </w:r>
          </w:p>
        </w:tc>
        <w:tc>
          <w:tcPr>
            <w:tcW w:w="68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7.184.187 </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Ações Preferenciais</w:t>
            </w:r>
          </w:p>
        </w:tc>
        <w:tc>
          <w:tcPr>
            <w:tcW w:w="791"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7.232.196 </w:t>
            </w:r>
          </w:p>
        </w:tc>
        <w:tc>
          <w:tcPr>
            <w:tcW w:w="68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7.232.196 </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 xml:space="preserve"> Classe A</w:t>
            </w:r>
          </w:p>
        </w:tc>
        <w:tc>
          <w:tcPr>
            <w:tcW w:w="791"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1.313.002 </w:t>
            </w:r>
          </w:p>
        </w:tc>
        <w:tc>
          <w:tcPr>
            <w:tcW w:w="684"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1.313.002 </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 xml:space="preserve"> Classe B</w:t>
            </w:r>
          </w:p>
        </w:tc>
        <w:tc>
          <w:tcPr>
            <w:tcW w:w="791"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5.919.194 </w:t>
            </w:r>
          </w:p>
        </w:tc>
        <w:tc>
          <w:tcPr>
            <w:tcW w:w="684"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5.919.194 </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Total</w:t>
            </w:r>
          </w:p>
        </w:tc>
        <w:tc>
          <w:tcPr>
            <w:tcW w:w="791"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14.416.383 </w:t>
            </w:r>
          </w:p>
        </w:tc>
        <w:tc>
          <w:tcPr>
            <w:tcW w:w="68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14.416.383 </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Valor Patrimonial por Ação:</w:t>
            </w:r>
          </w:p>
        </w:tc>
        <w:tc>
          <w:tcPr>
            <w:tcW w:w="791"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w:t>
            </w:r>
          </w:p>
        </w:tc>
        <w:tc>
          <w:tcPr>
            <w:tcW w:w="68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Patrimônio Líquido</w:t>
            </w:r>
          </w:p>
        </w:tc>
        <w:tc>
          <w:tcPr>
            <w:tcW w:w="791" w:type="pct"/>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620.362 </w:t>
            </w:r>
          </w:p>
        </w:tc>
        <w:tc>
          <w:tcPr>
            <w:tcW w:w="684" w:type="pct"/>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547.418</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bCs/>
                <w:color w:val="000000"/>
                <w:sz w:val="16"/>
                <w:szCs w:val="16"/>
              </w:rPr>
            </w:pPr>
            <w:r w:rsidRPr="00316249">
              <w:rPr>
                <w:bCs/>
                <w:color w:val="000000"/>
                <w:sz w:val="16"/>
                <w:szCs w:val="16"/>
              </w:rPr>
              <w:t>Quantidade de Ações</w:t>
            </w:r>
          </w:p>
        </w:tc>
        <w:tc>
          <w:tcPr>
            <w:tcW w:w="791" w:type="pct"/>
            <w:shd w:val="clear" w:color="auto" w:fill="auto"/>
            <w:noWrap/>
            <w:vAlign w:val="center"/>
          </w:tcPr>
          <w:p w:rsidR="00E9008A" w:rsidRPr="00316249" w:rsidRDefault="00E9008A" w:rsidP="005B7D01">
            <w:pPr>
              <w:jc w:val="right"/>
              <w:rPr>
                <w:bCs/>
                <w:color w:val="000000"/>
                <w:sz w:val="16"/>
                <w:szCs w:val="16"/>
              </w:rPr>
            </w:pPr>
            <w:r w:rsidRPr="00316249">
              <w:rPr>
                <w:bCs/>
                <w:color w:val="000000"/>
                <w:sz w:val="16"/>
                <w:szCs w:val="16"/>
              </w:rPr>
              <w:t xml:space="preserve">14.416.383 </w:t>
            </w:r>
          </w:p>
        </w:tc>
        <w:tc>
          <w:tcPr>
            <w:tcW w:w="684" w:type="pct"/>
            <w:shd w:val="clear" w:color="auto" w:fill="auto"/>
            <w:noWrap/>
            <w:vAlign w:val="center"/>
            <w:hideMark/>
          </w:tcPr>
          <w:p w:rsidR="00E9008A" w:rsidRPr="00316249" w:rsidRDefault="00E9008A" w:rsidP="005B7D01">
            <w:pPr>
              <w:jc w:val="right"/>
              <w:rPr>
                <w:bCs/>
                <w:color w:val="000000"/>
                <w:sz w:val="16"/>
                <w:szCs w:val="16"/>
              </w:rPr>
            </w:pPr>
            <w:r w:rsidRPr="00316249">
              <w:rPr>
                <w:bCs/>
                <w:color w:val="000000"/>
                <w:sz w:val="16"/>
                <w:szCs w:val="16"/>
              </w:rPr>
              <w:t>14.416.383</w:t>
            </w:r>
          </w:p>
        </w:tc>
      </w:tr>
      <w:tr w:rsidR="00E9008A" w:rsidRPr="00316249" w:rsidTr="005B7D01">
        <w:trPr>
          <w:trHeight w:val="240"/>
        </w:trPr>
        <w:tc>
          <w:tcPr>
            <w:tcW w:w="3525" w:type="pct"/>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Valor Patrimonial por Ação –</w:t>
            </w:r>
            <w:r>
              <w:rPr>
                <w:b/>
                <w:bCs/>
                <w:color w:val="000000"/>
                <w:sz w:val="16"/>
                <w:szCs w:val="16"/>
              </w:rPr>
              <w:t xml:space="preserve"> </w:t>
            </w:r>
            <w:r w:rsidRPr="00316249">
              <w:rPr>
                <w:b/>
                <w:bCs/>
                <w:color w:val="000000"/>
                <w:sz w:val="16"/>
                <w:szCs w:val="16"/>
              </w:rPr>
              <w:t>Em (R$)</w:t>
            </w:r>
          </w:p>
        </w:tc>
        <w:tc>
          <w:tcPr>
            <w:tcW w:w="791" w:type="pct"/>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43,03 </w:t>
            </w:r>
          </w:p>
        </w:tc>
        <w:tc>
          <w:tcPr>
            <w:tcW w:w="684" w:type="pct"/>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37,97</w:t>
            </w:r>
          </w:p>
        </w:tc>
      </w:tr>
    </w:tbl>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Ajuste de Avaliação Patrimonial</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composição do saldo da rubrica ajustes de avaliação patrimonial é a seguinte:</w:t>
      </w:r>
    </w:p>
    <w:tbl>
      <w:tblPr>
        <w:tblW w:w="5000" w:type="pct"/>
        <w:tblCellMar>
          <w:left w:w="70" w:type="dxa"/>
          <w:right w:w="70" w:type="dxa"/>
        </w:tblCellMar>
        <w:tblLook w:val="04A0" w:firstRow="1" w:lastRow="0" w:firstColumn="1" w:lastColumn="0" w:noHBand="0" w:noVBand="1"/>
      </w:tblPr>
      <w:tblGrid>
        <w:gridCol w:w="6520"/>
        <w:gridCol w:w="1444"/>
        <w:gridCol w:w="1247"/>
      </w:tblGrid>
      <w:tr w:rsidR="00E9008A" w:rsidRPr="00316249" w:rsidTr="005B7D01">
        <w:trPr>
          <w:trHeight w:val="238"/>
          <w:tblHeader/>
        </w:trPr>
        <w:tc>
          <w:tcPr>
            <w:tcW w:w="353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rPr>
                <w:color w:val="000000"/>
                <w:sz w:val="18"/>
                <w:szCs w:val="18"/>
              </w:rPr>
            </w:pPr>
            <w:r w:rsidRPr="00316249">
              <w:rPr>
                <w:color w:val="000000"/>
                <w:sz w:val="18"/>
                <w:szCs w:val="18"/>
              </w:rPr>
              <w:t> </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Custo Atribuído do Ativo Imobilizado</w:t>
            </w:r>
          </w:p>
        </w:tc>
        <w:tc>
          <w:tcPr>
            <w:tcW w:w="784"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r w:rsidRPr="00316249">
              <w:rPr>
                <w:color w:val="000000"/>
                <w:sz w:val="18"/>
                <w:szCs w:val="18"/>
              </w:rPr>
              <w:t>188.817</w:t>
            </w:r>
          </w:p>
        </w:tc>
        <w:tc>
          <w:tcPr>
            <w:tcW w:w="677"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right"/>
              <w:rPr>
                <w:color w:val="000000"/>
                <w:sz w:val="18"/>
                <w:szCs w:val="18"/>
              </w:rPr>
            </w:pPr>
            <w:r w:rsidRPr="00316249">
              <w:rPr>
                <w:color w:val="000000"/>
                <w:sz w:val="18"/>
                <w:szCs w:val="18"/>
              </w:rPr>
              <w:t xml:space="preserve">        188.817 </w:t>
            </w:r>
          </w:p>
        </w:tc>
      </w:tr>
      <w:tr w:rsidR="00E9008A" w:rsidRPr="00316249" w:rsidTr="005B7D01">
        <w:trPr>
          <w:trHeight w:val="238"/>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Ganho na Variação de Percentual – Corumbá Concessões S.A. </w:t>
            </w:r>
          </w:p>
        </w:tc>
        <w:tc>
          <w:tcPr>
            <w:tcW w:w="784"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r w:rsidRPr="00316249">
              <w:rPr>
                <w:color w:val="000000"/>
                <w:sz w:val="18"/>
                <w:szCs w:val="18"/>
              </w:rPr>
              <w:t>19.929</w:t>
            </w:r>
          </w:p>
        </w:tc>
        <w:tc>
          <w:tcPr>
            <w:tcW w:w="677"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right"/>
              <w:rPr>
                <w:color w:val="000000"/>
                <w:sz w:val="18"/>
                <w:szCs w:val="18"/>
              </w:rPr>
            </w:pPr>
            <w:r w:rsidRPr="00316249">
              <w:rPr>
                <w:color w:val="000000"/>
                <w:sz w:val="18"/>
                <w:szCs w:val="18"/>
              </w:rPr>
              <w:t xml:space="preserve">          18.662 </w:t>
            </w:r>
          </w:p>
        </w:tc>
      </w:tr>
      <w:tr w:rsidR="00E9008A" w:rsidRPr="00316249" w:rsidTr="005B7D01">
        <w:trPr>
          <w:trHeight w:val="238"/>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Perda de Capital na Diluição de Percentual – Energética Corumbá III S.A.</w:t>
            </w:r>
          </w:p>
        </w:tc>
        <w:tc>
          <w:tcPr>
            <w:tcW w:w="784"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p>
        </w:tc>
        <w:tc>
          <w:tcPr>
            <w:tcW w:w="677"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right"/>
              <w:rPr>
                <w:color w:val="000000"/>
                <w:sz w:val="18"/>
                <w:szCs w:val="18"/>
              </w:rPr>
            </w:pPr>
            <w:r w:rsidRPr="00316249">
              <w:rPr>
                <w:color w:val="000000"/>
                <w:sz w:val="18"/>
                <w:szCs w:val="18"/>
              </w:rPr>
              <w:t xml:space="preserve">             (733)</w:t>
            </w:r>
          </w:p>
        </w:tc>
      </w:tr>
      <w:tr w:rsidR="00E9008A" w:rsidRPr="00316249" w:rsidTr="005B7D01">
        <w:trPr>
          <w:trHeight w:val="238"/>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747E73">
              <w:rPr>
                <w:color w:val="000000"/>
                <w:sz w:val="18"/>
                <w:szCs w:val="18"/>
              </w:rPr>
              <w:t>Ganho</w:t>
            </w:r>
            <w:r>
              <w:rPr>
                <w:color w:val="000000"/>
                <w:sz w:val="18"/>
                <w:szCs w:val="18"/>
              </w:rPr>
              <w:t xml:space="preserve"> </w:t>
            </w:r>
            <w:r w:rsidRPr="00316249">
              <w:rPr>
                <w:color w:val="000000"/>
                <w:sz w:val="18"/>
                <w:szCs w:val="18"/>
              </w:rPr>
              <w:t xml:space="preserve">Atuarial – Plano Assistencial </w:t>
            </w:r>
          </w:p>
        </w:tc>
        <w:tc>
          <w:tcPr>
            <w:tcW w:w="784"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r w:rsidRPr="00316249">
              <w:rPr>
                <w:color w:val="000000"/>
                <w:sz w:val="18"/>
                <w:szCs w:val="18"/>
              </w:rPr>
              <w:t>16.057</w:t>
            </w:r>
          </w:p>
        </w:tc>
        <w:tc>
          <w:tcPr>
            <w:tcW w:w="677"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3539"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Perdas Atuarial – Plano de Previdência</w:t>
            </w:r>
          </w:p>
        </w:tc>
        <w:tc>
          <w:tcPr>
            <w:tcW w:w="784" w:type="pct"/>
            <w:tcBorders>
              <w:top w:val="nil"/>
              <w:left w:val="nil"/>
              <w:bottom w:val="single" w:sz="4" w:space="0" w:color="auto"/>
              <w:right w:val="single" w:sz="4" w:space="0" w:color="auto"/>
            </w:tcBorders>
            <w:shd w:val="clear" w:color="auto" w:fill="auto"/>
            <w:vAlign w:val="center"/>
          </w:tcPr>
          <w:p w:rsidR="00E9008A" w:rsidRPr="0063699A" w:rsidRDefault="00E9008A" w:rsidP="005B7D01">
            <w:pPr>
              <w:jc w:val="right"/>
              <w:rPr>
                <w:color w:val="000000"/>
                <w:sz w:val="18"/>
                <w:szCs w:val="18"/>
              </w:rPr>
            </w:pPr>
            <w:r w:rsidRPr="0063699A">
              <w:rPr>
                <w:color w:val="000000"/>
                <w:sz w:val="18"/>
                <w:szCs w:val="18"/>
              </w:rPr>
              <w:t>(59.101)</w:t>
            </w:r>
          </w:p>
        </w:tc>
        <w:tc>
          <w:tcPr>
            <w:tcW w:w="677" w:type="pct"/>
            <w:tcBorders>
              <w:top w:val="nil"/>
              <w:left w:val="nil"/>
              <w:bottom w:val="single" w:sz="4" w:space="0" w:color="auto"/>
              <w:right w:val="single" w:sz="4" w:space="0" w:color="auto"/>
            </w:tcBorders>
            <w:shd w:val="clear" w:color="auto" w:fill="auto"/>
            <w:vAlign w:val="center"/>
          </w:tcPr>
          <w:p w:rsidR="00E9008A" w:rsidRPr="0063699A" w:rsidRDefault="00E9008A" w:rsidP="005B7D01">
            <w:pPr>
              <w:jc w:val="right"/>
              <w:rPr>
                <w:color w:val="000000"/>
                <w:sz w:val="18"/>
                <w:szCs w:val="18"/>
              </w:rPr>
            </w:pPr>
          </w:p>
        </w:tc>
      </w:tr>
      <w:tr w:rsidR="00E9008A" w:rsidRPr="00316249" w:rsidTr="005B7D01">
        <w:trPr>
          <w:trHeight w:val="238"/>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Outras Movimentações – Coligadas</w:t>
            </w:r>
          </w:p>
        </w:tc>
        <w:tc>
          <w:tcPr>
            <w:tcW w:w="784"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8"/>
                <w:szCs w:val="18"/>
              </w:rPr>
            </w:pPr>
          </w:p>
        </w:tc>
        <w:tc>
          <w:tcPr>
            <w:tcW w:w="677"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right"/>
              <w:rPr>
                <w:color w:val="000000"/>
                <w:sz w:val="18"/>
                <w:szCs w:val="18"/>
              </w:rPr>
            </w:pPr>
            <w:r w:rsidRPr="00316249">
              <w:rPr>
                <w:color w:val="000000"/>
                <w:sz w:val="18"/>
                <w:szCs w:val="18"/>
              </w:rPr>
              <w:t xml:space="preserve">                 68 </w:t>
            </w:r>
          </w:p>
        </w:tc>
      </w:tr>
      <w:tr w:rsidR="00E9008A" w:rsidRPr="00316249" w:rsidTr="005B7D01">
        <w:trPr>
          <w:trHeight w:val="238"/>
        </w:trPr>
        <w:tc>
          <w:tcPr>
            <w:tcW w:w="353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84" w:type="pct"/>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b/>
                <w:bCs/>
                <w:color w:val="000000"/>
                <w:sz w:val="18"/>
                <w:szCs w:val="18"/>
              </w:rPr>
            </w:pPr>
            <w:r w:rsidRPr="00316249">
              <w:rPr>
                <w:b/>
                <w:bCs/>
                <w:color w:val="000000"/>
                <w:sz w:val="18"/>
                <w:szCs w:val="18"/>
              </w:rPr>
              <w:t>165.702</w:t>
            </w:r>
          </w:p>
        </w:tc>
        <w:tc>
          <w:tcPr>
            <w:tcW w:w="677" w:type="pct"/>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206.814 </w:t>
            </w:r>
          </w:p>
        </w:tc>
      </w:tr>
    </w:tbl>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Neste grupo estão contabilizados os seguintes eventos:</w:t>
      </w:r>
    </w:p>
    <w:p w:rsidR="00DC1756" w:rsidRPr="00DC1756" w:rsidRDefault="00DC1756" w:rsidP="00DC1756">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DC1756" w:rsidRPr="00DC1756" w:rsidRDefault="00DC1756" w:rsidP="00DC1756">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DC1756" w:rsidRPr="00DC1756" w:rsidRDefault="00DC1756" w:rsidP="00DC1756">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DC1756" w:rsidRPr="00DC1756" w:rsidRDefault="00DC1756" w:rsidP="00DC1756">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DC1756" w:rsidRPr="00DC1756" w:rsidRDefault="00DC1756" w:rsidP="00DC1756">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E9008A" w:rsidRPr="00DC1756" w:rsidRDefault="00E9008A" w:rsidP="00DC1756">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DC1756">
        <w:rPr>
          <w:b/>
        </w:rPr>
        <w:t>Custo atribuído (</w:t>
      </w:r>
      <w:proofErr w:type="spellStart"/>
      <w:r w:rsidRPr="007F7D85">
        <w:rPr>
          <w:b/>
          <w:i/>
        </w:rPr>
        <w:t>Deemed</w:t>
      </w:r>
      <w:proofErr w:type="spellEnd"/>
      <w:r w:rsidRPr="007F7D85">
        <w:rPr>
          <w:b/>
          <w:i/>
        </w:rPr>
        <w:t xml:space="preserve"> </w:t>
      </w:r>
      <w:proofErr w:type="spellStart"/>
      <w:r w:rsidRPr="007F7D85">
        <w:rPr>
          <w:b/>
          <w:i/>
        </w:rPr>
        <w:t>Cost</w:t>
      </w:r>
      <w:proofErr w:type="spellEnd"/>
      <w:r w:rsidRPr="00DC1756">
        <w:rPr>
          <w:b/>
        </w:rPr>
        <w:t>)</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A reserva para ajustes de avaliação patrimonial foi constituída em decorrência dos ajustes por adoção do custo atribuído do ativo imobilizado na data de transição, no montante de R$ 195.191, líquido de efeitos tributários.</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Os valores registrados em ajustes de avaliação patrimonial são reclassificados para o resultado do exercício integral ou parcialmente, quando da alienação dos ativos a que elas se referem. Em 2009 houve venda de terrenos e a reserva foi realizada em R$ 6.374, líquido dos efeitos tributários. </w:t>
      </w:r>
    </w:p>
    <w:p w:rsidR="00E9008A" w:rsidRPr="00316249" w:rsidRDefault="00E9008A" w:rsidP="00E9008A">
      <w:pPr>
        <w:widowControl w:val="0"/>
        <w:autoSpaceDE w:val="0"/>
        <w:autoSpaceDN w:val="0"/>
        <w:adjustRightInd w:val="0"/>
        <w:spacing w:before="240" w:after="240"/>
        <w:ind w:right="29"/>
        <w:jc w:val="both"/>
        <w:rPr>
          <w:rFonts w:eastAsia="Arial Unicode MS"/>
          <w:sz w:val="22"/>
          <w:szCs w:val="22"/>
        </w:rPr>
      </w:pPr>
      <w:r w:rsidRPr="00316249">
        <w:rPr>
          <w:rFonts w:eastAsia="Arial Unicode MS"/>
          <w:sz w:val="22"/>
          <w:szCs w:val="22"/>
        </w:rPr>
        <w:t xml:space="preserve">O efeito decorrente da adoção do custo atribuído em 1º de janeiro de 2009 é demonstrado conforme </w:t>
      </w:r>
      <w:r w:rsidRPr="00316249">
        <w:rPr>
          <w:rFonts w:eastAsia="Arial Unicode MS"/>
          <w:sz w:val="22"/>
          <w:szCs w:val="22"/>
        </w:rPr>
        <w:lastRenderedPageBreak/>
        <w:t xml:space="preserve">quadro a seguir: </w:t>
      </w:r>
    </w:p>
    <w:tbl>
      <w:tblPr>
        <w:tblW w:w="4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1"/>
        <w:gridCol w:w="1532"/>
      </w:tblGrid>
      <w:tr w:rsidR="00E9008A" w:rsidRPr="00316249" w:rsidTr="005B7D01">
        <w:trPr>
          <w:trHeight w:val="238"/>
          <w:tblHeader/>
        </w:trPr>
        <w:tc>
          <w:tcPr>
            <w:tcW w:w="4017" w:type="pct"/>
            <w:shd w:val="clear" w:color="000000" w:fill="D9D9D9"/>
            <w:noWrap/>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Terrenos</w:t>
            </w:r>
          </w:p>
        </w:tc>
        <w:tc>
          <w:tcPr>
            <w:tcW w:w="983" w:type="pct"/>
            <w:shd w:val="clear" w:color="auto" w:fill="auto"/>
            <w:noWrap/>
            <w:vAlign w:val="center"/>
            <w:hideMark/>
          </w:tcPr>
          <w:p w:rsidR="00E9008A" w:rsidRPr="00316249" w:rsidRDefault="00E9008A" w:rsidP="005B7D01">
            <w:pPr>
              <w:jc w:val="center"/>
              <w:rPr>
                <w:b/>
                <w:bCs/>
                <w:color w:val="000000"/>
                <w:sz w:val="18"/>
                <w:szCs w:val="18"/>
              </w:rPr>
            </w:pPr>
          </w:p>
        </w:tc>
      </w:tr>
      <w:tr w:rsidR="00E9008A" w:rsidRPr="00316249" w:rsidTr="005B7D01">
        <w:trPr>
          <w:trHeight w:val="238"/>
        </w:trPr>
        <w:tc>
          <w:tcPr>
            <w:tcW w:w="4017"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Saldo em 31 de dezembro de 2008</w:t>
            </w:r>
          </w:p>
        </w:tc>
        <w:tc>
          <w:tcPr>
            <w:tcW w:w="983" w:type="pct"/>
            <w:shd w:val="clear" w:color="auto" w:fill="auto"/>
            <w:noWrap/>
            <w:vAlign w:val="bottom"/>
            <w:hideMark/>
          </w:tcPr>
          <w:p w:rsidR="00E9008A" w:rsidRPr="00316249" w:rsidRDefault="00E9008A" w:rsidP="005B7D01">
            <w:pPr>
              <w:jc w:val="right"/>
              <w:rPr>
                <w:b/>
                <w:bCs/>
                <w:color w:val="000000"/>
                <w:sz w:val="18"/>
                <w:szCs w:val="18"/>
              </w:rPr>
            </w:pPr>
            <w:r w:rsidRPr="00316249">
              <w:rPr>
                <w:b/>
                <w:bCs/>
                <w:color w:val="000000"/>
                <w:sz w:val="18"/>
                <w:szCs w:val="18"/>
              </w:rPr>
              <w:t xml:space="preserve">              1.442 </w:t>
            </w:r>
          </w:p>
        </w:tc>
      </w:tr>
      <w:tr w:rsidR="00E9008A" w:rsidRPr="00316249" w:rsidTr="005B7D01">
        <w:trPr>
          <w:trHeight w:val="238"/>
        </w:trPr>
        <w:tc>
          <w:tcPr>
            <w:tcW w:w="4017"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Ajustes por Adoção do Custo Atribuído</w:t>
            </w:r>
          </w:p>
        </w:tc>
        <w:tc>
          <w:tcPr>
            <w:tcW w:w="983"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295.744 </w:t>
            </w:r>
          </w:p>
        </w:tc>
      </w:tr>
      <w:tr w:rsidR="00E9008A" w:rsidRPr="00316249" w:rsidTr="005B7D01">
        <w:trPr>
          <w:trHeight w:val="238"/>
        </w:trPr>
        <w:tc>
          <w:tcPr>
            <w:tcW w:w="4017"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Saldo em 1º de janeiro de 2009</w:t>
            </w:r>
          </w:p>
        </w:tc>
        <w:tc>
          <w:tcPr>
            <w:tcW w:w="983" w:type="pct"/>
            <w:shd w:val="clear" w:color="auto" w:fill="auto"/>
            <w:noWrap/>
            <w:vAlign w:val="bottom"/>
            <w:hideMark/>
          </w:tcPr>
          <w:p w:rsidR="00E9008A" w:rsidRPr="00316249" w:rsidRDefault="00E9008A" w:rsidP="005B7D01">
            <w:pPr>
              <w:jc w:val="right"/>
              <w:rPr>
                <w:b/>
                <w:bCs/>
                <w:color w:val="000000"/>
                <w:sz w:val="18"/>
                <w:szCs w:val="18"/>
              </w:rPr>
            </w:pPr>
            <w:r w:rsidRPr="00316249">
              <w:rPr>
                <w:b/>
                <w:bCs/>
                <w:color w:val="000000"/>
                <w:sz w:val="18"/>
                <w:szCs w:val="18"/>
              </w:rPr>
              <w:t xml:space="preserve">          297.186 </w:t>
            </w:r>
          </w:p>
        </w:tc>
      </w:tr>
      <w:tr w:rsidR="00E9008A" w:rsidRPr="00316249" w:rsidTr="005B7D01">
        <w:trPr>
          <w:trHeight w:val="238"/>
        </w:trPr>
        <w:tc>
          <w:tcPr>
            <w:tcW w:w="4017"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Alienação de Terreno – Exercício de 2009</w:t>
            </w:r>
          </w:p>
        </w:tc>
        <w:tc>
          <w:tcPr>
            <w:tcW w:w="983"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(11.099)</w:t>
            </w:r>
          </w:p>
        </w:tc>
      </w:tr>
      <w:tr w:rsidR="00E9008A" w:rsidRPr="00316249" w:rsidTr="005B7D01">
        <w:trPr>
          <w:trHeight w:val="238"/>
        </w:trPr>
        <w:tc>
          <w:tcPr>
            <w:tcW w:w="4017"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Saldo em 31 de dezembro de 2010 e 2011 – Valor Bruto</w:t>
            </w:r>
          </w:p>
        </w:tc>
        <w:tc>
          <w:tcPr>
            <w:tcW w:w="983" w:type="pct"/>
            <w:shd w:val="clear" w:color="auto" w:fill="auto"/>
            <w:noWrap/>
            <w:vAlign w:val="bottom"/>
            <w:hideMark/>
          </w:tcPr>
          <w:p w:rsidR="00E9008A" w:rsidRPr="00316249" w:rsidRDefault="00E9008A" w:rsidP="005B7D01">
            <w:pPr>
              <w:jc w:val="right"/>
              <w:rPr>
                <w:b/>
                <w:bCs/>
                <w:color w:val="000000"/>
                <w:sz w:val="18"/>
                <w:szCs w:val="18"/>
              </w:rPr>
            </w:pPr>
            <w:r w:rsidRPr="00316249">
              <w:rPr>
                <w:b/>
                <w:bCs/>
                <w:color w:val="000000"/>
                <w:sz w:val="18"/>
                <w:szCs w:val="18"/>
              </w:rPr>
              <w:t xml:space="preserve">          286.087 </w:t>
            </w:r>
          </w:p>
        </w:tc>
      </w:tr>
      <w:tr w:rsidR="00E9008A" w:rsidRPr="00316249" w:rsidTr="005B7D01">
        <w:trPr>
          <w:trHeight w:val="238"/>
        </w:trPr>
        <w:tc>
          <w:tcPr>
            <w:tcW w:w="4017" w:type="pct"/>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Efeito Fiscal (IRPJ/CSLL – 34%)</w:t>
            </w:r>
          </w:p>
        </w:tc>
        <w:tc>
          <w:tcPr>
            <w:tcW w:w="983" w:type="pct"/>
            <w:shd w:val="clear" w:color="auto" w:fill="auto"/>
            <w:noWrap/>
            <w:vAlign w:val="bottom"/>
            <w:hideMark/>
          </w:tcPr>
          <w:p w:rsidR="00E9008A" w:rsidRPr="00316249" w:rsidRDefault="00E9008A" w:rsidP="005B7D01">
            <w:pPr>
              <w:jc w:val="right"/>
              <w:rPr>
                <w:color w:val="000000"/>
                <w:sz w:val="18"/>
                <w:szCs w:val="18"/>
              </w:rPr>
            </w:pPr>
            <w:r w:rsidRPr="00316249">
              <w:rPr>
                <w:color w:val="000000"/>
                <w:sz w:val="18"/>
                <w:szCs w:val="18"/>
              </w:rPr>
              <w:t xml:space="preserve">          (97.270)</w:t>
            </w:r>
          </w:p>
        </w:tc>
      </w:tr>
      <w:tr w:rsidR="00E9008A" w:rsidRPr="00316249" w:rsidTr="005B7D01">
        <w:trPr>
          <w:trHeight w:val="238"/>
        </w:trPr>
        <w:tc>
          <w:tcPr>
            <w:tcW w:w="4017" w:type="pct"/>
            <w:shd w:val="clear" w:color="auto" w:fill="auto"/>
            <w:noWrap/>
            <w:vAlign w:val="bottom"/>
            <w:hideMark/>
          </w:tcPr>
          <w:p w:rsidR="00E9008A" w:rsidRPr="00316249" w:rsidRDefault="00E9008A" w:rsidP="005B7D01">
            <w:pPr>
              <w:rPr>
                <w:b/>
                <w:bCs/>
                <w:color w:val="000000"/>
                <w:sz w:val="18"/>
                <w:szCs w:val="18"/>
              </w:rPr>
            </w:pPr>
            <w:r w:rsidRPr="00316249">
              <w:rPr>
                <w:b/>
                <w:bCs/>
                <w:color w:val="000000"/>
                <w:sz w:val="18"/>
                <w:szCs w:val="18"/>
              </w:rPr>
              <w:t>Saldo em 31 de dezembro de 2015 – Líquido do Efeito Fiscal</w:t>
            </w:r>
          </w:p>
        </w:tc>
        <w:tc>
          <w:tcPr>
            <w:tcW w:w="983" w:type="pct"/>
            <w:shd w:val="clear" w:color="auto" w:fill="auto"/>
            <w:noWrap/>
            <w:vAlign w:val="bottom"/>
            <w:hideMark/>
          </w:tcPr>
          <w:p w:rsidR="00E9008A" w:rsidRPr="00316249" w:rsidRDefault="00E9008A" w:rsidP="005B7D01">
            <w:pPr>
              <w:jc w:val="right"/>
              <w:rPr>
                <w:b/>
                <w:bCs/>
                <w:color w:val="000000"/>
                <w:sz w:val="18"/>
                <w:szCs w:val="18"/>
              </w:rPr>
            </w:pPr>
            <w:r w:rsidRPr="00316249">
              <w:rPr>
                <w:b/>
                <w:bCs/>
                <w:color w:val="000000"/>
                <w:sz w:val="18"/>
                <w:szCs w:val="18"/>
              </w:rPr>
              <w:t xml:space="preserve">          188.817 </w:t>
            </w:r>
          </w:p>
        </w:tc>
      </w:tr>
      <w:tr w:rsidR="00E9008A" w:rsidRPr="00316249" w:rsidTr="005B7D01">
        <w:trPr>
          <w:trHeight w:val="238"/>
        </w:trPr>
        <w:tc>
          <w:tcPr>
            <w:tcW w:w="4017" w:type="pct"/>
            <w:shd w:val="clear" w:color="auto" w:fill="auto"/>
            <w:noWrap/>
            <w:vAlign w:val="bottom"/>
          </w:tcPr>
          <w:p w:rsidR="00E9008A" w:rsidRPr="00316249" w:rsidRDefault="00E9008A" w:rsidP="005B7D01">
            <w:pPr>
              <w:rPr>
                <w:b/>
                <w:bCs/>
                <w:color w:val="000000"/>
                <w:sz w:val="18"/>
                <w:szCs w:val="18"/>
              </w:rPr>
            </w:pPr>
            <w:r w:rsidRPr="00316249">
              <w:rPr>
                <w:b/>
                <w:bCs/>
                <w:color w:val="000000"/>
                <w:sz w:val="18"/>
                <w:szCs w:val="18"/>
              </w:rPr>
              <w:t>Saldo em 31 de dezembro de 2016 – Líquido do Efeito Fiscal</w:t>
            </w:r>
          </w:p>
        </w:tc>
        <w:tc>
          <w:tcPr>
            <w:tcW w:w="983" w:type="pct"/>
            <w:shd w:val="clear" w:color="auto" w:fill="auto"/>
            <w:noWrap/>
            <w:vAlign w:val="bottom"/>
          </w:tcPr>
          <w:p w:rsidR="00E9008A" w:rsidRPr="00316249" w:rsidRDefault="00E9008A" w:rsidP="005B7D01">
            <w:pPr>
              <w:jc w:val="right"/>
              <w:rPr>
                <w:b/>
                <w:bCs/>
                <w:color w:val="000000"/>
                <w:sz w:val="18"/>
                <w:szCs w:val="18"/>
              </w:rPr>
            </w:pPr>
            <w:r w:rsidRPr="00316249">
              <w:rPr>
                <w:b/>
                <w:bCs/>
                <w:color w:val="000000"/>
                <w:sz w:val="18"/>
                <w:szCs w:val="18"/>
              </w:rPr>
              <w:t xml:space="preserve">          188.817 </w:t>
            </w:r>
          </w:p>
        </w:tc>
      </w:tr>
    </w:tbl>
    <w:p w:rsidR="00E9008A" w:rsidRPr="00DC1756" w:rsidRDefault="00E9008A" w:rsidP="00DC1756">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DC1756">
        <w:rPr>
          <w:b/>
        </w:rPr>
        <w:t>Ganhos/Perdas nas variações percentuais em participações societárias</w:t>
      </w:r>
    </w:p>
    <w:p w:rsidR="00E9008A" w:rsidRPr="00316249" w:rsidRDefault="00E9008A" w:rsidP="00E9008A">
      <w:pPr>
        <w:pStyle w:val="Corpodetexto"/>
        <w:numPr>
          <w:ilvl w:val="5"/>
          <w:numId w:val="19"/>
        </w:numPr>
        <w:spacing w:before="240" w:after="240"/>
        <w:ind w:left="426" w:hanging="426"/>
        <w:rPr>
          <w:rFonts w:ascii="Times New Roman" w:hAnsi="Times New Roman" w:cs="Times New Roman"/>
          <w:bCs w:val="0"/>
          <w:sz w:val="22"/>
          <w:szCs w:val="22"/>
        </w:rPr>
      </w:pPr>
      <w:r w:rsidRPr="00316249">
        <w:rPr>
          <w:rFonts w:ascii="Times New Roman" w:hAnsi="Times New Roman" w:cs="Times New Roman"/>
          <w:bCs w:val="0"/>
          <w:sz w:val="22"/>
          <w:szCs w:val="22"/>
        </w:rPr>
        <w:t>Energética Corumbá III S.A.</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Em abril de 2015, os acionistas </w:t>
      </w:r>
      <w:proofErr w:type="spellStart"/>
      <w:r w:rsidRPr="00316249">
        <w:rPr>
          <w:rFonts w:ascii="Times New Roman" w:hAnsi="Times New Roman" w:cs="Times New Roman"/>
          <w:b w:val="0"/>
          <w:bCs w:val="0"/>
          <w:i/>
          <w:sz w:val="22"/>
          <w:szCs w:val="22"/>
        </w:rPr>
        <w:t>Energ</w:t>
      </w:r>
      <w:proofErr w:type="spellEnd"/>
      <w:r w:rsidRPr="00316249">
        <w:rPr>
          <w:rFonts w:ascii="Times New Roman" w:hAnsi="Times New Roman" w:cs="Times New Roman"/>
          <w:b w:val="0"/>
          <w:bCs w:val="0"/>
          <w:i/>
          <w:sz w:val="22"/>
          <w:szCs w:val="22"/>
        </w:rPr>
        <w:t xml:space="preserve"> Power</w:t>
      </w:r>
      <w:r w:rsidRPr="00316249">
        <w:rPr>
          <w:rFonts w:ascii="Times New Roman" w:hAnsi="Times New Roman" w:cs="Times New Roman"/>
          <w:b w:val="0"/>
          <w:bCs w:val="0"/>
          <w:sz w:val="22"/>
          <w:szCs w:val="22"/>
        </w:rPr>
        <w:t xml:space="preserve"> S.A. e </w:t>
      </w:r>
      <w:proofErr w:type="spellStart"/>
      <w:r w:rsidRPr="00316249">
        <w:rPr>
          <w:rFonts w:ascii="Times New Roman" w:hAnsi="Times New Roman" w:cs="Times New Roman"/>
          <w:b w:val="0"/>
          <w:bCs w:val="0"/>
          <w:sz w:val="22"/>
          <w:szCs w:val="22"/>
        </w:rPr>
        <w:t>Strata</w:t>
      </w:r>
      <w:proofErr w:type="spellEnd"/>
      <w:r w:rsidRPr="00316249">
        <w:rPr>
          <w:rFonts w:ascii="Times New Roman" w:hAnsi="Times New Roman" w:cs="Times New Roman"/>
          <w:b w:val="0"/>
          <w:bCs w:val="0"/>
          <w:sz w:val="22"/>
          <w:szCs w:val="22"/>
        </w:rPr>
        <w:t xml:space="preserve"> Construções e Concessionárias Integradas S.A. realizaram novo aporte de capital no montante de R$ 87. Devido a esta operação, a CEB registrou um ganho de capital no valor de R$ 33.</w:t>
      </w:r>
    </w:p>
    <w:p w:rsidR="00E9008A" w:rsidRPr="00747E73"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Em novembro de 2016, os acionistas </w:t>
      </w:r>
      <w:proofErr w:type="spellStart"/>
      <w:r w:rsidRPr="00316249">
        <w:rPr>
          <w:rFonts w:ascii="Times New Roman" w:hAnsi="Times New Roman" w:cs="Times New Roman"/>
          <w:b w:val="0"/>
          <w:bCs w:val="0"/>
          <w:i/>
          <w:sz w:val="22"/>
          <w:szCs w:val="22"/>
        </w:rPr>
        <w:t>Energ</w:t>
      </w:r>
      <w:proofErr w:type="spellEnd"/>
      <w:r w:rsidRPr="00316249">
        <w:rPr>
          <w:rFonts w:ascii="Times New Roman" w:hAnsi="Times New Roman" w:cs="Times New Roman"/>
          <w:b w:val="0"/>
          <w:bCs w:val="0"/>
          <w:i/>
          <w:sz w:val="22"/>
          <w:szCs w:val="22"/>
        </w:rPr>
        <w:t xml:space="preserve"> Power</w:t>
      </w:r>
      <w:r w:rsidRPr="00316249">
        <w:rPr>
          <w:rFonts w:ascii="Times New Roman" w:hAnsi="Times New Roman" w:cs="Times New Roman"/>
          <w:b w:val="0"/>
          <w:bCs w:val="0"/>
          <w:sz w:val="22"/>
          <w:szCs w:val="22"/>
        </w:rPr>
        <w:t xml:space="preserve"> S.A. e </w:t>
      </w:r>
      <w:proofErr w:type="spellStart"/>
      <w:r w:rsidRPr="00316249">
        <w:rPr>
          <w:rFonts w:ascii="Times New Roman" w:hAnsi="Times New Roman" w:cs="Times New Roman"/>
          <w:b w:val="0"/>
          <w:bCs w:val="0"/>
          <w:sz w:val="22"/>
          <w:szCs w:val="22"/>
        </w:rPr>
        <w:t>Strata</w:t>
      </w:r>
      <w:proofErr w:type="spellEnd"/>
      <w:r w:rsidRPr="00316249">
        <w:rPr>
          <w:rFonts w:ascii="Times New Roman" w:hAnsi="Times New Roman" w:cs="Times New Roman"/>
          <w:b w:val="0"/>
          <w:bCs w:val="0"/>
          <w:sz w:val="22"/>
          <w:szCs w:val="22"/>
        </w:rPr>
        <w:t xml:space="preserve"> Construções e Concessionárias Integradas S.A. realizaram novo aporte de capital. Devido a esta operação, a CEB registrou um ganho de capital no valor de </w:t>
      </w:r>
      <w:r>
        <w:rPr>
          <w:rFonts w:ascii="Times New Roman" w:hAnsi="Times New Roman" w:cs="Times New Roman"/>
          <w:b w:val="0"/>
          <w:bCs w:val="0"/>
          <w:sz w:val="22"/>
          <w:szCs w:val="22"/>
        </w:rPr>
        <w:t xml:space="preserve">    </w:t>
      </w:r>
      <w:r w:rsidRPr="00747E73">
        <w:rPr>
          <w:rFonts w:ascii="Times New Roman" w:hAnsi="Times New Roman" w:cs="Times New Roman"/>
          <w:b w:val="0"/>
          <w:bCs w:val="0"/>
          <w:sz w:val="22"/>
          <w:szCs w:val="22"/>
        </w:rPr>
        <w:t>R$ 736. O lançamento foi efetuado diretamente contra lucros acumulados.</w:t>
      </w:r>
    </w:p>
    <w:p w:rsidR="00E9008A" w:rsidRPr="00747E73" w:rsidRDefault="00E9008A" w:rsidP="00E9008A">
      <w:pPr>
        <w:pStyle w:val="Corpodetexto"/>
        <w:numPr>
          <w:ilvl w:val="5"/>
          <w:numId w:val="19"/>
        </w:numPr>
        <w:spacing w:before="240" w:after="240"/>
        <w:ind w:left="426" w:hanging="426"/>
        <w:rPr>
          <w:rFonts w:ascii="Times New Roman" w:hAnsi="Times New Roman" w:cs="Times New Roman"/>
          <w:bCs w:val="0"/>
          <w:sz w:val="22"/>
          <w:szCs w:val="22"/>
        </w:rPr>
      </w:pPr>
      <w:r w:rsidRPr="00747E73">
        <w:rPr>
          <w:rFonts w:ascii="Times New Roman" w:hAnsi="Times New Roman" w:cs="Times New Roman"/>
          <w:bCs w:val="0"/>
          <w:sz w:val="22"/>
          <w:szCs w:val="22"/>
        </w:rPr>
        <w:t>Corumbá Concessões S.A.</w:t>
      </w:r>
    </w:p>
    <w:p w:rsidR="00E9008A" w:rsidRPr="00747E73" w:rsidRDefault="00E9008A" w:rsidP="00E9008A">
      <w:pPr>
        <w:pStyle w:val="Corpodetexto"/>
        <w:spacing w:before="240" w:after="240"/>
        <w:rPr>
          <w:rFonts w:ascii="Times New Roman" w:hAnsi="Times New Roman" w:cs="Times New Roman"/>
          <w:bCs w:val="0"/>
          <w:sz w:val="22"/>
          <w:szCs w:val="22"/>
        </w:rPr>
      </w:pPr>
      <w:r w:rsidRPr="00747E73">
        <w:rPr>
          <w:rFonts w:ascii="Times New Roman" w:hAnsi="Times New Roman" w:cs="Times New Roman"/>
          <w:bCs w:val="0"/>
          <w:sz w:val="22"/>
          <w:szCs w:val="22"/>
        </w:rPr>
        <w:t>Absorção de prejuízo acumulado</w:t>
      </w:r>
    </w:p>
    <w:p w:rsidR="00E9008A" w:rsidRPr="00747E73" w:rsidRDefault="00E9008A" w:rsidP="00E9008A">
      <w:pPr>
        <w:pStyle w:val="Corpodetexto"/>
        <w:spacing w:before="240" w:after="240"/>
        <w:rPr>
          <w:rFonts w:ascii="Times New Roman" w:hAnsi="Times New Roman" w:cs="Times New Roman"/>
          <w:b w:val="0"/>
          <w:bCs w:val="0"/>
          <w:sz w:val="22"/>
          <w:szCs w:val="22"/>
        </w:rPr>
      </w:pPr>
      <w:r w:rsidRPr="00747E73">
        <w:rPr>
          <w:rFonts w:ascii="Times New Roman" w:hAnsi="Times New Roman" w:cs="Times New Roman"/>
          <w:b w:val="0"/>
          <w:bCs w:val="0"/>
          <w:sz w:val="22"/>
          <w:szCs w:val="22"/>
        </w:rPr>
        <w:t>Em 29 de novembro de 2016 foi realizada a 2ª Assembleia Geral Extraordinária (AGE), onde os acionistas aprovaram a redução do capital social da Corumbá Concessões S.A. para a absorção de prejuízos acumulados de exercícios anteriores, no valor de R$ 65.506. Esse evento gerou uma perda no investimento na Companhia no valor de R$ 3, lançado diretamente contra prejuízos acumulados. A Geradora efetuou ajustes patrimoniais referente a exercícios anteriores que representaram um ganho na Companhia no montante de R$ 1.270.</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 xml:space="preserve">Reserva de Lucros </w:t>
      </w:r>
    </w:p>
    <w:p w:rsidR="00E9008A" w:rsidRPr="00ED43D2" w:rsidRDefault="00E9008A" w:rsidP="00E9008A">
      <w:pPr>
        <w:spacing w:before="240" w:after="240"/>
        <w:jc w:val="both"/>
        <w:rPr>
          <w:bCs/>
          <w:snapToGrid w:val="0"/>
          <w:sz w:val="22"/>
          <w:szCs w:val="22"/>
        </w:rPr>
      </w:pPr>
      <w:r w:rsidRPr="00747E73">
        <w:rPr>
          <w:bCs/>
          <w:snapToGrid w:val="0"/>
          <w:sz w:val="22"/>
          <w:szCs w:val="22"/>
        </w:rPr>
        <w:t>A reserva legal é constituída à razão de 5% do lucro líquido apurado a cada exercício nos termos do art. 193 da Lei nº 6.404/1976, até o limite de 20% do capital social. A destinação é facultativa quando a reserva legal, somada às reservas de capital, excederem 30% o capital social. A reserva somente é utilizada para o aumento do capital social ou para absorção de prejuízos.</w:t>
      </w:r>
      <w:r w:rsidRPr="00ED43D2">
        <w:rPr>
          <w:bCs/>
          <w:snapToGrid w:val="0"/>
          <w:sz w:val="22"/>
          <w:szCs w:val="22"/>
        </w:rPr>
        <w:t xml:space="preserve"> </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Resultado do Período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8C47A6">
        <w:rPr>
          <w:rFonts w:ascii="Times New Roman" w:hAnsi="Times New Roman" w:cs="Times New Roman"/>
          <w:b w:val="0"/>
          <w:bCs w:val="0"/>
          <w:sz w:val="22"/>
          <w:szCs w:val="22"/>
        </w:rPr>
        <w:t>A Companhia apurou um lucro líquido de</w:t>
      </w:r>
      <w:r w:rsidRPr="00316249">
        <w:rPr>
          <w:rFonts w:ascii="Times New Roman" w:hAnsi="Times New Roman" w:cs="Times New Roman"/>
          <w:b w:val="0"/>
          <w:bCs w:val="0"/>
          <w:sz w:val="22"/>
          <w:szCs w:val="22"/>
        </w:rPr>
        <w:t xml:space="preserve"> R$ 114.607 (R$ </w:t>
      </w:r>
      <w:r>
        <w:rPr>
          <w:rFonts w:ascii="Times New Roman" w:hAnsi="Times New Roman" w:cs="Times New Roman"/>
          <w:b w:val="0"/>
          <w:bCs w:val="0"/>
          <w:sz w:val="22"/>
          <w:szCs w:val="22"/>
        </w:rPr>
        <w:t>2</w:t>
      </w:r>
      <w:r w:rsidRPr="00316249">
        <w:rPr>
          <w:rFonts w:ascii="Times New Roman" w:hAnsi="Times New Roman" w:cs="Times New Roman"/>
          <w:b w:val="0"/>
          <w:sz w:val="22"/>
        </w:rPr>
        <w:t>5.448</w:t>
      </w:r>
      <w:r w:rsidRPr="00316249">
        <w:rPr>
          <w:rFonts w:ascii="Times New Roman" w:hAnsi="Times New Roman" w:cs="Times New Roman"/>
          <w:b w:val="0"/>
          <w:bCs w:val="0"/>
          <w:sz w:val="22"/>
          <w:szCs w:val="22"/>
        </w:rPr>
        <w:t xml:space="preserve"> – 2015</w:t>
      </w:r>
      <w:r>
        <w:rPr>
          <w:rFonts w:ascii="Times New Roman" w:hAnsi="Times New Roman" w:cs="Times New Roman"/>
          <w:b w:val="0"/>
          <w:bCs w:val="0"/>
          <w:sz w:val="22"/>
          <w:szCs w:val="22"/>
        </w:rPr>
        <w:t xml:space="preserve"> </w:t>
      </w:r>
      <w:r w:rsidRPr="00316249">
        <w:rPr>
          <w:rFonts w:ascii="Times New Roman" w:hAnsi="Times New Roman" w:cs="Times New Roman"/>
          <w:b w:val="0"/>
          <w:bCs w:val="0"/>
          <w:sz w:val="22"/>
          <w:szCs w:val="22"/>
        </w:rPr>
        <w:t>–</w:t>
      </w:r>
      <w:r>
        <w:rPr>
          <w:rFonts w:ascii="Times New Roman" w:hAnsi="Times New Roman" w:cs="Times New Roman"/>
          <w:b w:val="0"/>
          <w:bCs w:val="0"/>
          <w:sz w:val="22"/>
          <w:szCs w:val="22"/>
        </w:rPr>
        <w:t xml:space="preserve"> </w:t>
      </w:r>
      <w:r w:rsidRPr="00316249">
        <w:rPr>
          <w:rFonts w:ascii="Times New Roman" w:hAnsi="Times New Roman" w:cs="Times New Roman"/>
          <w:b w:val="0"/>
          <w:bCs w:val="0"/>
          <w:sz w:val="22"/>
          <w:szCs w:val="22"/>
        </w:rPr>
        <w:t>Reapresentado).</w:t>
      </w:r>
    </w:p>
    <w:p w:rsidR="00E9008A" w:rsidRPr="005B7D01" w:rsidRDefault="005B7D01" w:rsidP="005B7D01">
      <w:pPr>
        <w:pStyle w:val="Ttulo3"/>
        <w:numPr>
          <w:ilvl w:val="0"/>
          <w:numId w:val="23"/>
        </w:numPr>
        <w:shd w:val="clear" w:color="auto" w:fill="auto"/>
        <w:spacing w:before="240" w:after="240"/>
        <w:ind w:left="780" w:hanging="780"/>
        <w:jc w:val="both"/>
        <w:rPr>
          <w:sz w:val="22"/>
          <w:szCs w:val="22"/>
        </w:rPr>
      </w:pPr>
      <w:r>
        <w:rPr>
          <w:sz w:val="22"/>
          <w:szCs w:val="22"/>
        </w:rPr>
        <w:t>I</w:t>
      </w:r>
      <w:r w:rsidR="00E9008A" w:rsidRPr="005B7D01">
        <w:rPr>
          <w:sz w:val="22"/>
          <w:szCs w:val="22"/>
        </w:rPr>
        <w:t>NFORMAÇÕES POR SEGMENTO DE NEGÓCIO</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 xml:space="preserve">O Grupo possui quatro segmentos divulgáveis de unidades de negócios estratégicas. Para cada uma </w:t>
      </w:r>
      <w:r w:rsidRPr="00316249">
        <w:rPr>
          <w:rFonts w:eastAsia="Arial Unicode MS"/>
          <w:sz w:val="22"/>
          <w:szCs w:val="22"/>
        </w:rPr>
        <w:lastRenderedPageBreak/>
        <w:t>delas, a Administração analisa os relatórios internos periodicamente. O resumo seguinte descreve as operações dos segmentos reportáveis:</w:t>
      </w:r>
    </w:p>
    <w:p w:rsidR="00E9008A" w:rsidRPr="00316249" w:rsidRDefault="00E9008A" w:rsidP="00E9008A">
      <w:pPr>
        <w:widowControl w:val="0"/>
        <w:numPr>
          <w:ilvl w:val="0"/>
          <w:numId w:val="16"/>
        </w:numPr>
        <w:autoSpaceDE w:val="0"/>
        <w:autoSpaceDN w:val="0"/>
        <w:adjustRightInd w:val="0"/>
        <w:ind w:left="567" w:hanging="567"/>
        <w:jc w:val="both"/>
        <w:rPr>
          <w:rFonts w:eastAsia="Arial Unicode MS"/>
          <w:sz w:val="22"/>
          <w:szCs w:val="22"/>
        </w:rPr>
      </w:pPr>
      <w:r w:rsidRPr="00316249">
        <w:rPr>
          <w:rFonts w:eastAsia="Arial Unicode MS"/>
          <w:sz w:val="22"/>
          <w:szCs w:val="22"/>
        </w:rPr>
        <w:t>Distribuição e comercialização de energia elétrica: tem como atribuição distribuir e comercializar energia, sendo responsável por operar e manter a infraestrutura, bem como prestar serviços correlatos. Atua por intermédio da CEB Distribuição S.A.;</w:t>
      </w:r>
    </w:p>
    <w:p w:rsidR="00E9008A" w:rsidRPr="00316249" w:rsidRDefault="00E9008A" w:rsidP="00E9008A">
      <w:pPr>
        <w:widowControl w:val="0"/>
        <w:numPr>
          <w:ilvl w:val="0"/>
          <w:numId w:val="16"/>
        </w:numPr>
        <w:autoSpaceDE w:val="0"/>
        <w:autoSpaceDN w:val="0"/>
        <w:adjustRightInd w:val="0"/>
        <w:ind w:left="567" w:hanging="567"/>
        <w:jc w:val="both"/>
        <w:rPr>
          <w:rFonts w:eastAsia="Arial Unicode MS"/>
          <w:sz w:val="22"/>
          <w:szCs w:val="22"/>
        </w:rPr>
      </w:pPr>
      <w:r w:rsidRPr="00316249">
        <w:rPr>
          <w:rFonts w:eastAsia="Arial Unicode MS"/>
          <w:sz w:val="22"/>
          <w:szCs w:val="22"/>
        </w:rPr>
        <w:t>Geração de energia: tem como atribuição produzir energia elétrica a partir de empreendimentos de fontes hidráulicas. Atua por intermédio da empresa CEB Geração S.A. e a CEB Participações</w:t>
      </w:r>
      <w:r>
        <w:rPr>
          <w:rFonts w:eastAsia="Arial Unicode MS"/>
          <w:sz w:val="22"/>
          <w:szCs w:val="22"/>
        </w:rPr>
        <w:t xml:space="preserve"> S.A.</w:t>
      </w:r>
      <w:r w:rsidRPr="00316249">
        <w:rPr>
          <w:rFonts w:eastAsia="Arial Unicode MS"/>
          <w:sz w:val="22"/>
          <w:szCs w:val="22"/>
        </w:rPr>
        <w:t xml:space="preserve">; </w:t>
      </w:r>
    </w:p>
    <w:p w:rsidR="00E9008A" w:rsidRPr="00316249" w:rsidRDefault="00E9008A" w:rsidP="00E9008A">
      <w:pPr>
        <w:widowControl w:val="0"/>
        <w:numPr>
          <w:ilvl w:val="0"/>
          <w:numId w:val="16"/>
        </w:numPr>
        <w:autoSpaceDE w:val="0"/>
        <w:autoSpaceDN w:val="0"/>
        <w:adjustRightInd w:val="0"/>
        <w:ind w:left="567" w:hanging="567"/>
        <w:jc w:val="both"/>
        <w:rPr>
          <w:rFonts w:eastAsia="Arial Unicode MS"/>
          <w:sz w:val="22"/>
          <w:szCs w:val="22"/>
        </w:rPr>
      </w:pPr>
      <w:r w:rsidRPr="00316249">
        <w:rPr>
          <w:rFonts w:eastAsia="Arial Unicode MS"/>
          <w:sz w:val="22"/>
          <w:szCs w:val="22"/>
        </w:rPr>
        <w:t>Comercialização de energia elétrica: tem como atribuição a comercialização de energia. Atua por intermédio da CEB Lajeado S.A.; e</w:t>
      </w:r>
    </w:p>
    <w:p w:rsidR="00E9008A" w:rsidRPr="00316249" w:rsidRDefault="00E9008A" w:rsidP="00E9008A">
      <w:pPr>
        <w:widowControl w:val="0"/>
        <w:numPr>
          <w:ilvl w:val="0"/>
          <w:numId w:val="16"/>
        </w:numPr>
        <w:autoSpaceDE w:val="0"/>
        <w:autoSpaceDN w:val="0"/>
        <w:adjustRightInd w:val="0"/>
        <w:ind w:left="567" w:hanging="567"/>
        <w:jc w:val="both"/>
        <w:rPr>
          <w:rFonts w:eastAsia="Arial Unicode MS"/>
          <w:sz w:val="22"/>
          <w:szCs w:val="22"/>
        </w:rPr>
      </w:pPr>
      <w:r w:rsidRPr="00316249">
        <w:rPr>
          <w:rFonts w:eastAsia="Arial Unicode MS"/>
          <w:sz w:val="22"/>
          <w:szCs w:val="22"/>
        </w:rPr>
        <w:t>Outros – Neste segmento está a Companhia Energética de Brasília –</w:t>
      </w:r>
      <w:r>
        <w:rPr>
          <w:rFonts w:eastAsia="Arial Unicode MS"/>
          <w:sz w:val="22"/>
          <w:szCs w:val="22"/>
        </w:rPr>
        <w:t xml:space="preserve"> CEB, </w:t>
      </w:r>
      <w:r w:rsidRPr="00316249">
        <w:rPr>
          <w:rFonts w:eastAsia="Arial Unicode MS"/>
          <w:sz w:val="22"/>
          <w:szCs w:val="22"/>
        </w:rPr>
        <w:t xml:space="preserve">que tem como atribuições a </w:t>
      </w:r>
      <w:r w:rsidRPr="00316249">
        <w:rPr>
          <w:bCs/>
          <w:sz w:val="22"/>
          <w:szCs w:val="22"/>
        </w:rPr>
        <w:t>pa</w:t>
      </w:r>
      <w:r>
        <w:rPr>
          <w:bCs/>
          <w:sz w:val="22"/>
          <w:szCs w:val="22"/>
        </w:rPr>
        <w:t>rticipação em outras sociedades</w:t>
      </w:r>
      <w:r w:rsidRPr="00316249">
        <w:rPr>
          <w:bCs/>
          <w:sz w:val="22"/>
          <w:szCs w:val="22"/>
        </w:rPr>
        <w:t xml:space="preserve"> como sócia-quotista ou acionista e</w:t>
      </w:r>
      <w:r w:rsidRPr="00316249">
        <w:rPr>
          <w:rFonts w:eastAsia="Arial Unicode MS"/>
          <w:sz w:val="22"/>
          <w:szCs w:val="22"/>
        </w:rPr>
        <w:t xml:space="preserve"> a prestação de serviços de expansão e manutenção do parque de iluminação pública do Distrito Federal; e a Companhia Brasiliense de Gás S.A., que tem como atribuição a exploração do serviço público de distribuição de gás canalizado.</w:t>
      </w:r>
    </w:p>
    <w:p w:rsidR="00383B1C" w:rsidRDefault="00383B1C">
      <w:pPr>
        <w:rPr>
          <w:rFonts w:eastAsia="Arial Unicode MS"/>
          <w:sz w:val="22"/>
          <w:szCs w:val="22"/>
        </w:rPr>
      </w:pPr>
      <w:r>
        <w:rPr>
          <w:rFonts w:eastAsia="Arial Unicode MS"/>
          <w:sz w:val="22"/>
          <w:szCs w:val="22"/>
        </w:rPr>
        <w:br w:type="page"/>
      </w:r>
    </w:p>
    <w:p w:rsidR="00E9008A" w:rsidRPr="00316249" w:rsidRDefault="00E9008A" w:rsidP="00E9008A">
      <w:pPr>
        <w:spacing w:before="240" w:after="240"/>
        <w:jc w:val="both"/>
        <w:rPr>
          <w:sz w:val="22"/>
          <w:szCs w:val="22"/>
        </w:rPr>
      </w:pPr>
      <w:r>
        <w:rPr>
          <w:rFonts w:eastAsia="Arial Unicode MS"/>
          <w:sz w:val="22"/>
          <w:szCs w:val="22"/>
        </w:rPr>
        <w:lastRenderedPageBreak/>
        <w:t>As i</w:t>
      </w:r>
      <w:r w:rsidRPr="00316249">
        <w:rPr>
          <w:rFonts w:eastAsia="Arial Unicode MS"/>
          <w:sz w:val="22"/>
          <w:szCs w:val="22"/>
        </w:rPr>
        <w:t xml:space="preserve">nformações referentes a cada segmento </w:t>
      </w:r>
      <w:proofErr w:type="spellStart"/>
      <w:r w:rsidRPr="00316249">
        <w:rPr>
          <w:rFonts w:eastAsia="Arial Unicode MS"/>
          <w:sz w:val="22"/>
          <w:szCs w:val="22"/>
        </w:rPr>
        <w:t>reportável</w:t>
      </w:r>
      <w:proofErr w:type="spellEnd"/>
      <w:r w:rsidRPr="00316249">
        <w:rPr>
          <w:rFonts w:eastAsia="Arial Unicode MS"/>
          <w:sz w:val="22"/>
          <w:szCs w:val="22"/>
        </w:rPr>
        <w:t xml:space="preserve"> </w:t>
      </w:r>
      <w:r w:rsidRPr="00316249">
        <w:rPr>
          <w:sz w:val="22"/>
          <w:szCs w:val="22"/>
        </w:rPr>
        <w:t xml:space="preserve">para os períodos findos em 31 de dezembro de 2016 e em 31 de dezembro de 2015 </w:t>
      </w:r>
      <w:r w:rsidRPr="00316249">
        <w:rPr>
          <w:rFonts w:eastAsia="Arial Unicode MS"/>
          <w:sz w:val="22"/>
          <w:szCs w:val="22"/>
        </w:rPr>
        <w:t xml:space="preserve">estão </w:t>
      </w:r>
      <w:r>
        <w:rPr>
          <w:rFonts w:eastAsia="Arial Unicode MS"/>
          <w:sz w:val="22"/>
          <w:szCs w:val="22"/>
        </w:rPr>
        <w:t>contempladas</w:t>
      </w:r>
      <w:r w:rsidRPr="00316249">
        <w:rPr>
          <w:rFonts w:eastAsia="Arial Unicode MS"/>
          <w:sz w:val="22"/>
          <w:szCs w:val="22"/>
        </w:rPr>
        <w:t xml:space="preserve"> no quadro seguinte:</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Demonstração de Resultado por Segmento de Negócio</w:t>
      </w:r>
    </w:p>
    <w:tbl>
      <w:tblPr>
        <w:tblW w:w="9978" w:type="dxa"/>
        <w:tblLayout w:type="fixed"/>
        <w:tblCellMar>
          <w:left w:w="70" w:type="dxa"/>
          <w:right w:w="70" w:type="dxa"/>
        </w:tblCellMar>
        <w:tblLook w:val="04A0" w:firstRow="1" w:lastRow="0" w:firstColumn="1" w:lastColumn="0" w:noHBand="0" w:noVBand="1"/>
      </w:tblPr>
      <w:tblGrid>
        <w:gridCol w:w="3398"/>
        <w:gridCol w:w="1086"/>
        <w:gridCol w:w="840"/>
        <w:gridCol w:w="1136"/>
        <w:gridCol w:w="993"/>
        <w:gridCol w:w="1136"/>
        <w:gridCol w:w="1389"/>
      </w:tblGrid>
      <w:tr w:rsidR="00E9008A" w:rsidRPr="00316249" w:rsidTr="005B7D01">
        <w:trPr>
          <w:trHeight w:val="196"/>
          <w:tblHeader/>
        </w:trPr>
        <w:tc>
          <w:tcPr>
            <w:tcW w:w="339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E9008A" w:rsidRPr="00316249" w:rsidRDefault="00E9008A" w:rsidP="005B7D01">
            <w:pPr>
              <w:jc w:val="center"/>
              <w:rPr>
                <w:color w:val="000000"/>
                <w:sz w:val="13"/>
                <w:szCs w:val="13"/>
              </w:rPr>
            </w:pPr>
            <w:r w:rsidRPr="00316249">
              <w:rPr>
                <w:color w:val="000000"/>
                <w:sz w:val="13"/>
                <w:szCs w:val="13"/>
              </w:rPr>
              <w:t> </w:t>
            </w:r>
          </w:p>
        </w:tc>
        <w:tc>
          <w:tcPr>
            <w:tcW w:w="65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Exercício findo em 31/12/2016</w:t>
            </w:r>
          </w:p>
        </w:tc>
      </w:tr>
      <w:tr w:rsidR="00E9008A" w:rsidRPr="00316249" w:rsidTr="005B7D01">
        <w:trPr>
          <w:trHeight w:val="196"/>
          <w:tblHeader/>
        </w:trPr>
        <w:tc>
          <w:tcPr>
            <w:tcW w:w="3398" w:type="dxa"/>
            <w:vMerge/>
            <w:tcBorders>
              <w:top w:val="single" w:sz="4" w:space="0" w:color="auto"/>
              <w:left w:val="single" w:sz="4" w:space="0" w:color="auto"/>
              <w:bottom w:val="single" w:sz="4" w:space="0" w:color="000000"/>
              <w:right w:val="single" w:sz="4" w:space="0" w:color="auto"/>
            </w:tcBorders>
            <w:vAlign w:val="center"/>
            <w:hideMark/>
          </w:tcPr>
          <w:p w:rsidR="00E9008A" w:rsidRPr="00316249" w:rsidRDefault="00E9008A" w:rsidP="005B7D01">
            <w:pPr>
              <w:rPr>
                <w:color w:val="000000"/>
                <w:sz w:val="13"/>
                <w:szCs w:val="13"/>
              </w:rPr>
            </w:pPr>
          </w:p>
        </w:tc>
        <w:tc>
          <w:tcPr>
            <w:tcW w:w="1086" w:type="dxa"/>
            <w:tcBorders>
              <w:top w:val="single" w:sz="4" w:space="0" w:color="auto"/>
              <w:left w:val="single" w:sz="4" w:space="0" w:color="auto"/>
              <w:bottom w:val="single" w:sz="4" w:space="0" w:color="auto"/>
              <w:right w:val="nil"/>
            </w:tcBorders>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Distribuição</w:t>
            </w:r>
          </w:p>
        </w:tc>
        <w:tc>
          <w:tcPr>
            <w:tcW w:w="840" w:type="dxa"/>
            <w:tcBorders>
              <w:top w:val="single" w:sz="4" w:space="0" w:color="auto"/>
              <w:left w:val="single" w:sz="4" w:space="0" w:color="auto"/>
              <w:bottom w:val="single" w:sz="4" w:space="0" w:color="auto"/>
              <w:right w:val="nil"/>
            </w:tcBorders>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Geração</w:t>
            </w:r>
          </w:p>
        </w:tc>
        <w:tc>
          <w:tcPr>
            <w:tcW w:w="1136" w:type="dxa"/>
            <w:tcBorders>
              <w:top w:val="single" w:sz="4" w:space="0" w:color="auto"/>
              <w:left w:val="single" w:sz="4" w:space="0" w:color="auto"/>
              <w:bottom w:val="single" w:sz="4" w:space="0" w:color="auto"/>
              <w:right w:val="nil"/>
            </w:tcBorders>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Comercialização</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Outros</w:t>
            </w:r>
          </w:p>
        </w:tc>
        <w:tc>
          <w:tcPr>
            <w:tcW w:w="1136" w:type="dxa"/>
            <w:tcBorders>
              <w:top w:val="single" w:sz="4" w:space="0" w:color="auto"/>
              <w:left w:val="single" w:sz="4" w:space="0" w:color="auto"/>
              <w:bottom w:val="single" w:sz="4" w:space="0" w:color="auto"/>
              <w:right w:val="nil"/>
            </w:tcBorders>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Eliminações</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Consolidado</w:t>
            </w:r>
          </w:p>
        </w:tc>
      </w:tr>
      <w:tr w:rsidR="00E9008A" w:rsidRPr="00316249" w:rsidTr="005B7D01">
        <w:trPr>
          <w:trHeight w:val="196"/>
        </w:trPr>
        <w:tc>
          <w:tcPr>
            <w:tcW w:w="3398" w:type="dxa"/>
            <w:tcBorders>
              <w:top w:val="single" w:sz="4" w:space="0" w:color="000000"/>
              <w:left w:val="single" w:sz="4" w:space="0" w:color="auto"/>
              <w:bottom w:val="single" w:sz="4" w:space="0" w:color="auto"/>
              <w:right w:val="nil"/>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ATIVOS DO SEGMENTO</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2.543.249 </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58.594 </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369.830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746.045 </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(560.826)</w:t>
            </w:r>
          </w:p>
        </w:tc>
        <w:tc>
          <w:tcPr>
            <w:tcW w:w="1387"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3.156.892 </w:t>
            </w:r>
          </w:p>
        </w:tc>
      </w:tr>
      <w:tr w:rsidR="00E9008A" w:rsidRPr="00316249" w:rsidTr="005B7D01">
        <w:trPr>
          <w:trHeight w:val="196"/>
        </w:trPr>
        <w:tc>
          <w:tcPr>
            <w:tcW w:w="3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Adições (reduções) </w:t>
            </w:r>
            <w:r>
              <w:rPr>
                <w:color w:val="000000"/>
                <w:sz w:val="13"/>
                <w:szCs w:val="13"/>
              </w:rPr>
              <w:t>A</w:t>
            </w:r>
            <w:r w:rsidRPr="00316249">
              <w:rPr>
                <w:color w:val="000000"/>
                <w:sz w:val="13"/>
                <w:szCs w:val="13"/>
              </w:rPr>
              <w:t xml:space="preserve">os </w:t>
            </w:r>
            <w:r>
              <w:rPr>
                <w:color w:val="000000"/>
                <w:sz w:val="13"/>
                <w:szCs w:val="13"/>
              </w:rPr>
              <w:t>A</w:t>
            </w:r>
            <w:r w:rsidRPr="00316249">
              <w:rPr>
                <w:color w:val="000000"/>
                <w:sz w:val="13"/>
                <w:szCs w:val="13"/>
              </w:rPr>
              <w:t xml:space="preserve">tivos do </w:t>
            </w:r>
            <w:r>
              <w:rPr>
                <w:color w:val="000000"/>
                <w:sz w:val="13"/>
                <w:szCs w:val="13"/>
              </w:rPr>
              <w:t>S</w:t>
            </w:r>
            <w:r w:rsidRPr="00316249">
              <w:rPr>
                <w:color w:val="000000"/>
                <w:sz w:val="13"/>
                <w:szCs w:val="13"/>
              </w:rPr>
              <w:t xml:space="preserve">egmento no </w:t>
            </w:r>
            <w:r>
              <w:rPr>
                <w:color w:val="000000"/>
                <w:sz w:val="13"/>
                <w:szCs w:val="13"/>
              </w:rPr>
              <w:t>E</w:t>
            </w:r>
            <w:r w:rsidRPr="00316249">
              <w:rPr>
                <w:color w:val="000000"/>
                <w:sz w:val="13"/>
                <w:szCs w:val="13"/>
              </w:rPr>
              <w:t xml:space="preserve">xercício </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(223.957)</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(7.124)</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(27.789)</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69.053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(315.540)</w:t>
            </w:r>
          </w:p>
        </w:tc>
        <w:tc>
          <w:tcPr>
            <w:tcW w:w="1387"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(505.357)</w:t>
            </w:r>
          </w:p>
        </w:tc>
      </w:tr>
      <w:tr w:rsidR="00E9008A" w:rsidRPr="00316249" w:rsidTr="005B7D01">
        <w:trPr>
          <w:trHeight w:val="196"/>
        </w:trPr>
        <w:tc>
          <w:tcPr>
            <w:tcW w:w="3398" w:type="dxa"/>
            <w:tcBorders>
              <w:top w:val="single" w:sz="4" w:space="0" w:color="auto"/>
              <w:left w:val="single" w:sz="4" w:space="0" w:color="auto"/>
              <w:bottom w:val="single" w:sz="4" w:space="0" w:color="auto"/>
              <w:right w:val="nil"/>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INVESTIMENTOS EM SOCIEDADES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201.685 </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661.252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(517.085)</w:t>
            </w:r>
          </w:p>
        </w:tc>
        <w:tc>
          <w:tcPr>
            <w:tcW w:w="1387"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3"/>
                <w:szCs w:val="13"/>
              </w:rPr>
            </w:pPr>
            <w:r w:rsidRPr="00316249">
              <w:rPr>
                <w:b/>
                <w:bCs/>
                <w:color w:val="000000"/>
                <w:sz w:val="13"/>
                <w:szCs w:val="13"/>
              </w:rPr>
              <w:t xml:space="preserve">345.852 </w:t>
            </w:r>
          </w:p>
        </w:tc>
      </w:tr>
      <w:tr w:rsidR="00E9008A" w:rsidRPr="00316249" w:rsidTr="005B7D01">
        <w:trPr>
          <w:trHeight w:val="196"/>
        </w:trPr>
        <w:tc>
          <w:tcPr>
            <w:tcW w:w="3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3"/>
                <w:szCs w:val="13"/>
              </w:rPr>
            </w:pPr>
            <w:r w:rsidRPr="00316249">
              <w:rPr>
                <w:b/>
                <w:bCs/>
                <w:color w:val="000000"/>
                <w:sz w:val="13"/>
                <w:szCs w:val="13"/>
              </w:rPr>
              <w:t>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RECEITA OPERACIONAL LÍQUIDA</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2.061.304 </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30.357 </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114.609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39.488 </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(131.204)</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2.114.554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Energia Elétrica </w:t>
            </w:r>
            <w:r>
              <w:rPr>
                <w:color w:val="000000"/>
                <w:sz w:val="13"/>
                <w:szCs w:val="13"/>
              </w:rPr>
              <w:t>C</w:t>
            </w:r>
            <w:r w:rsidRPr="00316249">
              <w:rPr>
                <w:color w:val="000000"/>
                <w:sz w:val="13"/>
                <w:szCs w:val="13"/>
              </w:rPr>
              <w:t xml:space="preserve">omprada </w:t>
            </w:r>
            <w:r>
              <w:rPr>
                <w:color w:val="000000"/>
                <w:sz w:val="13"/>
                <w:szCs w:val="13"/>
              </w:rPr>
              <w:t>P</w:t>
            </w:r>
            <w:r w:rsidRPr="00316249">
              <w:rPr>
                <w:color w:val="000000"/>
                <w:sz w:val="13"/>
                <w:szCs w:val="13"/>
              </w:rPr>
              <w:t>ara Revenda</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(1.452.277)</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(1.962)</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(15.176)</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131.216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(1.338.199)</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Encargos de </w:t>
            </w:r>
            <w:r>
              <w:rPr>
                <w:color w:val="000000"/>
                <w:sz w:val="13"/>
                <w:szCs w:val="13"/>
              </w:rPr>
              <w:t>U</w:t>
            </w:r>
            <w:r w:rsidRPr="00316249">
              <w:rPr>
                <w:color w:val="000000"/>
                <w:sz w:val="13"/>
                <w:szCs w:val="13"/>
              </w:rPr>
              <w:t xml:space="preserve">so da </w:t>
            </w:r>
            <w:r>
              <w:rPr>
                <w:color w:val="000000"/>
                <w:sz w:val="13"/>
                <w:szCs w:val="13"/>
              </w:rPr>
              <w:t>R</w:t>
            </w:r>
            <w:r w:rsidRPr="00316249">
              <w:rPr>
                <w:color w:val="000000"/>
                <w:sz w:val="13"/>
                <w:szCs w:val="13"/>
              </w:rPr>
              <w:t xml:space="preserve">ede </w:t>
            </w:r>
            <w:r>
              <w:rPr>
                <w:color w:val="000000"/>
                <w:sz w:val="13"/>
                <w:szCs w:val="13"/>
              </w:rPr>
              <w:t>E</w:t>
            </w:r>
            <w:r w:rsidRPr="00316249">
              <w:rPr>
                <w:color w:val="000000"/>
                <w:sz w:val="13"/>
                <w:szCs w:val="13"/>
              </w:rPr>
              <w:t>létrica</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(141.632)</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(1.838)</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(11.890)</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(155.359)</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CUSTO COM ENERGIA ELÉTRICA</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(1.598.120)</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(3.799)</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(27.066)</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131.216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(1.497.769)</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Pessoal</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(231.778)</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(4.284)</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(1.631)</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(11.617)</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(249.310)</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Material</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(3.298)</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(47)</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(3)</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(234)</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(3.582)</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Serviço de Terceiros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(138.664)</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(5.566)</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(1.219)</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(27.984)</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(173.433)</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Depreciação e Amortização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(46.222)</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(1.048)</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(5.906)</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(441)</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(53.617)</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Reversão/Constituição de Provisões para Riscos e Outras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9.078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(2.438)</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6.641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Custo de Construção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(58.100)</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(58.100)</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Provisão (Reversão) </w:t>
            </w:r>
            <w:r>
              <w:rPr>
                <w:color w:val="000000"/>
                <w:sz w:val="13"/>
                <w:szCs w:val="13"/>
              </w:rPr>
              <w:t>P</w:t>
            </w:r>
            <w:r w:rsidRPr="00316249">
              <w:rPr>
                <w:color w:val="000000"/>
                <w:sz w:val="13"/>
                <w:szCs w:val="13"/>
              </w:rPr>
              <w:t>ara Devedores Duvidosos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(42.990)</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(7.282)</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(50.272)</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Arrendamento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(54.592)</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(54.592)</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Outras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123.955 </w:t>
            </w:r>
          </w:p>
        </w:tc>
        <w:tc>
          <w:tcPr>
            <w:tcW w:w="840"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2.391 </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 (133)</w:t>
            </w:r>
          </w:p>
        </w:tc>
        <w:tc>
          <w:tcPr>
            <w:tcW w:w="993"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 (4.693)</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121.520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DESPESAS E CUSTOS OPERACIONAIS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 (388.019)</w:t>
            </w:r>
          </w:p>
        </w:tc>
        <w:tc>
          <w:tcPr>
            <w:tcW w:w="840"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 (8.554)</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 (63.484)</w:t>
            </w:r>
          </w:p>
        </w:tc>
        <w:tc>
          <w:tcPr>
            <w:tcW w:w="993"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(54.689)</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 (514.115)</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Equivalência Patrimonial</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   </w:t>
            </w:r>
          </w:p>
        </w:tc>
        <w:tc>
          <w:tcPr>
            <w:tcW w:w="840"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112 </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23.389 </w:t>
            </w:r>
          </w:p>
        </w:tc>
        <w:tc>
          <w:tcPr>
            <w:tcW w:w="993"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95.370 </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(88.450)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30.422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RESULTADO BRUTO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79.377 </w:t>
            </w:r>
          </w:p>
        </w:tc>
        <w:tc>
          <w:tcPr>
            <w:tcW w:w="840"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18.115 </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47.449 </w:t>
            </w:r>
          </w:p>
        </w:tc>
        <w:tc>
          <w:tcPr>
            <w:tcW w:w="993"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80.169 </w:t>
            </w:r>
          </w:p>
        </w:tc>
        <w:tc>
          <w:tcPr>
            <w:tcW w:w="1136" w:type="dxa"/>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 (88.438)</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136.672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Receita Financeira</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147.998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2.380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5.234 </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5.910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(991)</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160.531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Despesa Financeira</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(193.029)</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(122)</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(19.945)</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(167)</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991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(212.272)</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RESULTADO FINANCEIRO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(45.031)</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2.258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(14.71</w:t>
            </w:r>
            <w:r>
              <w:rPr>
                <w:b/>
                <w:bCs/>
                <w:sz w:val="13"/>
                <w:szCs w:val="13"/>
              </w:rPr>
              <w:t>1</w:t>
            </w:r>
            <w:r w:rsidRPr="00316249">
              <w:rPr>
                <w:b/>
                <w:bCs/>
                <w:sz w:val="13"/>
                <w:szCs w:val="13"/>
              </w:rPr>
              <w:t>)</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5.743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(51.741)</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RESULTADO ANTES DOS IMPOSTOS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34.346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20.373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32.738 </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85.912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(88.438)</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84.931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Imposto de Renda e Contribuição Social </w:t>
            </w:r>
            <w:r>
              <w:rPr>
                <w:color w:val="000000"/>
                <w:sz w:val="13"/>
                <w:szCs w:val="13"/>
              </w:rPr>
              <w:t>–</w:t>
            </w:r>
            <w:r w:rsidRPr="00316249">
              <w:rPr>
                <w:color w:val="000000"/>
                <w:sz w:val="13"/>
                <w:szCs w:val="13"/>
              </w:rPr>
              <w:t xml:space="preserve"> Corrente</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(63.733)</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(1.862)</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(8.155)</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(1.872)</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(75.621)</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Imposto de Renda e Contribuição Social </w:t>
            </w:r>
            <w:r>
              <w:rPr>
                <w:color w:val="000000"/>
                <w:sz w:val="13"/>
                <w:szCs w:val="13"/>
              </w:rPr>
              <w:t xml:space="preserve">– </w:t>
            </w:r>
            <w:r w:rsidRPr="00316249">
              <w:rPr>
                <w:color w:val="000000"/>
                <w:sz w:val="13"/>
                <w:szCs w:val="13"/>
              </w:rPr>
              <w:t>Diferido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79.657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 (381)</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30.106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109.383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3"/>
                <w:szCs w:val="13"/>
              </w:rPr>
            </w:pPr>
            <w:r w:rsidRPr="00316249">
              <w:rPr>
                <w:color w:val="000000"/>
                <w:sz w:val="13"/>
                <w:szCs w:val="13"/>
              </w:rPr>
              <w:t xml:space="preserve">   Reversão dos </w:t>
            </w:r>
            <w:r>
              <w:rPr>
                <w:color w:val="000000"/>
                <w:sz w:val="13"/>
                <w:szCs w:val="13"/>
              </w:rPr>
              <w:t>J</w:t>
            </w:r>
            <w:r w:rsidRPr="00316249">
              <w:rPr>
                <w:color w:val="000000"/>
                <w:sz w:val="13"/>
                <w:szCs w:val="13"/>
              </w:rPr>
              <w:t xml:space="preserve">uros </w:t>
            </w:r>
            <w:r>
              <w:rPr>
                <w:color w:val="000000"/>
                <w:sz w:val="13"/>
                <w:szCs w:val="13"/>
              </w:rPr>
              <w:t>Sobre C</w:t>
            </w:r>
            <w:r w:rsidRPr="00316249">
              <w:rPr>
                <w:color w:val="000000"/>
                <w:sz w:val="13"/>
                <w:szCs w:val="13"/>
              </w:rPr>
              <w:t xml:space="preserve">apital </w:t>
            </w:r>
            <w:r>
              <w:rPr>
                <w:color w:val="000000"/>
                <w:sz w:val="13"/>
                <w:szCs w:val="13"/>
              </w:rPr>
              <w:t>P</w:t>
            </w:r>
            <w:r w:rsidRPr="00316249">
              <w:rPr>
                <w:color w:val="000000"/>
                <w:sz w:val="13"/>
                <w:szCs w:val="13"/>
              </w:rPr>
              <w:t>róprio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15.000 </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xml:space="preserve">15.000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LUCRO (PREJUÍZO) LÍQUIDO DO PERÍODO</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50.272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18.511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39.20</w:t>
            </w:r>
            <w:r>
              <w:rPr>
                <w:b/>
                <w:bCs/>
                <w:sz w:val="13"/>
                <w:szCs w:val="13"/>
              </w:rPr>
              <w:t>3</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114.146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(88.438)</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b/>
                <w:bCs/>
                <w:sz w:val="13"/>
                <w:szCs w:val="13"/>
              </w:rPr>
            </w:pPr>
            <w:r w:rsidRPr="00747E73">
              <w:rPr>
                <w:b/>
                <w:bCs/>
                <w:sz w:val="13"/>
                <w:szCs w:val="13"/>
              </w:rPr>
              <w:t xml:space="preserve">133.693 </w:t>
            </w:r>
          </w:p>
        </w:tc>
      </w:tr>
      <w:tr w:rsidR="00E9008A" w:rsidRPr="00316249" w:rsidTr="005B7D01">
        <w:trPr>
          <w:trHeight w:val="65"/>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Atribuível ao Acionista Controlador</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sz w:val="13"/>
                <w:szCs w:val="13"/>
              </w:rPr>
            </w:pPr>
            <w:r w:rsidRPr="00316249">
              <w:rPr>
                <w:b/>
                <w:bCs/>
                <w:sz w:val="13"/>
                <w:szCs w:val="13"/>
              </w:rPr>
              <w:t>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114.607 </w:t>
            </w:r>
          </w:p>
        </w:tc>
      </w:tr>
      <w:tr w:rsidR="00E9008A" w:rsidRPr="00316249" w:rsidTr="005B7D01">
        <w:trPr>
          <w:trHeight w:val="196"/>
        </w:trPr>
        <w:tc>
          <w:tcPr>
            <w:tcW w:w="3398"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Atribuível aos Acionistas não Controladores</w:t>
            </w:r>
          </w:p>
        </w:tc>
        <w:tc>
          <w:tcPr>
            <w:tcW w:w="108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840"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993"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3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747E73" w:rsidRDefault="00E9008A" w:rsidP="005B7D01">
            <w:pPr>
              <w:jc w:val="right"/>
              <w:rPr>
                <w:sz w:val="13"/>
                <w:szCs w:val="13"/>
              </w:rPr>
            </w:pPr>
            <w:r w:rsidRPr="00747E73">
              <w:rPr>
                <w:sz w:val="13"/>
                <w:szCs w:val="13"/>
              </w:rPr>
              <w:t xml:space="preserve">19.086                             </w:t>
            </w:r>
          </w:p>
        </w:tc>
      </w:tr>
    </w:tbl>
    <w:p w:rsidR="00383B1C" w:rsidRDefault="00383B1C" w:rsidP="00E9008A">
      <w:pPr>
        <w:ind w:left="62"/>
        <w:jc w:val="both"/>
        <w:rPr>
          <w:rFonts w:eastAsia="Arial Unicode MS"/>
          <w:b/>
          <w:bCs/>
          <w:iCs/>
          <w:smallCaps/>
        </w:rPr>
      </w:pPr>
    </w:p>
    <w:p w:rsidR="00383B1C" w:rsidRDefault="00383B1C">
      <w:pPr>
        <w:rPr>
          <w:rFonts w:eastAsia="Arial Unicode MS"/>
          <w:b/>
          <w:bCs/>
          <w:iCs/>
          <w:smallCaps/>
        </w:rPr>
      </w:pPr>
      <w:r>
        <w:rPr>
          <w:rFonts w:eastAsia="Arial Unicode MS"/>
          <w:b/>
          <w:bCs/>
          <w:iCs/>
          <w:smallCaps/>
        </w:rPr>
        <w:br w:type="page"/>
      </w:r>
    </w:p>
    <w:p w:rsidR="00E9008A" w:rsidRDefault="00E9008A" w:rsidP="00E9008A">
      <w:pPr>
        <w:ind w:left="62"/>
        <w:jc w:val="both"/>
        <w:rPr>
          <w:rFonts w:eastAsia="Arial Unicode MS"/>
          <w:b/>
          <w:bCs/>
          <w:iCs/>
          <w:smallCap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8"/>
        <w:gridCol w:w="1177"/>
        <w:gridCol w:w="1201"/>
        <w:gridCol w:w="1213"/>
        <w:gridCol w:w="1190"/>
        <w:gridCol w:w="1201"/>
        <w:gridCol w:w="1108"/>
      </w:tblGrid>
      <w:tr w:rsidR="00E9008A" w:rsidRPr="00316249" w:rsidTr="005B7D01">
        <w:trPr>
          <w:trHeight w:val="210"/>
          <w:tblHeader/>
        </w:trPr>
        <w:tc>
          <w:tcPr>
            <w:tcW w:w="2848" w:type="dxa"/>
            <w:vMerge w:val="restart"/>
            <w:shd w:val="clear" w:color="000000" w:fill="D9D9D9"/>
            <w:noWrap/>
            <w:vAlign w:val="bottom"/>
            <w:hideMark/>
          </w:tcPr>
          <w:p w:rsidR="00E9008A" w:rsidRPr="00316249" w:rsidRDefault="00E9008A" w:rsidP="005B7D01">
            <w:pPr>
              <w:jc w:val="center"/>
              <w:rPr>
                <w:color w:val="000000"/>
                <w:sz w:val="13"/>
                <w:szCs w:val="13"/>
              </w:rPr>
            </w:pPr>
            <w:r w:rsidRPr="00316249">
              <w:rPr>
                <w:color w:val="000000"/>
                <w:sz w:val="13"/>
                <w:szCs w:val="13"/>
              </w:rPr>
              <w:t> </w:t>
            </w:r>
          </w:p>
        </w:tc>
        <w:tc>
          <w:tcPr>
            <w:tcW w:w="7090" w:type="dxa"/>
            <w:gridSpan w:val="6"/>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Exercício findo em 31/12/2015</w:t>
            </w:r>
          </w:p>
        </w:tc>
      </w:tr>
      <w:tr w:rsidR="00E9008A" w:rsidRPr="00316249" w:rsidTr="005B7D01">
        <w:trPr>
          <w:trHeight w:val="210"/>
          <w:tblHeader/>
        </w:trPr>
        <w:tc>
          <w:tcPr>
            <w:tcW w:w="2848" w:type="dxa"/>
            <w:vMerge/>
            <w:vAlign w:val="center"/>
            <w:hideMark/>
          </w:tcPr>
          <w:p w:rsidR="00E9008A" w:rsidRPr="00316249" w:rsidRDefault="00E9008A" w:rsidP="005B7D01">
            <w:pPr>
              <w:rPr>
                <w:color w:val="000000"/>
                <w:sz w:val="13"/>
                <w:szCs w:val="13"/>
              </w:rPr>
            </w:pPr>
          </w:p>
        </w:tc>
        <w:tc>
          <w:tcPr>
            <w:tcW w:w="1177" w:type="dxa"/>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Distribuição</w:t>
            </w:r>
          </w:p>
        </w:tc>
        <w:tc>
          <w:tcPr>
            <w:tcW w:w="1201" w:type="dxa"/>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Geração</w:t>
            </w:r>
          </w:p>
        </w:tc>
        <w:tc>
          <w:tcPr>
            <w:tcW w:w="1213" w:type="dxa"/>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Comercialização</w:t>
            </w:r>
          </w:p>
        </w:tc>
        <w:tc>
          <w:tcPr>
            <w:tcW w:w="1190" w:type="dxa"/>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Outros</w:t>
            </w:r>
          </w:p>
        </w:tc>
        <w:tc>
          <w:tcPr>
            <w:tcW w:w="1201" w:type="dxa"/>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Eliminações</w:t>
            </w:r>
          </w:p>
        </w:tc>
        <w:tc>
          <w:tcPr>
            <w:tcW w:w="1108" w:type="dxa"/>
            <w:shd w:val="clear" w:color="auto" w:fill="auto"/>
            <w:noWrap/>
            <w:vAlign w:val="center"/>
            <w:hideMark/>
          </w:tcPr>
          <w:p w:rsidR="00E9008A" w:rsidRPr="00316249" w:rsidRDefault="00E9008A" w:rsidP="005B7D01">
            <w:pPr>
              <w:jc w:val="center"/>
              <w:rPr>
                <w:b/>
                <w:bCs/>
                <w:color w:val="000000"/>
                <w:sz w:val="13"/>
                <w:szCs w:val="13"/>
              </w:rPr>
            </w:pPr>
            <w:r w:rsidRPr="00316249">
              <w:rPr>
                <w:b/>
                <w:bCs/>
                <w:color w:val="000000"/>
                <w:sz w:val="13"/>
                <w:szCs w:val="13"/>
              </w:rPr>
              <w:t>Consolidado</w:t>
            </w:r>
          </w:p>
          <w:p w:rsidR="00E9008A" w:rsidRPr="00316249" w:rsidRDefault="00E9008A" w:rsidP="005B7D01">
            <w:pPr>
              <w:jc w:val="center"/>
              <w:rPr>
                <w:b/>
                <w:bCs/>
                <w:color w:val="000000"/>
                <w:sz w:val="13"/>
                <w:szCs w:val="13"/>
              </w:rPr>
            </w:pPr>
            <w:r w:rsidRPr="00316249">
              <w:rPr>
                <w:b/>
                <w:bCs/>
                <w:color w:val="000000"/>
                <w:sz w:val="13"/>
                <w:szCs w:val="13"/>
              </w:rPr>
              <w:t>Reapresentado</w:t>
            </w:r>
          </w:p>
        </w:tc>
      </w:tr>
      <w:tr w:rsidR="00E9008A" w:rsidRPr="00316249" w:rsidTr="005B7D01">
        <w:trPr>
          <w:trHeight w:val="210"/>
        </w:trPr>
        <w:tc>
          <w:tcPr>
            <w:tcW w:w="2848" w:type="dxa"/>
            <w:shd w:val="clear" w:color="auto" w:fill="auto"/>
            <w:noWrap/>
            <w:vAlign w:val="bottom"/>
            <w:hideMark/>
          </w:tcPr>
          <w:p w:rsidR="00E9008A" w:rsidRPr="00316249" w:rsidRDefault="00E9008A" w:rsidP="005B7D01">
            <w:pPr>
              <w:rPr>
                <w:b/>
                <w:bCs/>
                <w:color w:val="000000"/>
                <w:sz w:val="13"/>
                <w:szCs w:val="13"/>
              </w:rPr>
            </w:pPr>
            <w:r w:rsidRPr="00316249">
              <w:rPr>
                <w:b/>
                <w:bCs/>
                <w:color w:val="000000"/>
                <w:sz w:val="13"/>
                <w:szCs w:val="13"/>
              </w:rPr>
              <w:t xml:space="preserve"> ATIVOS DO SEGMENTO</w:t>
            </w:r>
          </w:p>
        </w:tc>
        <w:tc>
          <w:tcPr>
            <w:tcW w:w="1177"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2.735.962</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17.311</w:t>
            </w:r>
          </w:p>
        </w:tc>
        <w:tc>
          <w:tcPr>
            <w:tcW w:w="1213"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443.420</w:t>
            </w:r>
          </w:p>
        </w:tc>
        <w:tc>
          <w:tcPr>
            <w:tcW w:w="1190"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684.148</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(536.113)</w:t>
            </w:r>
          </w:p>
        </w:tc>
        <w:tc>
          <w:tcPr>
            <w:tcW w:w="1108"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 xml:space="preserve">  3.344.728</w:t>
            </w:r>
          </w:p>
        </w:tc>
      </w:tr>
      <w:tr w:rsidR="00E9008A" w:rsidRPr="00316249" w:rsidTr="005B7D01">
        <w:trPr>
          <w:trHeight w:val="210"/>
        </w:trPr>
        <w:tc>
          <w:tcPr>
            <w:tcW w:w="2848" w:type="dxa"/>
            <w:shd w:val="clear" w:color="auto" w:fill="auto"/>
            <w:noWrap/>
            <w:vAlign w:val="bottom"/>
            <w:hideMark/>
          </w:tcPr>
          <w:p w:rsidR="00E9008A" w:rsidRPr="00316249" w:rsidRDefault="00E9008A" w:rsidP="005B7D01">
            <w:pPr>
              <w:rPr>
                <w:color w:val="000000"/>
                <w:sz w:val="13"/>
                <w:szCs w:val="13"/>
              </w:rPr>
            </w:pPr>
            <w:r w:rsidRPr="00316249">
              <w:rPr>
                <w:color w:val="000000"/>
                <w:sz w:val="13"/>
                <w:szCs w:val="13"/>
              </w:rPr>
              <w:t xml:space="preserve">   Adições (reduções) aos </w:t>
            </w:r>
            <w:r>
              <w:rPr>
                <w:color w:val="000000"/>
                <w:sz w:val="13"/>
                <w:szCs w:val="13"/>
              </w:rPr>
              <w:t>A</w:t>
            </w:r>
            <w:r w:rsidRPr="00316249">
              <w:rPr>
                <w:color w:val="000000"/>
                <w:sz w:val="13"/>
                <w:szCs w:val="13"/>
              </w:rPr>
              <w:t xml:space="preserve">tivos do </w:t>
            </w:r>
            <w:r>
              <w:rPr>
                <w:color w:val="000000"/>
                <w:sz w:val="13"/>
                <w:szCs w:val="13"/>
              </w:rPr>
              <w:t>S</w:t>
            </w:r>
            <w:r w:rsidRPr="00316249">
              <w:rPr>
                <w:color w:val="000000"/>
                <w:sz w:val="13"/>
                <w:szCs w:val="13"/>
              </w:rPr>
              <w:t xml:space="preserve">egmento no </w:t>
            </w:r>
            <w:r>
              <w:rPr>
                <w:color w:val="000000"/>
                <w:sz w:val="13"/>
                <w:szCs w:val="13"/>
              </w:rPr>
              <w:t>E</w:t>
            </w:r>
            <w:r w:rsidRPr="00316249">
              <w:rPr>
                <w:color w:val="000000"/>
                <w:sz w:val="13"/>
                <w:szCs w:val="13"/>
              </w:rPr>
              <w:t xml:space="preserve">xercício </w:t>
            </w:r>
          </w:p>
        </w:tc>
        <w:tc>
          <w:tcPr>
            <w:tcW w:w="1177" w:type="dxa"/>
            <w:shd w:val="clear" w:color="auto" w:fill="auto"/>
            <w:noWrap/>
            <w:vAlign w:val="center"/>
          </w:tcPr>
          <w:p w:rsidR="00E9008A" w:rsidRPr="00316249" w:rsidRDefault="00E9008A" w:rsidP="005B7D01">
            <w:pPr>
              <w:jc w:val="right"/>
              <w:rPr>
                <w:sz w:val="13"/>
                <w:szCs w:val="13"/>
              </w:rPr>
            </w:pPr>
            <w:r w:rsidRPr="00316249">
              <w:rPr>
                <w:sz w:val="13"/>
                <w:szCs w:val="13"/>
              </w:rPr>
              <w:t>597.102</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2.669</w:t>
            </w:r>
          </w:p>
        </w:tc>
        <w:tc>
          <w:tcPr>
            <w:tcW w:w="1213" w:type="dxa"/>
            <w:shd w:val="clear" w:color="auto" w:fill="auto"/>
            <w:noWrap/>
            <w:vAlign w:val="center"/>
          </w:tcPr>
          <w:p w:rsidR="00E9008A" w:rsidRPr="00316249" w:rsidRDefault="00E9008A" w:rsidP="005B7D01">
            <w:pPr>
              <w:jc w:val="right"/>
              <w:rPr>
                <w:sz w:val="13"/>
                <w:szCs w:val="13"/>
              </w:rPr>
            </w:pPr>
            <w:r w:rsidRPr="00316249">
              <w:rPr>
                <w:sz w:val="13"/>
                <w:szCs w:val="13"/>
              </w:rPr>
              <w:t>25.195</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159.137</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(243.177)</w:t>
            </w:r>
          </w:p>
        </w:tc>
        <w:tc>
          <w:tcPr>
            <w:tcW w:w="1108" w:type="dxa"/>
            <w:shd w:val="clear" w:color="auto" w:fill="auto"/>
            <w:noWrap/>
            <w:vAlign w:val="center"/>
          </w:tcPr>
          <w:p w:rsidR="00E9008A" w:rsidRPr="00316249" w:rsidRDefault="00E9008A" w:rsidP="005B7D01">
            <w:pPr>
              <w:jc w:val="right"/>
              <w:rPr>
                <w:sz w:val="13"/>
                <w:szCs w:val="13"/>
              </w:rPr>
            </w:pPr>
            <w:r w:rsidRPr="00316249">
              <w:rPr>
                <w:sz w:val="13"/>
                <w:szCs w:val="13"/>
              </w:rPr>
              <w:t>540.926</w:t>
            </w:r>
          </w:p>
        </w:tc>
      </w:tr>
      <w:tr w:rsidR="00E9008A" w:rsidRPr="00316249" w:rsidTr="005B7D01">
        <w:trPr>
          <w:trHeight w:val="210"/>
        </w:trPr>
        <w:tc>
          <w:tcPr>
            <w:tcW w:w="2848" w:type="dxa"/>
            <w:shd w:val="clear" w:color="auto" w:fill="auto"/>
            <w:noWrap/>
            <w:vAlign w:val="bottom"/>
            <w:hideMark/>
          </w:tcPr>
          <w:p w:rsidR="00E9008A" w:rsidRPr="00316249" w:rsidRDefault="00E9008A" w:rsidP="005B7D01">
            <w:pPr>
              <w:rPr>
                <w:b/>
                <w:bCs/>
                <w:color w:val="000000"/>
                <w:sz w:val="13"/>
                <w:szCs w:val="13"/>
              </w:rPr>
            </w:pPr>
            <w:r w:rsidRPr="00316249">
              <w:rPr>
                <w:b/>
                <w:bCs/>
                <w:color w:val="000000"/>
                <w:sz w:val="13"/>
                <w:szCs w:val="13"/>
              </w:rPr>
              <w:t xml:space="preserve"> INVESTIMENTOS EM SOCIEDADES</w:t>
            </w:r>
          </w:p>
        </w:tc>
        <w:tc>
          <w:tcPr>
            <w:tcW w:w="1177" w:type="dxa"/>
            <w:shd w:val="clear" w:color="auto" w:fill="auto"/>
            <w:noWrap/>
            <w:vAlign w:val="center"/>
          </w:tcPr>
          <w:p w:rsidR="00E9008A" w:rsidRPr="00316249" w:rsidRDefault="00E9008A" w:rsidP="005B7D01">
            <w:pPr>
              <w:jc w:val="right"/>
              <w:rPr>
                <w:b/>
                <w:bCs/>
                <w:sz w:val="13"/>
                <w:szCs w:val="13"/>
              </w:rPr>
            </w:pPr>
          </w:p>
        </w:tc>
        <w:tc>
          <w:tcPr>
            <w:tcW w:w="1201" w:type="dxa"/>
            <w:shd w:val="clear" w:color="auto" w:fill="auto"/>
            <w:noWrap/>
            <w:vAlign w:val="center"/>
          </w:tcPr>
          <w:p w:rsidR="00E9008A" w:rsidRPr="00316249" w:rsidRDefault="00E9008A" w:rsidP="005B7D01">
            <w:pPr>
              <w:jc w:val="right"/>
              <w:rPr>
                <w:b/>
                <w:bCs/>
                <w:sz w:val="13"/>
                <w:szCs w:val="13"/>
              </w:rPr>
            </w:pPr>
          </w:p>
        </w:tc>
        <w:tc>
          <w:tcPr>
            <w:tcW w:w="1213"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219.485</w:t>
            </w:r>
          </w:p>
        </w:tc>
        <w:tc>
          <w:tcPr>
            <w:tcW w:w="1190"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626.082</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(491.962)</w:t>
            </w:r>
          </w:p>
        </w:tc>
        <w:tc>
          <w:tcPr>
            <w:tcW w:w="1108"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353.750</w:t>
            </w:r>
          </w:p>
        </w:tc>
      </w:tr>
      <w:tr w:rsidR="00E9008A" w:rsidRPr="00316249" w:rsidTr="005B7D01">
        <w:trPr>
          <w:trHeight w:val="210"/>
        </w:trPr>
        <w:tc>
          <w:tcPr>
            <w:tcW w:w="2848" w:type="dxa"/>
            <w:shd w:val="clear" w:color="auto" w:fill="auto"/>
            <w:noWrap/>
            <w:vAlign w:val="bottom"/>
            <w:hideMark/>
          </w:tcPr>
          <w:p w:rsidR="00E9008A" w:rsidRPr="00316249" w:rsidRDefault="00E9008A" w:rsidP="005B7D01">
            <w:pPr>
              <w:rPr>
                <w:color w:val="000000"/>
                <w:sz w:val="13"/>
                <w:szCs w:val="13"/>
              </w:rPr>
            </w:pPr>
            <w:r w:rsidRPr="00316249">
              <w:rPr>
                <w:color w:val="000000"/>
                <w:sz w:val="13"/>
                <w:szCs w:val="13"/>
              </w:rPr>
              <w:t> </w:t>
            </w:r>
          </w:p>
        </w:tc>
        <w:tc>
          <w:tcPr>
            <w:tcW w:w="1177" w:type="dxa"/>
            <w:shd w:val="clear" w:color="auto" w:fill="auto"/>
            <w:noWrap/>
            <w:vAlign w:val="center"/>
            <w:hideMark/>
          </w:tcPr>
          <w:p w:rsidR="00E9008A" w:rsidRPr="00316249" w:rsidRDefault="00E9008A" w:rsidP="005B7D01">
            <w:pPr>
              <w:jc w:val="right"/>
              <w:rPr>
                <w:b/>
                <w:bCs/>
                <w:sz w:val="13"/>
                <w:szCs w:val="13"/>
              </w:rPr>
            </w:pPr>
            <w:r w:rsidRPr="00316249">
              <w:rPr>
                <w:b/>
                <w:bCs/>
                <w:sz w:val="13"/>
                <w:szCs w:val="13"/>
              </w:rPr>
              <w:t> </w:t>
            </w:r>
          </w:p>
        </w:tc>
        <w:tc>
          <w:tcPr>
            <w:tcW w:w="1201" w:type="dxa"/>
            <w:shd w:val="clear" w:color="auto" w:fill="auto"/>
            <w:noWrap/>
            <w:vAlign w:val="center"/>
            <w:hideMark/>
          </w:tcPr>
          <w:p w:rsidR="00E9008A" w:rsidRPr="00316249" w:rsidRDefault="00E9008A" w:rsidP="005B7D01">
            <w:pPr>
              <w:jc w:val="right"/>
              <w:rPr>
                <w:b/>
                <w:bCs/>
                <w:sz w:val="13"/>
                <w:szCs w:val="13"/>
              </w:rPr>
            </w:pPr>
            <w:r w:rsidRPr="00316249">
              <w:rPr>
                <w:b/>
                <w:bCs/>
                <w:sz w:val="13"/>
                <w:szCs w:val="13"/>
              </w:rPr>
              <w:t> </w:t>
            </w:r>
          </w:p>
        </w:tc>
        <w:tc>
          <w:tcPr>
            <w:tcW w:w="1213" w:type="dxa"/>
            <w:shd w:val="clear" w:color="auto" w:fill="auto"/>
            <w:noWrap/>
            <w:vAlign w:val="center"/>
            <w:hideMark/>
          </w:tcPr>
          <w:p w:rsidR="00E9008A" w:rsidRPr="00316249" w:rsidRDefault="00E9008A" w:rsidP="005B7D01">
            <w:pPr>
              <w:jc w:val="right"/>
              <w:rPr>
                <w:b/>
                <w:bCs/>
                <w:sz w:val="13"/>
                <w:szCs w:val="13"/>
              </w:rPr>
            </w:pPr>
            <w:r w:rsidRPr="00316249">
              <w:rPr>
                <w:b/>
                <w:bCs/>
                <w:sz w:val="13"/>
                <w:szCs w:val="13"/>
              </w:rPr>
              <w:t> </w:t>
            </w:r>
          </w:p>
        </w:tc>
        <w:tc>
          <w:tcPr>
            <w:tcW w:w="1190" w:type="dxa"/>
            <w:shd w:val="clear" w:color="auto" w:fill="auto"/>
            <w:noWrap/>
            <w:vAlign w:val="center"/>
            <w:hideMark/>
          </w:tcPr>
          <w:p w:rsidR="00E9008A" w:rsidRPr="00316249" w:rsidRDefault="00E9008A" w:rsidP="005B7D01">
            <w:pPr>
              <w:jc w:val="right"/>
              <w:rPr>
                <w:b/>
                <w:bCs/>
                <w:sz w:val="13"/>
                <w:szCs w:val="13"/>
              </w:rPr>
            </w:pPr>
            <w:r w:rsidRPr="00316249">
              <w:rPr>
                <w:b/>
                <w:bCs/>
                <w:sz w:val="13"/>
                <w:szCs w:val="13"/>
              </w:rPr>
              <w:t> </w:t>
            </w:r>
          </w:p>
        </w:tc>
        <w:tc>
          <w:tcPr>
            <w:tcW w:w="1201" w:type="dxa"/>
            <w:shd w:val="clear" w:color="auto" w:fill="auto"/>
            <w:noWrap/>
            <w:vAlign w:val="center"/>
            <w:hideMark/>
          </w:tcPr>
          <w:p w:rsidR="00E9008A" w:rsidRPr="00316249" w:rsidRDefault="00E9008A" w:rsidP="005B7D01">
            <w:pPr>
              <w:jc w:val="right"/>
              <w:rPr>
                <w:b/>
                <w:bCs/>
                <w:sz w:val="13"/>
                <w:szCs w:val="13"/>
              </w:rPr>
            </w:pPr>
            <w:r w:rsidRPr="00316249">
              <w:rPr>
                <w:b/>
                <w:bCs/>
                <w:sz w:val="13"/>
                <w:szCs w:val="13"/>
              </w:rPr>
              <w:t> </w:t>
            </w:r>
          </w:p>
        </w:tc>
        <w:tc>
          <w:tcPr>
            <w:tcW w:w="1108" w:type="dxa"/>
            <w:shd w:val="clear" w:color="auto" w:fill="auto"/>
            <w:noWrap/>
            <w:vAlign w:val="center"/>
            <w:hideMark/>
          </w:tcPr>
          <w:p w:rsidR="00E9008A" w:rsidRPr="00316249" w:rsidRDefault="00E9008A" w:rsidP="005B7D01">
            <w:pPr>
              <w:jc w:val="right"/>
              <w:rPr>
                <w:b/>
                <w:bCs/>
                <w:sz w:val="13"/>
                <w:szCs w:val="13"/>
              </w:rPr>
            </w:pPr>
            <w:r w:rsidRPr="00316249">
              <w:rPr>
                <w:b/>
                <w:bCs/>
                <w:sz w:val="13"/>
                <w:szCs w:val="13"/>
              </w:rPr>
              <w:t> </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RECEITA OPERACIONAL LÍQUIDA</w:t>
            </w:r>
          </w:p>
        </w:tc>
        <w:tc>
          <w:tcPr>
            <w:tcW w:w="1177"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2.348.019</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14.491</w:t>
            </w:r>
          </w:p>
        </w:tc>
        <w:tc>
          <w:tcPr>
            <w:tcW w:w="1213"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126.732</w:t>
            </w:r>
          </w:p>
        </w:tc>
        <w:tc>
          <w:tcPr>
            <w:tcW w:w="1190"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28.968</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122.206</w:t>
            </w:r>
          </w:p>
        </w:tc>
        <w:tc>
          <w:tcPr>
            <w:tcW w:w="1108"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2.396.004</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Energia Elétrica </w:t>
            </w:r>
            <w:r>
              <w:rPr>
                <w:color w:val="000000"/>
                <w:sz w:val="13"/>
                <w:szCs w:val="13"/>
              </w:rPr>
              <w:t>C</w:t>
            </w:r>
            <w:r w:rsidRPr="00316249">
              <w:rPr>
                <w:color w:val="000000"/>
                <w:sz w:val="13"/>
                <w:szCs w:val="13"/>
              </w:rPr>
              <w:t xml:space="preserve">omprada </w:t>
            </w:r>
            <w:r>
              <w:rPr>
                <w:color w:val="000000"/>
                <w:sz w:val="13"/>
                <w:szCs w:val="13"/>
              </w:rPr>
              <w:t>P</w:t>
            </w:r>
            <w:r w:rsidRPr="00316249">
              <w:rPr>
                <w:color w:val="000000"/>
                <w:sz w:val="13"/>
                <w:szCs w:val="13"/>
              </w:rPr>
              <w:t>ara Revenda</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1.602.698</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553</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5.396</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121.343</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1.486.198</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Encargos de </w:t>
            </w:r>
            <w:r>
              <w:rPr>
                <w:color w:val="000000"/>
                <w:sz w:val="13"/>
                <w:szCs w:val="13"/>
              </w:rPr>
              <w:t>U</w:t>
            </w:r>
            <w:r w:rsidRPr="00316249">
              <w:rPr>
                <w:color w:val="000000"/>
                <w:sz w:val="13"/>
                <w:szCs w:val="13"/>
              </w:rPr>
              <w:t xml:space="preserve">so da </w:t>
            </w:r>
            <w:r>
              <w:rPr>
                <w:color w:val="000000"/>
                <w:sz w:val="13"/>
                <w:szCs w:val="13"/>
              </w:rPr>
              <w:t>R</w:t>
            </w:r>
            <w:r w:rsidRPr="00316249">
              <w:rPr>
                <w:color w:val="000000"/>
                <w:sz w:val="13"/>
                <w:szCs w:val="13"/>
              </w:rPr>
              <w:t xml:space="preserve">ede </w:t>
            </w:r>
            <w:r>
              <w:rPr>
                <w:color w:val="000000"/>
                <w:sz w:val="13"/>
                <w:szCs w:val="13"/>
              </w:rPr>
              <w:t>E</w:t>
            </w:r>
            <w:r w:rsidRPr="00316249">
              <w:rPr>
                <w:color w:val="000000"/>
                <w:sz w:val="13"/>
                <w:szCs w:val="13"/>
              </w:rPr>
              <w:t>létrica</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136.924</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864</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11.310</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864</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148.234</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CUSTO COM ENERGIA ELÉTRICA</w:t>
            </w:r>
          </w:p>
        </w:tc>
        <w:tc>
          <w:tcPr>
            <w:tcW w:w="1177"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1.739.622</w:t>
            </w:r>
            <w:r>
              <w:rPr>
                <w:b/>
                <w:bCs/>
                <w:sz w:val="13"/>
                <w:szCs w:val="13"/>
              </w:rPr>
              <w:t>)</w:t>
            </w:r>
          </w:p>
        </w:tc>
        <w:tc>
          <w:tcPr>
            <w:tcW w:w="1201"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311</w:t>
            </w:r>
            <w:r>
              <w:rPr>
                <w:b/>
                <w:bCs/>
                <w:sz w:val="13"/>
                <w:szCs w:val="13"/>
              </w:rPr>
              <w:t>)</w:t>
            </w:r>
          </w:p>
        </w:tc>
        <w:tc>
          <w:tcPr>
            <w:tcW w:w="1213"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16.706</w:t>
            </w:r>
            <w:r>
              <w:rPr>
                <w:b/>
                <w:bCs/>
                <w:sz w:val="13"/>
                <w:szCs w:val="13"/>
              </w:rPr>
              <w:t>)</w:t>
            </w:r>
          </w:p>
        </w:tc>
        <w:tc>
          <w:tcPr>
            <w:tcW w:w="1190" w:type="dxa"/>
            <w:shd w:val="clear" w:color="auto" w:fill="auto"/>
            <w:noWrap/>
            <w:vAlign w:val="center"/>
          </w:tcPr>
          <w:p w:rsidR="00E9008A" w:rsidRPr="00316249" w:rsidRDefault="00E9008A" w:rsidP="005B7D01">
            <w:pPr>
              <w:jc w:val="right"/>
              <w:rPr>
                <w:b/>
                <w:bCs/>
                <w:sz w:val="13"/>
                <w:szCs w:val="13"/>
              </w:rPr>
            </w:pP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122.207</w:t>
            </w:r>
          </w:p>
        </w:tc>
        <w:tc>
          <w:tcPr>
            <w:tcW w:w="1108"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1.634.432</w:t>
            </w:r>
            <w:r>
              <w:rPr>
                <w:b/>
                <w:bCs/>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Pessoal</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180.156</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2.638</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2.498</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11.154</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196.446</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Material</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6.197</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26</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6</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816</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7.045</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Serviço de Terceiros</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123.494</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2.928</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4.531</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21.730</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152.683</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Depreciação e Amortização</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47.167</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336</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6.601</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363</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54.467</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Reversão/Constituição de Provisões para Riscos e Outras</w:t>
            </w:r>
          </w:p>
        </w:tc>
        <w:tc>
          <w:tcPr>
            <w:tcW w:w="1177" w:type="dxa"/>
            <w:shd w:val="clear" w:color="auto" w:fill="auto"/>
            <w:noWrap/>
            <w:vAlign w:val="center"/>
          </w:tcPr>
          <w:p w:rsidR="00E9008A" w:rsidRPr="00316249" w:rsidRDefault="00E9008A" w:rsidP="005B7D01">
            <w:pPr>
              <w:jc w:val="right"/>
              <w:rPr>
                <w:sz w:val="13"/>
                <w:szCs w:val="13"/>
              </w:rPr>
            </w:pPr>
            <w:r w:rsidRPr="00316249">
              <w:rPr>
                <w:sz w:val="13"/>
                <w:szCs w:val="13"/>
              </w:rPr>
              <w:t>81.483</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2</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90</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904</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sidRPr="00316249">
              <w:rPr>
                <w:sz w:val="13"/>
                <w:szCs w:val="13"/>
              </w:rPr>
              <w:t>80.491</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Custo de Construção</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82.781</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13"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82.781</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Provisão (Reversão) </w:t>
            </w:r>
            <w:r>
              <w:rPr>
                <w:color w:val="000000"/>
                <w:sz w:val="13"/>
                <w:szCs w:val="13"/>
              </w:rPr>
              <w:t>P</w:t>
            </w:r>
            <w:r w:rsidRPr="00316249">
              <w:rPr>
                <w:color w:val="000000"/>
                <w:sz w:val="13"/>
                <w:szCs w:val="13"/>
              </w:rPr>
              <w:t>ara Devedores Duvidosos</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63.045</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13"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22.174</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85.219</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Arrendamento</w:t>
            </w:r>
          </w:p>
        </w:tc>
        <w:tc>
          <w:tcPr>
            <w:tcW w:w="1177"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41.850</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41.850</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Outras</w:t>
            </w:r>
          </w:p>
        </w:tc>
        <w:tc>
          <w:tcPr>
            <w:tcW w:w="1177" w:type="dxa"/>
            <w:shd w:val="clear" w:color="auto" w:fill="auto"/>
            <w:noWrap/>
            <w:vAlign w:val="center"/>
          </w:tcPr>
          <w:p w:rsidR="00E9008A" w:rsidRPr="00316249" w:rsidRDefault="00E9008A" w:rsidP="005B7D01">
            <w:pPr>
              <w:jc w:val="right"/>
              <w:rPr>
                <w:sz w:val="13"/>
                <w:szCs w:val="13"/>
              </w:rPr>
            </w:pPr>
            <w:r w:rsidRPr="00316249">
              <w:rPr>
                <w:sz w:val="13"/>
                <w:szCs w:val="13"/>
              </w:rPr>
              <w:t>20.818</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874</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5.385</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3.283</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sidRPr="00316249">
              <w:rPr>
                <w:sz w:val="13"/>
                <w:szCs w:val="13"/>
              </w:rPr>
              <w:t>11.276</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DESPESAS E CUSTOS OPERACIONAIS</w:t>
            </w:r>
          </w:p>
        </w:tc>
        <w:tc>
          <w:tcPr>
            <w:tcW w:w="1177"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400.539</w:t>
            </w:r>
            <w:r>
              <w:rPr>
                <w:b/>
                <w:bCs/>
                <w:sz w:val="13"/>
                <w:szCs w:val="13"/>
              </w:rPr>
              <w:t>)</w:t>
            </w:r>
          </w:p>
        </w:tc>
        <w:tc>
          <w:tcPr>
            <w:tcW w:w="1201"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6.800</w:t>
            </w:r>
            <w:r>
              <w:rPr>
                <w:b/>
                <w:bCs/>
                <w:sz w:val="13"/>
                <w:szCs w:val="13"/>
              </w:rPr>
              <w:t>)</w:t>
            </w:r>
          </w:p>
        </w:tc>
        <w:tc>
          <w:tcPr>
            <w:tcW w:w="1213"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60.961</w:t>
            </w:r>
            <w:r>
              <w:rPr>
                <w:b/>
                <w:bCs/>
                <w:sz w:val="13"/>
                <w:szCs w:val="13"/>
              </w:rPr>
              <w:t>)</w:t>
            </w:r>
          </w:p>
        </w:tc>
        <w:tc>
          <w:tcPr>
            <w:tcW w:w="1190"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60.424</w:t>
            </w:r>
            <w:r>
              <w:rPr>
                <w:b/>
                <w:bCs/>
                <w:sz w:val="13"/>
                <w:szCs w:val="13"/>
              </w:rPr>
              <w:t>)</w:t>
            </w:r>
          </w:p>
        </w:tc>
        <w:tc>
          <w:tcPr>
            <w:tcW w:w="1201" w:type="dxa"/>
            <w:shd w:val="clear" w:color="auto" w:fill="auto"/>
            <w:noWrap/>
            <w:vAlign w:val="center"/>
          </w:tcPr>
          <w:p w:rsidR="00E9008A" w:rsidRPr="00316249" w:rsidRDefault="00E9008A" w:rsidP="005B7D01">
            <w:pPr>
              <w:jc w:val="right"/>
              <w:rPr>
                <w:b/>
                <w:bCs/>
                <w:sz w:val="13"/>
                <w:szCs w:val="13"/>
              </w:rPr>
            </w:pPr>
          </w:p>
        </w:tc>
        <w:tc>
          <w:tcPr>
            <w:tcW w:w="1108"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528.724</w:t>
            </w:r>
            <w:r>
              <w:rPr>
                <w:b/>
                <w:bCs/>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Equivalência Patrimonial</w:t>
            </w:r>
          </w:p>
        </w:tc>
        <w:tc>
          <w:tcPr>
            <w:tcW w:w="1177"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13" w:type="dxa"/>
            <w:shd w:val="clear" w:color="auto" w:fill="auto"/>
            <w:noWrap/>
            <w:vAlign w:val="center"/>
          </w:tcPr>
          <w:p w:rsidR="00E9008A" w:rsidRPr="00316249" w:rsidRDefault="00E9008A" w:rsidP="005B7D01">
            <w:pPr>
              <w:jc w:val="right"/>
              <w:rPr>
                <w:sz w:val="13"/>
                <w:szCs w:val="13"/>
              </w:rPr>
            </w:pPr>
            <w:r w:rsidRPr="00316249">
              <w:rPr>
                <w:sz w:val="13"/>
                <w:szCs w:val="13"/>
              </w:rPr>
              <w:t>13.087</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93.069</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108.369</w:t>
            </w:r>
            <w:r>
              <w:rPr>
                <w:sz w:val="13"/>
                <w:szCs w:val="13"/>
              </w:rPr>
              <w:t>)</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2.213</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RESULTADO BRUTO</w:t>
            </w:r>
          </w:p>
        </w:tc>
        <w:tc>
          <w:tcPr>
            <w:tcW w:w="1177"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207.858</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7.380</w:t>
            </w:r>
          </w:p>
        </w:tc>
        <w:tc>
          <w:tcPr>
            <w:tcW w:w="1213"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62.152</w:t>
            </w:r>
          </w:p>
        </w:tc>
        <w:tc>
          <w:tcPr>
            <w:tcW w:w="1190"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61.613</w:t>
            </w:r>
          </w:p>
        </w:tc>
        <w:tc>
          <w:tcPr>
            <w:tcW w:w="1201"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108.368</w:t>
            </w:r>
            <w:r>
              <w:rPr>
                <w:b/>
                <w:bCs/>
                <w:sz w:val="13"/>
                <w:szCs w:val="13"/>
              </w:rPr>
              <w:t>)</w:t>
            </w:r>
          </w:p>
        </w:tc>
        <w:tc>
          <w:tcPr>
            <w:tcW w:w="1108"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230.635</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Receita Financeira</w:t>
            </w:r>
          </w:p>
        </w:tc>
        <w:tc>
          <w:tcPr>
            <w:tcW w:w="1177" w:type="dxa"/>
            <w:shd w:val="clear" w:color="auto" w:fill="auto"/>
            <w:noWrap/>
            <w:vAlign w:val="center"/>
          </w:tcPr>
          <w:p w:rsidR="00E9008A" w:rsidRPr="00316249" w:rsidRDefault="00E9008A" w:rsidP="005B7D01">
            <w:pPr>
              <w:jc w:val="right"/>
              <w:rPr>
                <w:sz w:val="13"/>
                <w:szCs w:val="13"/>
              </w:rPr>
            </w:pPr>
            <w:r w:rsidRPr="00316249">
              <w:rPr>
                <w:sz w:val="13"/>
                <w:szCs w:val="13"/>
              </w:rPr>
              <w:t>124.706</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896</w:t>
            </w:r>
          </w:p>
        </w:tc>
        <w:tc>
          <w:tcPr>
            <w:tcW w:w="1213" w:type="dxa"/>
            <w:shd w:val="clear" w:color="auto" w:fill="auto"/>
            <w:noWrap/>
            <w:vAlign w:val="center"/>
          </w:tcPr>
          <w:p w:rsidR="00E9008A" w:rsidRPr="00316249" w:rsidRDefault="00E9008A" w:rsidP="005B7D01">
            <w:pPr>
              <w:jc w:val="right"/>
              <w:rPr>
                <w:sz w:val="13"/>
                <w:szCs w:val="13"/>
              </w:rPr>
            </w:pPr>
            <w:r w:rsidRPr="00316249">
              <w:rPr>
                <w:sz w:val="13"/>
                <w:szCs w:val="13"/>
              </w:rPr>
              <w:t>8.058</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2.780</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1.660</w:t>
            </w:r>
            <w:r>
              <w:rPr>
                <w:sz w:val="13"/>
                <w:szCs w:val="13"/>
              </w:rPr>
              <w:t>)</w:t>
            </w:r>
          </w:p>
        </w:tc>
        <w:tc>
          <w:tcPr>
            <w:tcW w:w="1108" w:type="dxa"/>
            <w:shd w:val="clear" w:color="auto" w:fill="auto"/>
            <w:noWrap/>
            <w:vAlign w:val="center"/>
          </w:tcPr>
          <w:p w:rsidR="00E9008A" w:rsidRPr="00316249" w:rsidRDefault="00E9008A" w:rsidP="005B7D01">
            <w:pPr>
              <w:jc w:val="right"/>
              <w:rPr>
                <w:sz w:val="13"/>
                <w:szCs w:val="13"/>
              </w:rPr>
            </w:pPr>
            <w:r w:rsidRPr="00316249">
              <w:rPr>
                <w:sz w:val="13"/>
                <w:szCs w:val="13"/>
              </w:rPr>
              <w:t>134.780</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Despesa Financeira</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243.437</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67</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2.214</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89</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1.660</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244.147</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RESULTADO FINANCEIRO</w:t>
            </w:r>
          </w:p>
        </w:tc>
        <w:tc>
          <w:tcPr>
            <w:tcW w:w="1177"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118.731</w:t>
            </w:r>
            <w:r>
              <w:rPr>
                <w:b/>
                <w:bCs/>
                <w:sz w:val="13"/>
                <w:szCs w:val="13"/>
              </w:rPr>
              <w:t>)</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829</w:t>
            </w:r>
          </w:p>
        </w:tc>
        <w:tc>
          <w:tcPr>
            <w:tcW w:w="1213"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5.844</w:t>
            </w:r>
          </w:p>
        </w:tc>
        <w:tc>
          <w:tcPr>
            <w:tcW w:w="1190"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2.691</w:t>
            </w:r>
          </w:p>
        </w:tc>
        <w:tc>
          <w:tcPr>
            <w:tcW w:w="1201" w:type="dxa"/>
            <w:shd w:val="clear" w:color="auto" w:fill="auto"/>
            <w:noWrap/>
            <w:vAlign w:val="center"/>
          </w:tcPr>
          <w:p w:rsidR="00E9008A" w:rsidRPr="00316249" w:rsidRDefault="00E9008A" w:rsidP="005B7D01">
            <w:pPr>
              <w:jc w:val="right"/>
              <w:rPr>
                <w:b/>
                <w:bCs/>
                <w:sz w:val="13"/>
                <w:szCs w:val="13"/>
              </w:rPr>
            </w:pPr>
          </w:p>
        </w:tc>
        <w:tc>
          <w:tcPr>
            <w:tcW w:w="1108"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109.367</w:t>
            </w:r>
            <w:r>
              <w:rPr>
                <w:b/>
                <w:bCs/>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RESULTADO ANTES DOS IMPOSTOS</w:t>
            </w:r>
          </w:p>
        </w:tc>
        <w:tc>
          <w:tcPr>
            <w:tcW w:w="1177"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89.127</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8.209</w:t>
            </w:r>
          </w:p>
        </w:tc>
        <w:tc>
          <w:tcPr>
            <w:tcW w:w="1213"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67.996</w:t>
            </w:r>
          </w:p>
        </w:tc>
        <w:tc>
          <w:tcPr>
            <w:tcW w:w="1190"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64.304</w:t>
            </w:r>
          </w:p>
        </w:tc>
        <w:tc>
          <w:tcPr>
            <w:tcW w:w="1201"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108.368</w:t>
            </w:r>
            <w:r>
              <w:rPr>
                <w:b/>
                <w:bCs/>
                <w:sz w:val="13"/>
                <w:szCs w:val="13"/>
              </w:rPr>
              <w:t>)</w:t>
            </w:r>
          </w:p>
        </w:tc>
        <w:tc>
          <w:tcPr>
            <w:tcW w:w="1108"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121.268</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Imposto de Renda e Contribuição Social - Corrente</w:t>
            </w:r>
          </w:p>
        </w:tc>
        <w:tc>
          <w:tcPr>
            <w:tcW w:w="1177"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753</w:t>
            </w:r>
            <w:r>
              <w:rPr>
                <w:sz w:val="13"/>
                <w:szCs w:val="13"/>
              </w:rPr>
              <w:t>)</w:t>
            </w:r>
          </w:p>
        </w:tc>
        <w:tc>
          <w:tcPr>
            <w:tcW w:w="1213"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18.600</w:t>
            </w:r>
            <w:r>
              <w:rPr>
                <w:sz w:val="13"/>
                <w:szCs w:val="13"/>
              </w:rPr>
              <w:t>)</w:t>
            </w:r>
          </w:p>
        </w:tc>
        <w:tc>
          <w:tcPr>
            <w:tcW w:w="1190"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80</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19.433</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Imposto de Renda e Contribuição Social </w:t>
            </w:r>
            <w:r>
              <w:rPr>
                <w:color w:val="000000"/>
                <w:sz w:val="13"/>
                <w:szCs w:val="13"/>
              </w:rPr>
              <w:t xml:space="preserve">- </w:t>
            </w:r>
            <w:r w:rsidRPr="00316249">
              <w:rPr>
                <w:color w:val="000000"/>
                <w:sz w:val="13"/>
                <w:szCs w:val="13"/>
              </w:rPr>
              <w:t>Diferido</w:t>
            </w:r>
          </w:p>
        </w:tc>
        <w:tc>
          <w:tcPr>
            <w:tcW w:w="1177"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52.682</w:t>
            </w:r>
            <w:r>
              <w:rPr>
                <w:sz w:val="13"/>
                <w:szCs w:val="13"/>
              </w:rPr>
              <w:t>)</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13" w:type="dxa"/>
            <w:shd w:val="clear" w:color="auto" w:fill="auto"/>
            <w:noWrap/>
            <w:vAlign w:val="center"/>
          </w:tcPr>
          <w:p w:rsidR="00E9008A" w:rsidRPr="00316249" w:rsidRDefault="00E9008A" w:rsidP="005B7D01">
            <w:pPr>
              <w:jc w:val="right"/>
              <w:rPr>
                <w:sz w:val="13"/>
                <w:szCs w:val="13"/>
              </w:rPr>
            </w:pPr>
            <w:r w:rsidRPr="00316249">
              <w:rPr>
                <w:sz w:val="13"/>
                <w:szCs w:val="13"/>
              </w:rPr>
              <w:t>147</w:t>
            </w:r>
          </w:p>
        </w:tc>
        <w:tc>
          <w:tcPr>
            <w:tcW w:w="1190"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201" w:type="dxa"/>
            <w:shd w:val="clear" w:color="auto" w:fill="auto"/>
            <w:noWrap/>
            <w:vAlign w:val="center"/>
          </w:tcPr>
          <w:p w:rsidR="00E9008A" w:rsidRPr="00316249" w:rsidRDefault="00E9008A" w:rsidP="005B7D01">
            <w:pPr>
              <w:jc w:val="right"/>
              <w:rPr>
                <w:sz w:val="13"/>
                <w:szCs w:val="13"/>
              </w:rPr>
            </w:pPr>
            <w:r w:rsidRPr="00316249">
              <w:rPr>
                <w:sz w:val="13"/>
                <w:szCs w:val="13"/>
              </w:rPr>
              <w:t> </w:t>
            </w:r>
          </w:p>
        </w:tc>
        <w:tc>
          <w:tcPr>
            <w:tcW w:w="1108" w:type="dxa"/>
            <w:shd w:val="clear" w:color="auto" w:fill="auto"/>
            <w:noWrap/>
            <w:vAlign w:val="center"/>
          </w:tcPr>
          <w:p w:rsidR="00E9008A" w:rsidRPr="00316249" w:rsidRDefault="00E9008A" w:rsidP="005B7D01">
            <w:pPr>
              <w:jc w:val="right"/>
              <w:rPr>
                <w:sz w:val="13"/>
                <w:szCs w:val="13"/>
              </w:rPr>
            </w:pPr>
            <w:r>
              <w:rPr>
                <w:sz w:val="13"/>
                <w:szCs w:val="13"/>
              </w:rPr>
              <w:t>(</w:t>
            </w:r>
            <w:r w:rsidRPr="00316249">
              <w:rPr>
                <w:sz w:val="13"/>
                <w:szCs w:val="13"/>
              </w:rPr>
              <w:t>52.535</w:t>
            </w:r>
            <w:r>
              <w:rPr>
                <w:sz w:val="13"/>
                <w:szCs w:val="13"/>
              </w:rPr>
              <w:t>)</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b/>
                <w:bCs/>
                <w:color w:val="000000"/>
                <w:sz w:val="13"/>
                <w:szCs w:val="13"/>
              </w:rPr>
            </w:pPr>
            <w:r w:rsidRPr="00316249">
              <w:rPr>
                <w:b/>
                <w:bCs/>
                <w:color w:val="000000"/>
                <w:sz w:val="13"/>
                <w:szCs w:val="13"/>
              </w:rPr>
              <w:t xml:space="preserve"> LUCRO (PREJUÍZO) LÍQUIDO DO PERÍODO</w:t>
            </w:r>
          </w:p>
        </w:tc>
        <w:tc>
          <w:tcPr>
            <w:tcW w:w="1177"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36.445</w:t>
            </w:r>
          </w:p>
        </w:tc>
        <w:tc>
          <w:tcPr>
            <w:tcW w:w="1201"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7.456</w:t>
            </w:r>
          </w:p>
        </w:tc>
        <w:tc>
          <w:tcPr>
            <w:tcW w:w="1213"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49.543</w:t>
            </w:r>
          </w:p>
        </w:tc>
        <w:tc>
          <w:tcPr>
            <w:tcW w:w="1190"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64.224</w:t>
            </w:r>
          </w:p>
        </w:tc>
        <w:tc>
          <w:tcPr>
            <w:tcW w:w="1201" w:type="dxa"/>
            <w:shd w:val="clear" w:color="auto" w:fill="auto"/>
            <w:noWrap/>
            <w:vAlign w:val="center"/>
          </w:tcPr>
          <w:p w:rsidR="00E9008A" w:rsidRPr="00316249" w:rsidRDefault="00E9008A" w:rsidP="005B7D01">
            <w:pPr>
              <w:jc w:val="right"/>
              <w:rPr>
                <w:b/>
                <w:bCs/>
                <w:sz w:val="13"/>
                <w:szCs w:val="13"/>
              </w:rPr>
            </w:pPr>
            <w:r>
              <w:rPr>
                <w:b/>
                <w:bCs/>
                <w:sz w:val="13"/>
                <w:szCs w:val="13"/>
              </w:rPr>
              <w:t>(</w:t>
            </w:r>
            <w:r w:rsidRPr="00316249">
              <w:rPr>
                <w:b/>
                <w:bCs/>
                <w:sz w:val="13"/>
                <w:szCs w:val="13"/>
              </w:rPr>
              <w:t>108.368</w:t>
            </w:r>
            <w:r>
              <w:rPr>
                <w:b/>
                <w:bCs/>
                <w:sz w:val="13"/>
                <w:szCs w:val="13"/>
              </w:rPr>
              <w:t>)</w:t>
            </w:r>
          </w:p>
        </w:tc>
        <w:tc>
          <w:tcPr>
            <w:tcW w:w="1108" w:type="dxa"/>
            <w:shd w:val="clear" w:color="auto" w:fill="auto"/>
            <w:noWrap/>
            <w:vAlign w:val="center"/>
          </w:tcPr>
          <w:p w:rsidR="00E9008A" w:rsidRPr="00316249" w:rsidRDefault="00E9008A" w:rsidP="005B7D01">
            <w:pPr>
              <w:jc w:val="right"/>
              <w:rPr>
                <w:b/>
                <w:bCs/>
                <w:sz w:val="13"/>
                <w:szCs w:val="13"/>
              </w:rPr>
            </w:pPr>
            <w:r w:rsidRPr="00316249">
              <w:rPr>
                <w:b/>
                <w:bCs/>
                <w:sz w:val="13"/>
                <w:szCs w:val="13"/>
              </w:rPr>
              <w:t>49.300</w:t>
            </w:r>
          </w:p>
        </w:tc>
      </w:tr>
      <w:tr w:rsidR="00E9008A" w:rsidRPr="00316249" w:rsidTr="005B7D01">
        <w:trPr>
          <w:trHeight w:val="7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Atribuível ao Acionista Controlador</w:t>
            </w:r>
          </w:p>
        </w:tc>
        <w:tc>
          <w:tcPr>
            <w:tcW w:w="1177" w:type="dxa"/>
            <w:shd w:val="clear" w:color="auto" w:fill="auto"/>
            <w:noWrap/>
            <w:vAlign w:val="center"/>
          </w:tcPr>
          <w:p w:rsidR="00E9008A" w:rsidRPr="00316249" w:rsidRDefault="00E9008A" w:rsidP="005B7D01">
            <w:pPr>
              <w:jc w:val="right"/>
              <w:rPr>
                <w:b/>
                <w:bCs/>
                <w:sz w:val="13"/>
                <w:szCs w:val="13"/>
              </w:rPr>
            </w:pPr>
          </w:p>
        </w:tc>
        <w:tc>
          <w:tcPr>
            <w:tcW w:w="1201" w:type="dxa"/>
            <w:shd w:val="clear" w:color="auto" w:fill="auto"/>
            <w:noWrap/>
            <w:vAlign w:val="center"/>
          </w:tcPr>
          <w:p w:rsidR="00E9008A" w:rsidRPr="00316249" w:rsidRDefault="00E9008A" w:rsidP="005B7D01">
            <w:pPr>
              <w:jc w:val="right"/>
              <w:rPr>
                <w:b/>
                <w:bCs/>
                <w:sz w:val="13"/>
                <w:szCs w:val="13"/>
              </w:rPr>
            </w:pPr>
          </w:p>
        </w:tc>
        <w:tc>
          <w:tcPr>
            <w:tcW w:w="1213" w:type="dxa"/>
            <w:shd w:val="clear" w:color="auto" w:fill="auto"/>
            <w:noWrap/>
            <w:vAlign w:val="center"/>
          </w:tcPr>
          <w:p w:rsidR="00E9008A" w:rsidRPr="00316249" w:rsidRDefault="00E9008A" w:rsidP="005B7D01">
            <w:pPr>
              <w:jc w:val="right"/>
              <w:rPr>
                <w:b/>
                <w:bCs/>
                <w:sz w:val="13"/>
                <w:szCs w:val="13"/>
              </w:rPr>
            </w:pPr>
          </w:p>
        </w:tc>
        <w:tc>
          <w:tcPr>
            <w:tcW w:w="1190" w:type="dxa"/>
            <w:shd w:val="clear" w:color="auto" w:fill="auto"/>
            <w:noWrap/>
            <w:vAlign w:val="center"/>
          </w:tcPr>
          <w:p w:rsidR="00E9008A" w:rsidRPr="00316249" w:rsidRDefault="00E9008A" w:rsidP="005B7D01">
            <w:pPr>
              <w:jc w:val="right"/>
              <w:rPr>
                <w:b/>
                <w:bCs/>
                <w:sz w:val="13"/>
                <w:szCs w:val="13"/>
              </w:rPr>
            </w:pPr>
          </w:p>
        </w:tc>
        <w:tc>
          <w:tcPr>
            <w:tcW w:w="1201" w:type="dxa"/>
            <w:shd w:val="clear" w:color="auto" w:fill="auto"/>
            <w:noWrap/>
            <w:vAlign w:val="center"/>
          </w:tcPr>
          <w:p w:rsidR="00E9008A" w:rsidRPr="00316249" w:rsidRDefault="00E9008A" w:rsidP="005B7D01">
            <w:pPr>
              <w:jc w:val="right"/>
              <w:rPr>
                <w:b/>
                <w:bCs/>
                <w:sz w:val="13"/>
                <w:szCs w:val="13"/>
              </w:rPr>
            </w:pPr>
          </w:p>
        </w:tc>
        <w:tc>
          <w:tcPr>
            <w:tcW w:w="1108" w:type="dxa"/>
            <w:shd w:val="clear" w:color="auto" w:fill="auto"/>
            <w:noWrap/>
            <w:vAlign w:val="center"/>
          </w:tcPr>
          <w:p w:rsidR="00E9008A" w:rsidRPr="00316249" w:rsidRDefault="00E9008A" w:rsidP="005B7D01">
            <w:pPr>
              <w:jc w:val="right"/>
              <w:rPr>
                <w:sz w:val="13"/>
                <w:szCs w:val="13"/>
              </w:rPr>
            </w:pPr>
            <w:r w:rsidRPr="00316249">
              <w:rPr>
                <w:sz w:val="13"/>
                <w:szCs w:val="13"/>
              </w:rPr>
              <w:t xml:space="preserve">        25.448</w:t>
            </w:r>
          </w:p>
        </w:tc>
      </w:tr>
      <w:tr w:rsidR="00E9008A" w:rsidRPr="00316249" w:rsidTr="005B7D01">
        <w:trPr>
          <w:trHeight w:val="210"/>
        </w:trPr>
        <w:tc>
          <w:tcPr>
            <w:tcW w:w="2848" w:type="dxa"/>
            <w:shd w:val="clear" w:color="auto" w:fill="auto"/>
            <w:noWrap/>
            <w:vAlign w:val="center"/>
            <w:hideMark/>
          </w:tcPr>
          <w:p w:rsidR="00E9008A" w:rsidRPr="00316249" w:rsidRDefault="00E9008A" w:rsidP="005B7D01">
            <w:pPr>
              <w:rPr>
                <w:color w:val="000000"/>
                <w:sz w:val="13"/>
                <w:szCs w:val="13"/>
              </w:rPr>
            </w:pPr>
            <w:r w:rsidRPr="00316249">
              <w:rPr>
                <w:color w:val="000000"/>
                <w:sz w:val="13"/>
                <w:szCs w:val="13"/>
              </w:rPr>
              <w:t xml:space="preserve">   Atribuível aos Acionistas </w:t>
            </w:r>
            <w:r>
              <w:rPr>
                <w:color w:val="000000"/>
                <w:sz w:val="13"/>
                <w:szCs w:val="13"/>
              </w:rPr>
              <w:t>N</w:t>
            </w:r>
            <w:r w:rsidRPr="00316249">
              <w:rPr>
                <w:color w:val="000000"/>
                <w:sz w:val="13"/>
                <w:szCs w:val="13"/>
              </w:rPr>
              <w:t>ão Controladores</w:t>
            </w:r>
          </w:p>
        </w:tc>
        <w:tc>
          <w:tcPr>
            <w:tcW w:w="1177" w:type="dxa"/>
            <w:shd w:val="clear" w:color="auto" w:fill="auto"/>
            <w:noWrap/>
            <w:vAlign w:val="center"/>
          </w:tcPr>
          <w:p w:rsidR="00E9008A" w:rsidRPr="00316249" w:rsidRDefault="00E9008A" w:rsidP="005B7D01">
            <w:pPr>
              <w:jc w:val="right"/>
              <w:rPr>
                <w:sz w:val="13"/>
                <w:szCs w:val="13"/>
              </w:rPr>
            </w:pPr>
          </w:p>
        </w:tc>
        <w:tc>
          <w:tcPr>
            <w:tcW w:w="1201" w:type="dxa"/>
            <w:shd w:val="clear" w:color="auto" w:fill="auto"/>
            <w:noWrap/>
            <w:vAlign w:val="center"/>
          </w:tcPr>
          <w:p w:rsidR="00E9008A" w:rsidRPr="00316249" w:rsidRDefault="00E9008A" w:rsidP="005B7D01">
            <w:pPr>
              <w:jc w:val="right"/>
              <w:rPr>
                <w:sz w:val="13"/>
                <w:szCs w:val="13"/>
              </w:rPr>
            </w:pPr>
          </w:p>
        </w:tc>
        <w:tc>
          <w:tcPr>
            <w:tcW w:w="1213" w:type="dxa"/>
            <w:shd w:val="clear" w:color="auto" w:fill="auto"/>
            <w:noWrap/>
            <w:vAlign w:val="center"/>
          </w:tcPr>
          <w:p w:rsidR="00E9008A" w:rsidRPr="00316249" w:rsidRDefault="00E9008A" w:rsidP="005B7D01">
            <w:pPr>
              <w:jc w:val="right"/>
              <w:rPr>
                <w:sz w:val="13"/>
                <w:szCs w:val="13"/>
              </w:rPr>
            </w:pPr>
          </w:p>
        </w:tc>
        <w:tc>
          <w:tcPr>
            <w:tcW w:w="1190" w:type="dxa"/>
            <w:shd w:val="clear" w:color="auto" w:fill="auto"/>
            <w:noWrap/>
            <w:vAlign w:val="center"/>
          </w:tcPr>
          <w:p w:rsidR="00E9008A" w:rsidRPr="00316249" w:rsidRDefault="00E9008A" w:rsidP="005B7D01">
            <w:pPr>
              <w:jc w:val="right"/>
              <w:rPr>
                <w:sz w:val="13"/>
                <w:szCs w:val="13"/>
              </w:rPr>
            </w:pPr>
          </w:p>
        </w:tc>
        <w:tc>
          <w:tcPr>
            <w:tcW w:w="1201" w:type="dxa"/>
            <w:shd w:val="clear" w:color="auto" w:fill="auto"/>
            <w:noWrap/>
            <w:vAlign w:val="center"/>
          </w:tcPr>
          <w:p w:rsidR="00E9008A" w:rsidRPr="00316249" w:rsidRDefault="00E9008A" w:rsidP="005B7D01">
            <w:pPr>
              <w:jc w:val="right"/>
              <w:rPr>
                <w:sz w:val="13"/>
                <w:szCs w:val="13"/>
              </w:rPr>
            </w:pPr>
          </w:p>
        </w:tc>
        <w:tc>
          <w:tcPr>
            <w:tcW w:w="1108" w:type="dxa"/>
            <w:shd w:val="clear" w:color="auto" w:fill="auto"/>
            <w:noWrap/>
            <w:vAlign w:val="center"/>
          </w:tcPr>
          <w:p w:rsidR="00E9008A" w:rsidRPr="00316249" w:rsidRDefault="00E9008A" w:rsidP="005B7D01">
            <w:pPr>
              <w:jc w:val="right"/>
              <w:rPr>
                <w:sz w:val="13"/>
                <w:szCs w:val="13"/>
              </w:rPr>
            </w:pPr>
            <w:r w:rsidRPr="00316249">
              <w:rPr>
                <w:sz w:val="13"/>
                <w:szCs w:val="13"/>
              </w:rPr>
              <w:t xml:space="preserve">        23.853 </w:t>
            </w:r>
          </w:p>
        </w:tc>
      </w:tr>
    </w:tbl>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t>DESDOBRAMENTO DAS CONTAS DO RESULTADO</w:t>
      </w:r>
    </w:p>
    <w:p w:rsidR="00E9008A" w:rsidRPr="00DC1756" w:rsidRDefault="00E9008A" w:rsidP="00DC1756">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DC1756">
        <w:rPr>
          <w:rFonts w:ascii="Times New Roman" w:eastAsia="Arial Unicode MS" w:hAnsi="Times New Roman" w:cs="Times New Roman"/>
          <w:b/>
          <w:bCs/>
          <w:iCs/>
          <w:lang w:val="pt-BR"/>
        </w:rPr>
        <w:t>Receita Operacional Líquida</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6"/>
        <w:gridCol w:w="1029"/>
        <w:gridCol w:w="1031"/>
        <w:gridCol w:w="1218"/>
        <w:gridCol w:w="1410"/>
      </w:tblGrid>
      <w:tr w:rsidR="00E9008A" w:rsidRPr="00316249" w:rsidTr="005B7D01">
        <w:trPr>
          <w:trHeight w:val="161"/>
          <w:tblHeader/>
        </w:trPr>
        <w:tc>
          <w:tcPr>
            <w:tcW w:w="2434" w:type="pct"/>
            <w:vMerge w:val="restart"/>
            <w:shd w:val="clear" w:color="000000" w:fill="D9D9D9"/>
            <w:noWrap/>
            <w:vAlign w:val="center"/>
            <w:hideMark/>
          </w:tcPr>
          <w:p w:rsidR="00E9008A" w:rsidRPr="00316249" w:rsidRDefault="00E9008A" w:rsidP="005B7D01">
            <w:pPr>
              <w:spacing w:before="240" w:after="240"/>
              <w:jc w:val="center"/>
              <w:rPr>
                <w:color w:val="000000"/>
                <w:sz w:val="22"/>
                <w:szCs w:val="22"/>
              </w:rPr>
            </w:pPr>
            <w:r w:rsidRPr="00316249">
              <w:rPr>
                <w:color w:val="000000"/>
                <w:sz w:val="22"/>
                <w:szCs w:val="22"/>
              </w:rPr>
              <w:t> </w:t>
            </w:r>
          </w:p>
        </w:tc>
        <w:tc>
          <w:tcPr>
            <w:tcW w:w="1175"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Controladora </w:t>
            </w:r>
          </w:p>
        </w:tc>
        <w:tc>
          <w:tcPr>
            <w:tcW w:w="1391"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Consolidado </w:t>
            </w:r>
          </w:p>
        </w:tc>
      </w:tr>
      <w:tr w:rsidR="00E9008A" w:rsidRPr="00316249" w:rsidTr="005B7D01">
        <w:trPr>
          <w:trHeight w:val="161"/>
          <w:tblHeader/>
        </w:trPr>
        <w:tc>
          <w:tcPr>
            <w:tcW w:w="2434" w:type="pct"/>
            <w:vMerge/>
            <w:vAlign w:val="center"/>
            <w:hideMark/>
          </w:tcPr>
          <w:p w:rsidR="00E9008A" w:rsidRPr="00316249" w:rsidRDefault="00E9008A" w:rsidP="005B7D01">
            <w:pPr>
              <w:rPr>
                <w:color w:val="000000"/>
                <w:sz w:val="22"/>
                <w:szCs w:val="22"/>
              </w:rPr>
            </w:pPr>
          </w:p>
        </w:tc>
        <w:tc>
          <w:tcPr>
            <w:tcW w:w="58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9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00"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Fornecimento de Energia Elétrica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3.324.987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3.224.448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Energia de Curto Prazo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275.812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355.860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Recursos de Parcela A e Outros Itens Financeiros</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(304.926)</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164.955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Receita de Construção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58.100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82.781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Aporte de Recursos da CDE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41.273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50.426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Receita de Prestação de Serviços </w:t>
            </w:r>
          </w:p>
        </w:tc>
        <w:tc>
          <w:tcPr>
            <w:tcW w:w="58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40.354</w:t>
            </w: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28.869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41.362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30.226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Suprimento de Energia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31.731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29.823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Disponibilidade do Sistema de Distribuição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21.198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29.423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Arrendamento e Aluguéis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28.494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26.543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Receita de Venda de Gás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4.919 </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4.528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Outras Receitas</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2.692</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2.645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Receita Operacional Bruta </w:t>
            </w:r>
          </w:p>
        </w:tc>
        <w:tc>
          <w:tcPr>
            <w:tcW w:w="58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40.354</w:t>
            </w:r>
          </w:p>
        </w:tc>
        <w:tc>
          <w:tcPr>
            <w:tcW w:w="587"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28.869 </w:t>
            </w:r>
          </w:p>
        </w:tc>
        <w:tc>
          <w:tcPr>
            <w:tcW w:w="69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3.525.642 </w:t>
            </w:r>
          </w:p>
        </w:tc>
        <w:tc>
          <w:tcPr>
            <w:tcW w:w="700"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4.001.658 </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Impostos </w:t>
            </w:r>
          </w:p>
        </w:tc>
        <w:tc>
          <w:tcPr>
            <w:tcW w:w="58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(807)</w:t>
            </w: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(578)</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(678.191)</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(637.719)</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Contribuições </w:t>
            </w:r>
          </w:p>
        </w:tc>
        <w:tc>
          <w:tcPr>
            <w:tcW w:w="58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(3.739)</w:t>
            </w: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(2.806)</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(333.619)</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(381.970)</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Encargos do Consumidor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(399.156)</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(585.960)</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lastRenderedPageBreak/>
              <w:t xml:space="preserve"> Descontos Incondicionais </w:t>
            </w:r>
          </w:p>
        </w:tc>
        <w:tc>
          <w:tcPr>
            <w:tcW w:w="587" w:type="pct"/>
            <w:shd w:val="clear" w:color="auto" w:fill="auto"/>
            <w:noWrap/>
            <w:vAlign w:val="center"/>
          </w:tcPr>
          <w:p w:rsidR="00E9008A" w:rsidRPr="00316249" w:rsidRDefault="00E9008A" w:rsidP="005B7D01">
            <w:pPr>
              <w:jc w:val="right"/>
              <w:rPr>
                <w:color w:val="000000"/>
                <w:sz w:val="18"/>
                <w:szCs w:val="18"/>
              </w:rPr>
            </w:pPr>
          </w:p>
        </w:tc>
        <w:tc>
          <w:tcPr>
            <w:tcW w:w="58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9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(122)</w:t>
            </w:r>
          </w:p>
        </w:tc>
        <w:tc>
          <w:tcPr>
            <w:tcW w:w="700"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Deduções da Receita Operacional Bruta </w:t>
            </w:r>
          </w:p>
        </w:tc>
        <w:tc>
          <w:tcPr>
            <w:tcW w:w="58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(4.546)</w:t>
            </w:r>
          </w:p>
        </w:tc>
        <w:tc>
          <w:tcPr>
            <w:tcW w:w="587"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(3.374)</w:t>
            </w:r>
          </w:p>
        </w:tc>
        <w:tc>
          <w:tcPr>
            <w:tcW w:w="69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(1.411.088)</w:t>
            </w:r>
          </w:p>
        </w:tc>
        <w:tc>
          <w:tcPr>
            <w:tcW w:w="700" w:type="pct"/>
            <w:shd w:val="clear" w:color="auto" w:fill="auto"/>
            <w:noWrap/>
            <w:vAlign w:val="center"/>
            <w:hideMark/>
          </w:tcPr>
          <w:p w:rsidR="00E9008A" w:rsidRPr="00316249" w:rsidRDefault="00E9008A" w:rsidP="005B7D01">
            <w:pPr>
              <w:jc w:val="right"/>
              <w:rPr>
                <w:b/>
                <w:bCs/>
                <w:sz w:val="18"/>
                <w:szCs w:val="18"/>
              </w:rPr>
            </w:pPr>
            <w:r w:rsidRPr="00316249">
              <w:rPr>
                <w:b/>
                <w:bCs/>
                <w:sz w:val="18"/>
                <w:szCs w:val="18"/>
              </w:rPr>
              <w:t xml:space="preserve">  (1.605.654)</w:t>
            </w:r>
          </w:p>
        </w:tc>
      </w:tr>
      <w:tr w:rsidR="00E9008A" w:rsidRPr="00316249" w:rsidTr="005B7D01">
        <w:trPr>
          <w:trHeight w:val="161"/>
        </w:trPr>
        <w:tc>
          <w:tcPr>
            <w:tcW w:w="2434"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Receita Operacional Líquida </w:t>
            </w:r>
          </w:p>
        </w:tc>
        <w:tc>
          <w:tcPr>
            <w:tcW w:w="587"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35.808</w:t>
            </w:r>
          </w:p>
        </w:tc>
        <w:tc>
          <w:tcPr>
            <w:tcW w:w="587"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25.485 </w:t>
            </w:r>
          </w:p>
        </w:tc>
        <w:tc>
          <w:tcPr>
            <w:tcW w:w="691"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2.114.554 </w:t>
            </w:r>
          </w:p>
        </w:tc>
        <w:tc>
          <w:tcPr>
            <w:tcW w:w="700" w:type="pct"/>
            <w:shd w:val="clear" w:color="auto" w:fill="auto"/>
            <w:noWrap/>
            <w:vAlign w:val="center"/>
            <w:hideMark/>
          </w:tcPr>
          <w:p w:rsidR="00E9008A" w:rsidRPr="00316249" w:rsidRDefault="00E9008A" w:rsidP="005B7D01">
            <w:pPr>
              <w:jc w:val="right"/>
              <w:rPr>
                <w:b/>
                <w:bCs/>
                <w:sz w:val="18"/>
                <w:szCs w:val="18"/>
              </w:rPr>
            </w:pPr>
            <w:r w:rsidRPr="00316249">
              <w:rPr>
                <w:b/>
                <w:bCs/>
                <w:sz w:val="18"/>
                <w:szCs w:val="18"/>
              </w:rPr>
              <w:t xml:space="preserve">   2.396.004 </w:t>
            </w:r>
          </w:p>
        </w:tc>
      </w:tr>
    </w:tbl>
    <w:p w:rsidR="00DC1756" w:rsidRPr="00DC1756" w:rsidRDefault="00DC1756" w:rsidP="00DC1756">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DC1756" w:rsidRPr="00DC1756" w:rsidRDefault="00DC1756" w:rsidP="00DC1756">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DC1756" w:rsidRPr="00DC1756" w:rsidRDefault="00DC1756" w:rsidP="00DC1756">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E9008A" w:rsidRPr="00DC1756" w:rsidRDefault="00E9008A" w:rsidP="00DC1756">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DC1756">
        <w:rPr>
          <w:b/>
        </w:rPr>
        <w:t>Aporte de recursos da CDE</w:t>
      </w:r>
    </w:p>
    <w:p w:rsidR="00E9008A" w:rsidRDefault="00E9008A" w:rsidP="00E9008A">
      <w:pPr>
        <w:autoSpaceDE w:val="0"/>
        <w:autoSpaceDN w:val="0"/>
        <w:adjustRightInd w:val="0"/>
        <w:spacing w:before="240" w:after="240"/>
        <w:jc w:val="both"/>
        <w:rPr>
          <w:rFonts w:eastAsiaTheme="minorHAnsi"/>
          <w:sz w:val="22"/>
          <w:szCs w:val="22"/>
          <w:lang w:eastAsia="en-US"/>
        </w:rPr>
      </w:pPr>
      <w:r w:rsidRPr="00316249">
        <w:rPr>
          <w:rFonts w:eastAsiaTheme="minorHAnsi"/>
          <w:sz w:val="22"/>
          <w:szCs w:val="22"/>
          <w:lang w:eastAsia="en-US"/>
        </w:rPr>
        <w:t>A Medida Provisória n° 579, de 11 de setembro de 2012 (convertida na Lei nº 12.783, de 11 de janeiro de 2013), determinou que os recursos relacionados à subvenção de baixa renda bem como outros descontos tarifários passassem a ser subsidiados integralmente por recursos oriundos da CDE. Estes recursos serão repassados pela Eletrobrás</w:t>
      </w:r>
      <w:r w:rsidRPr="00316249">
        <w:rPr>
          <w:sz w:val="22"/>
          <w:szCs w:val="22"/>
        </w:rPr>
        <w:t xml:space="preserve"> e são homologados pela ANEEL no processo de reajuste tarifário anual das distribuidoras</w:t>
      </w:r>
      <w:r w:rsidRPr="00316249">
        <w:rPr>
          <w:rFonts w:eastAsiaTheme="minorHAnsi"/>
          <w:sz w:val="22"/>
          <w:szCs w:val="22"/>
          <w:lang w:eastAsia="en-US"/>
        </w:rPr>
        <w:t>.</w:t>
      </w:r>
    </w:p>
    <w:p w:rsidR="00E9008A" w:rsidRPr="00AB6A93" w:rsidRDefault="00E9008A" w:rsidP="00E9008A">
      <w:pPr>
        <w:autoSpaceDE w:val="0"/>
        <w:autoSpaceDN w:val="0"/>
        <w:adjustRightInd w:val="0"/>
        <w:spacing w:before="240"/>
        <w:jc w:val="both"/>
        <w:rPr>
          <w:sz w:val="22"/>
          <w:szCs w:val="22"/>
        </w:rPr>
      </w:pPr>
      <w:r w:rsidRPr="00747E73">
        <w:rPr>
          <w:sz w:val="22"/>
          <w:szCs w:val="22"/>
        </w:rPr>
        <w:t>Sendo assim, a Resolução Homologatória nº 1.937, de 25 de agosto de 2015, que reajustou as tarifas da CEB D, estabeleceu também um valor mensal correspondente a R$ 2,51 milhões a ser repassado à Empresa pela Eletrobrás, no período de competência de agosto de 2015 a julho de 2016. Tal repasse se refere aos descontos incidentes sobre as tarifas aplicáveis aos usuários do serviço público de distribuição de energia elétrica. Nos meses de agosto e setembro de 2016, por meio da REH nº 2.033, foi estabelecido o valor mensal de R$ 2,8 milhões. Posteriormente, em 18 de outubro de 2016, o valor mensal foi redefinido em R$ 3,3 milhões por meio do 4º Ciclo de Revisão Tarifária, nos termos da Resolução Homologatória ANEEL n° 2.161, no período de outubro de 2015 a setembro de 2016.</w:t>
      </w:r>
    </w:p>
    <w:p w:rsidR="00E9008A" w:rsidRPr="00316249" w:rsidRDefault="00E9008A" w:rsidP="00E9008A">
      <w:pPr>
        <w:autoSpaceDE w:val="0"/>
        <w:autoSpaceDN w:val="0"/>
        <w:adjustRightInd w:val="0"/>
        <w:spacing w:before="240" w:after="240"/>
        <w:jc w:val="both"/>
        <w:rPr>
          <w:color w:val="000000"/>
          <w:sz w:val="22"/>
          <w:szCs w:val="22"/>
        </w:rPr>
      </w:pPr>
      <w:r w:rsidRPr="00316249">
        <w:rPr>
          <w:rFonts w:eastAsiaTheme="minorHAnsi"/>
          <w:sz w:val="22"/>
          <w:szCs w:val="22"/>
          <w:lang w:eastAsia="en-US"/>
        </w:rPr>
        <w:t xml:space="preserve"> No exercício de 2016, os aportes de CDE totalizaram R$ 41.273 (R$ 50.426 em 2015)</w:t>
      </w:r>
      <w:r w:rsidRPr="00316249">
        <w:rPr>
          <w:sz w:val="22"/>
          <w:szCs w:val="22"/>
        </w:rPr>
        <w:t xml:space="preserve">. Tais aportes seguiram o que está previsto no art. 13, inciso VII, da Lei nº 10.438, de 26 de abril de 2002, redação dada pela Medida Provisória nº 605, de 23 de janeiro de 2013, e em cumprimento ao disposto no art. 3º do Decreto nº 7.891, de 23 de janeiro de 2013. O saldo a receber foi contabilizado na rubrica Recursos </w:t>
      </w:r>
      <w:r w:rsidRPr="00316249">
        <w:rPr>
          <w:color w:val="000000"/>
          <w:sz w:val="22"/>
          <w:szCs w:val="22"/>
        </w:rPr>
        <w:t>da CDE – Decreto nº 7.945/2013 (Nota Explicativa nº 9).</w:t>
      </w:r>
    </w:p>
    <w:p w:rsidR="00E9008A" w:rsidRPr="00DC1756" w:rsidRDefault="00E9008A" w:rsidP="00DC1756">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DC1756">
        <w:rPr>
          <w:b/>
        </w:rPr>
        <w:t>Encargos do consumidor</w:t>
      </w:r>
    </w:p>
    <w:p w:rsidR="00FF5C4E" w:rsidRPr="00FF5C4E" w:rsidRDefault="00FF5C4E" w:rsidP="00FF5C4E">
      <w:pPr>
        <w:pStyle w:val="PargrafodaLista"/>
        <w:numPr>
          <w:ilvl w:val="2"/>
          <w:numId w:val="23"/>
        </w:numPr>
        <w:rPr>
          <w:rFonts w:ascii="Times New Roman" w:hAnsi="Times New Roman" w:cs="Times New Roman"/>
          <w:b/>
          <w:iCs/>
          <w:vanish/>
          <w:lang w:val="pt-BR"/>
        </w:rPr>
      </w:pPr>
    </w:p>
    <w:p w:rsidR="00E9008A" w:rsidRPr="00FF5C4E" w:rsidRDefault="00FF5C4E" w:rsidP="00FF5C4E">
      <w:pPr>
        <w:rPr>
          <w:b/>
          <w:iCs/>
          <w:sz w:val="22"/>
          <w:szCs w:val="22"/>
        </w:rPr>
      </w:pPr>
      <w:r w:rsidRPr="00FF5C4E">
        <w:rPr>
          <w:b/>
          <w:sz w:val="22"/>
          <w:szCs w:val="22"/>
        </w:rPr>
        <w:t>31.1.2.</w:t>
      </w:r>
      <w:r>
        <w:rPr>
          <w:b/>
          <w:sz w:val="22"/>
          <w:szCs w:val="22"/>
        </w:rPr>
        <w:t>1</w:t>
      </w:r>
      <w:r w:rsidRPr="00FF5C4E">
        <w:rPr>
          <w:b/>
          <w:sz w:val="22"/>
          <w:szCs w:val="22"/>
        </w:rPr>
        <w:t>.</w:t>
      </w:r>
      <w:r w:rsidRPr="00FF5C4E">
        <w:rPr>
          <w:b/>
          <w:sz w:val="22"/>
          <w:szCs w:val="22"/>
        </w:rPr>
        <w:tab/>
      </w:r>
      <w:r w:rsidR="00E9008A" w:rsidRPr="00FF5C4E">
        <w:rPr>
          <w:b/>
          <w:iCs/>
          <w:sz w:val="22"/>
          <w:szCs w:val="22"/>
        </w:rPr>
        <w:t>Repasse da Conta de Desenvolvimento Energético – CDE</w:t>
      </w:r>
    </w:p>
    <w:p w:rsidR="00E9008A" w:rsidRDefault="00E9008A" w:rsidP="00E9008A">
      <w:pPr>
        <w:spacing w:before="240" w:after="240"/>
        <w:jc w:val="both"/>
        <w:rPr>
          <w:color w:val="000000"/>
          <w:sz w:val="22"/>
          <w:szCs w:val="22"/>
        </w:rPr>
      </w:pPr>
      <w:r w:rsidRPr="00316249">
        <w:rPr>
          <w:color w:val="000000"/>
          <w:sz w:val="22"/>
          <w:szCs w:val="22"/>
        </w:rPr>
        <w:t xml:space="preserve">Em 27 de fevereiro de 2015, a ANEEL publicou a Resolução Homologatória nº 1.857, que estabeleceu a Cota Anual de Conta de Desenvolvimento Energético </w:t>
      </w:r>
      <w:r w:rsidRPr="00316249">
        <w:rPr>
          <w:sz w:val="22"/>
          <w:szCs w:val="22"/>
        </w:rPr>
        <w:t>–</w:t>
      </w:r>
      <w:r w:rsidRPr="00316249">
        <w:rPr>
          <w:color w:val="000000"/>
          <w:sz w:val="22"/>
          <w:szCs w:val="22"/>
        </w:rPr>
        <w:t xml:space="preserve"> CDE, a ser repassada pela CEB Distribuição S.A. </w:t>
      </w:r>
      <w:r w:rsidRPr="00316249">
        <w:rPr>
          <w:sz w:val="22"/>
          <w:szCs w:val="22"/>
        </w:rPr>
        <w:t xml:space="preserve">à </w:t>
      </w:r>
      <w:r w:rsidRPr="00316249">
        <w:rPr>
          <w:color w:val="000000"/>
          <w:sz w:val="22"/>
          <w:szCs w:val="22"/>
        </w:rPr>
        <w:t xml:space="preserve">Eletrobrás no ano de 2015, no montante de R$ 391.473. Esses valores foram reconhecidos e homologados na Revisão Tarifária Extraordinária </w:t>
      </w:r>
      <w:r w:rsidRPr="00316249">
        <w:rPr>
          <w:sz w:val="22"/>
          <w:szCs w:val="22"/>
        </w:rPr>
        <w:t>–</w:t>
      </w:r>
      <w:r w:rsidRPr="00316249">
        <w:rPr>
          <w:color w:val="000000"/>
          <w:sz w:val="22"/>
          <w:szCs w:val="22"/>
        </w:rPr>
        <w:t xml:space="preserve"> RTE, por meio da Resolução Homologatória nº 1.858, de 27 de fevereiro de 2015, a qual estabeleceu o repasse desses custos às unidades consumidoras vinculadas à CEB Distribuição </w:t>
      </w:r>
      <w:proofErr w:type="gramStart"/>
      <w:r w:rsidRPr="00316249">
        <w:rPr>
          <w:color w:val="000000"/>
          <w:sz w:val="22"/>
          <w:szCs w:val="22"/>
        </w:rPr>
        <w:t>S.A..</w:t>
      </w:r>
      <w:proofErr w:type="gramEnd"/>
    </w:p>
    <w:p w:rsidR="00E9008A" w:rsidRPr="00316249" w:rsidRDefault="00E9008A" w:rsidP="00E9008A">
      <w:pPr>
        <w:autoSpaceDE w:val="0"/>
        <w:autoSpaceDN w:val="0"/>
        <w:adjustRightInd w:val="0"/>
        <w:spacing w:before="240" w:after="240"/>
        <w:jc w:val="both"/>
        <w:rPr>
          <w:b/>
          <w:bCs/>
          <w:sz w:val="22"/>
          <w:szCs w:val="22"/>
        </w:rPr>
      </w:pPr>
      <w:r w:rsidRPr="00316249">
        <w:rPr>
          <w:b/>
          <w:bCs/>
          <w:sz w:val="22"/>
          <w:szCs w:val="22"/>
        </w:rPr>
        <w:t>Decreto nº 8.221 de 2 de abril de 2014</w:t>
      </w:r>
    </w:p>
    <w:p w:rsidR="00E9008A" w:rsidRPr="00316249" w:rsidRDefault="00E9008A" w:rsidP="00E9008A">
      <w:pPr>
        <w:autoSpaceDE w:val="0"/>
        <w:autoSpaceDN w:val="0"/>
        <w:adjustRightInd w:val="0"/>
        <w:spacing w:before="240" w:after="240"/>
        <w:jc w:val="both"/>
      </w:pPr>
      <w:r w:rsidRPr="00316249">
        <w:rPr>
          <w:sz w:val="22"/>
          <w:szCs w:val="22"/>
        </w:rPr>
        <w:t>O Governo Federal, fundamentado na Lei nº 12.783/2013, publicou em 2 de abril de</w:t>
      </w:r>
      <w:r w:rsidRPr="00316249">
        <w:t xml:space="preserve"> </w:t>
      </w:r>
      <w:r w:rsidRPr="00316249">
        <w:rPr>
          <w:sz w:val="22"/>
          <w:szCs w:val="22"/>
        </w:rPr>
        <w:t>2014, o Decreto</w:t>
      </w:r>
      <w:r>
        <w:rPr>
          <w:sz w:val="22"/>
          <w:szCs w:val="22"/>
        </w:rPr>
        <w:t xml:space="preserve"> </w:t>
      </w:r>
      <w:r w:rsidRPr="00316249">
        <w:rPr>
          <w:sz w:val="22"/>
          <w:szCs w:val="22"/>
        </w:rPr>
        <w:t>nº 8.221/2014, que autorizou a Câmara de Comercialização de Energia</w:t>
      </w:r>
      <w:r w:rsidRPr="00316249">
        <w:t xml:space="preserve"> </w:t>
      </w:r>
      <w:r w:rsidRPr="00316249">
        <w:rPr>
          <w:sz w:val="22"/>
          <w:szCs w:val="22"/>
        </w:rPr>
        <w:t xml:space="preserve">Elétrica – CCEE a criação e manutenção da Conta no Ambiente de Contratação Regulada </w:t>
      </w:r>
      <w:r w:rsidRPr="00316249">
        <w:rPr>
          <w:color w:val="000000"/>
          <w:sz w:val="22"/>
          <w:szCs w:val="22"/>
        </w:rPr>
        <w:t>–</w:t>
      </w:r>
      <w:r w:rsidRPr="00316249">
        <w:t xml:space="preserve"> </w:t>
      </w:r>
      <w:r w:rsidRPr="00316249">
        <w:rPr>
          <w:sz w:val="22"/>
          <w:szCs w:val="22"/>
        </w:rPr>
        <w:t>Conta-ACR para cobrir, total ou parcialmente, os gastos das distribuidoras de energia</w:t>
      </w:r>
      <w:r w:rsidRPr="00316249">
        <w:t xml:space="preserve"> </w:t>
      </w:r>
      <w:r w:rsidRPr="00316249">
        <w:rPr>
          <w:sz w:val="22"/>
          <w:szCs w:val="22"/>
        </w:rPr>
        <w:t>referentes à: exposição involuntária no mercado de curto prazo; e custos do despacho</w:t>
      </w:r>
      <w:r w:rsidRPr="00316249">
        <w:t xml:space="preserve"> </w:t>
      </w:r>
      <w:r w:rsidRPr="00316249">
        <w:rPr>
          <w:sz w:val="22"/>
          <w:szCs w:val="22"/>
        </w:rPr>
        <w:t>termoelétrico, através das contratações de operações de crédito bancário destinadas à</w:t>
      </w:r>
      <w:r w:rsidRPr="00316249">
        <w:t xml:space="preserve"> </w:t>
      </w:r>
      <w:r w:rsidRPr="00316249">
        <w:rPr>
          <w:sz w:val="22"/>
          <w:szCs w:val="22"/>
        </w:rPr>
        <w:t>cobertura dos custos previstos. A CCEE será a responsável pela gestão da Conta</w:t>
      </w:r>
      <w:r w:rsidRPr="00316249">
        <w:t>-</w:t>
      </w:r>
      <w:r w:rsidRPr="00316249">
        <w:rPr>
          <w:sz w:val="22"/>
          <w:szCs w:val="22"/>
        </w:rPr>
        <w:t>ACR.</w:t>
      </w:r>
    </w:p>
    <w:p w:rsidR="00E9008A" w:rsidRPr="00316249" w:rsidRDefault="00E9008A" w:rsidP="00E9008A">
      <w:pPr>
        <w:autoSpaceDE w:val="0"/>
        <w:autoSpaceDN w:val="0"/>
        <w:adjustRightInd w:val="0"/>
        <w:spacing w:before="240" w:after="240"/>
        <w:jc w:val="both"/>
        <w:rPr>
          <w:b/>
          <w:sz w:val="22"/>
          <w:szCs w:val="22"/>
        </w:rPr>
      </w:pPr>
      <w:r w:rsidRPr="00316249">
        <w:rPr>
          <w:b/>
          <w:sz w:val="22"/>
          <w:szCs w:val="22"/>
        </w:rPr>
        <w:lastRenderedPageBreak/>
        <w:t>Aporte CDE – Decretos nº 7891/2013 e nº 7.945/2013</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 xml:space="preserve">Devido aos altos custos financeiros ocasionados pelas condições </w:t>
      </w:r>
      <w:proofErr w:type="spellStart"/>
      <w:r w:rsidRPr="00316249">
        <w:rPr>
          <w:sz w:val="22"/>
          <w:szCs w:val="22"/>
        </w:rPr>
        <w:t>hidroenergéticas</w:t>
      </w:r>
      <w:proofErr w:type="spellEnd"/>
      <w:r w:rsidRPr="00316249">
        <w:rPr>
          <w:sz w:val="22"/>
          <w:szCs w:val="22"/>
        </w:rPr>
        <w:t xml:space="preserve">, desde o final de 2012, relacionado com os baixos índices dos reservatórios das usinas hidrelétricas, o foi emitido, em 23 de janeiro 2013, o Decreto nº 7.891, alterado pelo Decreto nº 7.945, de 7 de março de 2013, visando a neutralização de parte do problema de caixa enfrentado pelas distribuidoras. </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Com relação à contratação de energia, o Decreto nº 7.945 estabeleceu: (i) redução do prazo mínimo de três para um ano, contado a partir do início do suprimento de energia, de contratos de comercialização de energia elétrica proveniente de empreendimentos existentes; e (</w:t>
      </w:r>
      <w:proofErr w:type="spellStart"/>
      <w:r w:rsidRPr="00316249">
        <w:rPr>
          <w:sz w:val="22"/>
          <w:szCs w:val="22"/>
        </w:rPr>
        <w:t>ii</w:t>
      </w:r>
      <w:proofErr w:type="spellEnd"/>
      <w:r w:rsidRPr="00316249">
        <w:rPr>
          <w:sz w:val="22"/>
          <w:szCs w:val="22"/>
        </w:rPr>
        <w:t>) aumento do repasse dos custos de aquisição de energia elétrica pelas distribuidoras para os consumidores finais de 103%  para 105% do montante total de energia elétrica contratada em relação à carga anual de fornecimento da distribuidora.</w:t>
      </w:r>
    </w:p>
    <w:p w:rsidR="00E9008A" w:rsidRPr="00316249" w:rsidRDefault="00E9008A" w:rsidP="00E9008A">
      <w:pPr>
        <w:autoSpaceDE w:val="0"/>
        <w:autoSpaceDN w:val="0"/>
        <w:adjustRightInd w:val="0"/>
        <w:spacing w:before="240" w:after="240"/>
        <w:jc w:val="both"/>
        <w:rPr>
          <w:sz w:val="22"/>
          <w:szCs w:val="22"/>
        </w:rPr>
      </w:pPr>
      <w:r w:rsidRPr="00316249">
        <w:rPr>
          <w:sz w:val="22"/>
          <w:szCs w:val="22"/>
        </w:rPr>
        <w:t>Com relação aos objetivos da CDE, o decreto alterou os mesmos, e instituiu o repasse de recursos da CDE às concessionárias de distribuição, dos custos relacionados a seguir:</w:t>
      </w:r>
    </w:p>
    <w:p w:rsidR="00E9008A" w:rsidRPr="00316249" w:rsidRDefault="00E9008A" w:rsidP="00E9008A">
      <w:pPr>
        <w:pStyle w:val="PargrafodaLista"/>
        <w:numPr>
          <w:ilvl w:val="0"/>
          <w:numId w:val="16"/>
        </w:numPr>
        <w:autoSpaceDE w:val="0"/>
        <w:autoSpaceDN w:val="0"/>
        <w:adjustRightInd w:val="0"/>
        <w:spacing w:before="240" w:after="0"/>
        <w:ind w:left="426"/>
        <w:jc w:val="both"/>
        <w:rPr>
          <w:rFonts w:ascii="Times New Roman" w:hAnsi="Times New Roman" w:cs="Times New Roman"/>
          <w:lang w:val="pt-BR"/>
        </w:rPr>
      </w:pPr>
      <w:r w:rsidRPr="00316249">
        <w:rPr>
          <w:rFonts w:ascii="Times New Roman" w:hAnsi="Times New Roman" w:cs="Times New Roman"/>
          <w:lang w:val="pt-BR"/>
        </w:rPr>
        <w:t>Neutralizar a exposição das concessionárias de distribuição ao mercado de curto prazo das usinas hidrelétricas contratadas em regime de cotas de garantia física de energia e de potência, por insuficiência de geração alocada no âmbito do Mecanismo de Realocação de Energia – MRE (Risco Hidrológico);</w:t>
      </w:r>
    </w:p>
    <w:p w:rsidR="00E9008A" w:rsidRPr="00316249" w:rsidRDefault="00E9008A" w:rsidP="00E9008A">
      <w:pPr>
        <w:pStyle w:val="PargrafodaLista"/>
        <w:numPr>
          <w:ilvl w:val="0"/>
          <w:numId w:val="16"/>
        </w:numPr>
        <w:autoSpaceDE w:val="0"/>
        <w:autoSpaceDN w:val="0"/>
        <w:adjustRightInd w:val="0"/>
        <w:spacing w:after="0"/>
        <w:ind w:left="426"/>
        <w:jc w:val="both"/>
        <w:rPr>
          <w:rFonts w:ascii="Times New Roman" w:hAnsi="Times New Roman" w:cs="Times New Roman"/>
          <w:lang w:val="pt-BR"/>
        </w:rPr>
      </w:pPr>
      <w:r w:rsidRPr="00316249">
        <w:rPr>
          <w:rFonts w:ascii="Times New Roman" w:hAnsi="Times New Roman" w:cs="Times New Roman"/>
          <w:lang w:val="pt-BR"/>
        </w:rPr>
        <w:t xml:space="preserve"> Neutralizar a exposição das concessionárias de distribuição no mercado de curto prazo das distribuidoras, por insuficiência de lastro contratual em relação à carga realizada, relativa ao montante de reposição não recontratado em função da não adesão à prorrogação de concessões de geração de energia elétrica (Exposição Involuntária); e</w:t>
      </w:r>
    </w:p>
    <w:p w:rsidR="00E9008A" w:rsidRPr="00316249" w:rsidRDefault="00E9008A" w:rsidP="00E9008A">
      <w:pPr>
        <w:pStyle w:val="PargrafodaLista"/>
        <w:numPr>
          <w:ilvl w:val="0"/>
          <w:numId w:val="16"/>
        </w:numPr>
        <w:autoSpaceDE w:val="0"/>
        <w:autoSpaceDN w:val="0"/>
        <w:adjustRightInd w:val="0"/>
        <w:spacing w:after="0"/>
        <w:ind w:left="426"/>
        <w:jc w:val="both"/>
        <w:rPr>
          <w:rFonts w:ascii="Times New Roman" w:hAnsi="Times New Roman" w:cs="Times New Roman"/>
          <w:lang w:val="pt-BR"/>
        </w:rPr>
      </w:pPr>
      <w:r w:rsidRPr="00316249">
        <w:rPr>
          <w:rFonts w:ascii="Times New Roman" w:hAnsi="Times New Roman" w:cs="Times New Roman"/>
          <w:lang w:val="pt-BR"/>
        </w:rPr>
        <w:t>Cobrir o custo adicional relativo ao acionamento de usinas termelétricas fora da ordem de mérito por decisão do Comitê de Monitoramento do Setor Elétrico – CMSE (ESS – Segurança Energética).</w:t>
      </w:r>
    </w:p>
    <w:p w:rsidR="00E9008A" w:rsidRPr="00316249" w:rsidRDefault="00E9008A" w:rsidP="00E9008A">
      <w:pPr>
        <w:spacing w:before="240"/>
        <w:jc w:val="both"/>
        <w:rPr>
          <w:b/>
          <w:sz w:val="22"/>
          <w:szCs w:val="22"/>
        </w:rPr>
      </w:pPr>
      <w:r>
        <w:rPr>
          <w:b/>
          <w:sz w:val="22"/>
          <w:szCs w:val="22"/>
        </w:rPr>
        <w:t>31.1.2.2.</w:t>
      </w:r>
      <w:r w:rsidRPr="00316249">
        <w:rPr>
          <w:b/>
          <w:sz w:val="22"/>
          <w:szCs w:val="22"/>
        </w:rPr>
        <w:tab/>
        <w:t xml:space="preserve">Bandeiras tarifárias </w:t>
      </w:r>
    </w:p>
    <w:p w:rsidR="00E9008A" w:rsidRPr="00316249" w:rsidRDefault="00E9008A" w:rsidP="00E9008A">
      <w:pPr>
        <w:spacing w:before="240"/>
        <w:jc w:val="both"/>
        <w:rPr>
          <w:color w:val="000000"/>
          <w:sz w:val="22"/>
          <w:szCs w:val="22"/>
        </w:rPr>
      </w:pPr>
      <w:r w:rsidRPr="00316249">
        <w:rPr>
          <w:color w:val="000000"/>
          <w:sz w:val="22"/>
          <w:szCs w:val="22"/>
        </w:rPr>
        <w:t xml:space="preserve">Conforme determinado pelo Decreto nº 8.401, de 4 de fevereiro de 2015, foi criada a Conta Centralizadora dos Recursos de Bandeiras Tarifárias – CCRBT, destinada a administrar os recursos decorrentes da aplicação das bandeiras tarifárias instituídas pela ANEEL. A Câmara de Comercialização de Energia Elétrica – CCEE é responsável pela gestão da CCRBT, sendo os valores a serem repassados e/ou compensados homologados mensalmente pela ANEEL, por meio da emissão de nota técnica. </w:t>
      </w:r>
    </w:p>
    <w:p w:rsidR="00E9008A" w:rsidRPr="00316249" w:rsidRDefault="00E9008A" w:rsidP="00E9008A">
      <w:pPr>
        <w:spacing w:before="240"/>
        <w:jc w:val="both"/>
        <w:rPr>
          <w:color w:val="000000"/>
          <w:sz w:val="22"/>
          <w:szCs w:val="22"/>
        </w:rPr>
      </w:pPr>
      <w:r w:rsidRPr="00316249">
        <w:rPr>
          <w:color w:val="000000"/>
          <w:sz w:val="22"/>
          <w:szCs w:val="22"/>
        </w:rPr>
        <w:t>Os recursos provenientes da aplicação das bandeiras tarifárias pelas distribuidoras podem ser total ou parcialmente revertidos à CCRBT. Os valores disponíveis nesta conta são repassados às distribuidoras considerando: (i) os valores efetivamente realizados das variações relativas aos custos de geração e à exposição aos preços de liquidação no mercado de curto prazo; e (</w:t>
      </w:r>
      <w:proofErr w:type="spellStart"/>
      <w:r w:rsidRPr="00316249">
        <w:rPr>
          <w:color w:val="000000"/>
          <w:sz w:val="22"/>
          <w:szCs w:val="22"/>
        </w:rPr>
        <w:t>ii</w:t>
      </w:r>
      <w:proofErr w:type="spellEnd"/>
      <w:r w:rsidRPr="00316249">
        <w:rPr>
          <w:color w:val="000000"/>
          <w:sz w:val="22"/>
          <w:szCs w:val="22"/>
        </w:rPr>
        <w:t xml:space="preserve">) a cobertura tarifária vigente de cada distribuidora. </w:t>
      </w:r>
    </w:p>
    <w:p w:rsidR="00E9008A" w:rsidRPr="00316249" w:rsidRDefault="00E9008A" w:rsidP="00E9008A">
      <w:pPr>
        <w:spacing w:before="240" w:after="240"/>
        <w:jc w:val="both"/>
        <w:rPr>
          <w:color w:val="000000"/>
          <w:sz w:val="22"/>
          <w:szCs w:val="22"/>
        </w:rPr>
      </w:pPr>
      <w:r w:rsidRPr="00316249">
        <w:rPr>
          <w:color w:val="000000"/>
          <w:sz w:val="22"/>
          <w:szCs w:val="22"/>
        </w:rPr>
        <w:t xml:space="preserve">Dessa forma, a controlada CEB D registrou os seguintes montantes durante os exercícios de </w:t>
      </w:r>
      <w:r w:rsidRPr="00747E73">
        <w:rPr>
          <w:color w:val="000000"/>
          <w:sz w:val="22"/>
          <w:szCs w:val="22"/>
        </w:rPr>
        <w:t>2015</w:t>
      </w:r>
      <w:r>
        <w:rPr>
          <w:color w:val="000000"/>
          <w:sz w:val="22"/>
          <w:szCs w:val="22"/>
        </w:rPr>
        <w:t xml:space="preserve"> e </w:t>
      </w:r>
      <w:r w:rsidRPr="00316249">
        <w:rPr>
          <w:color w:val="000000"/>
          <w:sz w:val="22"/>
          <w:szCs w:val="22"/>
        </w:rPr>
        <w:t>2016:</w:t>
      </w:r>
    </w:p>
    <w:tbl>
      <w:tblPr>
        <w:tblW w:w="0" w:type="auto"/>
        <w:tblCellMar>
          <w:left w:w="70" w:type="dxa"/>
          <w:right w:w="70" w:type="dxa"/>
        </w:tblCellMar>
        <w:tblLook w:val="04A0" w:firstRow="1" w:lastRow="0" w:firstColumn="1" w:lastColumn="0" w:noHBand="0" w:noVBand="1"/>
      </w:tblPr>
      <w:tblGrid>
        <w:gridCol w:w="1038"/>
        <w:gridCol w:w="2404"/>
        <w:gridCol w:w="1259"/>
        <w:gridCol w:w="1331"/>
        <w:gridCol w:w="1801"/>
        <w:gridCol w:w="1378"/>
      </w:tblGrid>
      <w:tr w:rsidR="00E9008A" w:rsidRPr="00316249" w:rsidTr="005B7D01">
        <w:trPr>
          <w:trHeight w:val="238"/>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Competência</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center"/>
              <w:rPr>
                <w:b/>
                <w:bCs/>
                <w:color w:val="000000"/>
                <w:sz w:val="16"/>
                <w:szCs w:val="16"/>
              </w:rPr>
            </w:pPr>
            <w:r w:rsidRPr="00316249">
              <w:rPr>
                <w:b/>
                <w:bCs/>
                <w:color w:val="000000"/>
                <w:sz w:val="16"/>
                <w:szCs w:val="16"/>
              </w:rPr>
              <w:t>Acionamento da Bandeira Tarifária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Receita Faturada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Repasse à CCRTB</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Valor de Cobertura dos Custos (CVA)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bCs/>
                <w:color w:val="000000"/>
                <w:sz w:val="16"/>
                <w:szCs w:val="16"/>
              </w:rPr>
              <w:t>Despachos ANEEL</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jc w:val="center"/>
              <w:rPr>
                <w:b/>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right"/>
              <w:rPr>
                <w:b/>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b/>
                <w:bCs/>
                <w:color w:val="000000"/>
                <w:sz w:val="16"/>
                <w:szCs w:val="16"/>
              </w:rPr>
            </w:pP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E9008A" w:rsidRPr="00316249" w:rsidRDefault="00E9008A" w:rsidP="005B7D01">
            <w:pPr>
              <w:jc w:val="right"/>
              <w:rPr>
                <w:color w:val="000000"/>
                <w:sz w:val="16"/>
                <w:szCs w:val="16"/>
              </w:rPr>
            </w:pP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lastRenderedPageBreak/>
              <w:t>jan</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center"/>
              <w:rPr>
                <w:rFonts w:eastAsiaTheme="minorHAnsi"/>
                <w:sz w:val="16"/>
                <w:szCs w:val="16"/>
                <w:lang w:eastAsia="en-US"/>
              </w:rPr>
            </w:pPr>
            <w:r w:rsidRPr="00316249">
              <w:rPr>
                <w:color w:val="000000"/>
                <w:sz w:val="16"/>
                <w:szCs w:val="16"/>
                <w:lang w:eastAsia="en-US"/>
              </w:rPr>
              <w:t>Vermelha</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22.729</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sz w:val="16"/>
                <w:szCs w:val="16"/>
              </w:rPr>
              <w:t>(8)</w:t>
            </w: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22.721</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529/2016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t>fev</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center"/>
              <w:rPr>
                <w:rFonts w:eastAsiaTheme="minorHAnsi"/>
                <w:sz w:val="16"/>
                <w:szCs w:val="16"/>
                <w:lang w:eastAsia="en-US"/>
              </w:rPr>
            </w:pPr>
            <w:r w:rsidRPr="00316249">
              <w:rPr>
                <w:color w:val="000000"/>
                <w:sz w:val="16"/>
                <w:szCs w:val="16"/>
                <w:lang w:eastAsia="en-US"/>
              </w:rPr>
              <w:t>Vermelha – Patamar 1</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18.482</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sz w:val="16"/>
                <w:szCs w:val="16"/>
              </w:rPr>
              <w:t>(10)</w:t>
            </w: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18.472</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797/2016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gramStart"/>
            <w:r w:rsidRPr="00316249">
              <w:rPr>
                <w:color w:val="000000"/>
                <w:sz w:val="16"/>
                <w:szCs w:val="16"/>
              </w:rPr>
              <w:t>mar</w:t>
            </w:r>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center"/>
              <w:rPr>
                <w:rFonts w:eastAsiaTheme="minorHAnsi"/>
                <w:sz w:val="16"/>
                <w:szCs w:val="16"/>
                <w:lang w:eastAsia="en-US"/>
              </w:rPr>
            </w:pPr>
            <w:r w:rsidRPr="00316249">
              <w:rPr>
                <w:color w:val="000000"/>
                <w:sz w:val="16"/>
                <w:szCs w:val="16"/>
                <w:lang w:eastAsia="en-US"/>
              </w:rPr>
              <w:t>Amarela</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11.797</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EastAsia"/>
                <w:sz w:val="16"/>
                <w:szCs w:val="16"/>
              </w:rPr>
            </w:pP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HAnsi"/>
                <w:sz w:val="16"/>
                <w:szCs w:val="16"/>
              </w:rPr>
            </w:pPr>
            <w:r w:rsidRPr="00316249">
              <w:rPr>
                <w:color w:val="000000"/>
                <w:sz w:val="16"/>
                <w:szCs w:val="16"/>
              </w:rPr>
              <w:t>11.797</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rFonts w:eastAsiaTheme="minorEastAsia"/>
                <w:sz w:val="16"/>
                <w:szCs w:val="16"/>
              </w:rPr>
            </w:pPr>
            <w:r w:rsidRPr="00316249">
              <w:rPr>
                <w:rFonts w:eastAsiaTheme="minorEastAsia"/>
                <w:sz w:val="16"/>
                <w:szCs w:val="16"/>
              </w:rPr>
              <w:t>1061/2016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t>abr</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75142" w:rsidRDefault="00E9008A" w:rsidP="005B7D01">
            <w:pPr>
              <w:jc w:val="center"/>
              <w:rPr>
                <w:rFonts w:eastAsiaTheme="minorHAnsi"/>
                <w:sz w:val="16"/>
                <w:szCs w:val="16"/>
                <w:lang w:eastAsia="en-US"/>
              </w:rPr>
            </w:pPr>
            <w:r w:rsidRPr="00375142">
              <w:rPr>
                <w:color w:val="000000"/>
                <w:sz w:val="16"/>
                <w:szCs w:val="16"/>
                <w:lang w:eastAsia="en-US"/>
              </w:rPr>
              <w:t>Verde</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75142" w:rsidRDefault="00E9008A" w:rsidP="005B7D01">
            <w:pPr>
              <w:jc w:val="right"/>
              <w:rPr>
                <w:color w:val="000000"/>
                <w:sz w:val="16"/>
                <w:szCs w:val="16"/>
              </w:rPr>
            </w:pPr>
            <w:r w:rsidRPr="00375142">
              <w:rPr>
                <w:color w:val="000000"/>
                <w:sz w:val="16"/>
                <w:szCs w:val="16"/>
              </w:rPr>
              <w:t>4.698</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4.698</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1431/2016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t>mai</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center"/>
              <w:rPr>
                <w:rFonts w:eastAsiaTheme="minorHAnsi"/>
                <w:sz w:val="16"/>
                <w:szCs w:val="16"/>
                <w:lang w:eastAsia="en-US"/>
              </w:rPr>
            </w:pPr>
            <w:r w:rsidRPr="00316249">
              <w:rPr>
                <w:color w:val="000000"/>
                <w:sz w:val="16"/>
                <w:szCs w:val="16"/>
                <w:lang w:eastAsia="en-US"/>
              </w:rPr>
              <w:t>Verde</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1734/2016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t>jun</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center"/>
              <w:rPr>
                <w:rFonts w:eastAsiaTheme="minorHAnsi"/>
                <w:sz w:val="16"/>
                <w:szCs w:val="16"/>
                <w:lang w:eastAsia="en-US"/>
              </w:rPr>
            </w:pPr>
            <w:r w:rsidRPr="00316249">
              <w:rPr>
                <w:color w:val="000000"/>
                <w:sz w:val="16"/>
                <w:szCs w:val="16"/>
                <w:lang w:eastAsia="en-US"/>
              </w:rPr>
              <w:t>Verde</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(26)</w:t>
            </w: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2045/2016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t>jul</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center"/>
              <w:rPr>
                <w:sz w:val="16"/>
                <w:szCs w:val="16"/>
              </w:rPr>
            </w:pPr>
            <w:r w:rsidRPr="00316249">
              <w:rPr>
                <w:color w:val="000000"/>
                <w:sz w:val="16"/>
                <w:szCs w:val="16"/>
                <w:lang w:eastAsia="en-US"/>
              </w:rPr>
              <w:t>Verde</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2298/2016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t>ago</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center"/>
              <w:rPr>
                <w:sz w:val="16"/>
                <w:szCs w:val="16"/>
              </w:rPr>
            </w:pPr>
            <w:r w:rsidRPr="00316249">
              <w:rPr>
                <w:color w:val="000000"/>
                <w:sz w:val="16"/>
                <w:szCs w:val="16"/>
                <w:lang w:eastAsia="en-US"/>
              </w:rPr>
              <w:t>Verde</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w:t>
            </w: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2626/2016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center"/>
              <w:rPr>
                <w:color w:val="000000"/>
                <w:sz w:val="16"/>
                <w:szCs w:val="16"/>
              </w:rPr>
            </w:pPr>
            <w:proofErr w:type="gramStart"/>
            <w:r w:rsidRPr="00316249">
              <w:rPr>
                <w:color w:val="000000"/>
                <w:sz w:val="16"/>
                <w:szCs w:val="16"/>
              </w:rPr>
              <w:t>set</w:t>
            </w:r>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center"/>
              <w:rPr>
                <w:sz w:val="16"/>
                <w:szCs w:val="16"/>
              </w:rPr>
            </w:pPr>
            <w:r w:rsidRPr="00316249">
              <w:rPr>
                <w:color w:val="000000"/>
                <w:sz w:val="16"/>
                <w:szCs w:val="16"/>
                <w:lang w:eastAsia="en-US"/>
              </w:rPr>
              <w:t>Verde</w:t>
            </w:r>
          </w:p>
        </w:tc>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9</w:t>
            </w:r>
          </w:p>
        </w:tc>
        <w:tc>
          <w:tcPr>
            <w:tcW w:w="1801" w:type="dxa"/>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2882/2016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center"/>
              <w:rPr>
                <w:color w:val="000000"/>
                <w:sz w:val="16"/>
                <w:szCs w:val="16"/>
              </w:rPr>
            </w:pPr>
            <w:proofErr w:type="gramStart"/>
            <w:r w:rsidRPr="00316249">
              <w:rPr>
                <w:color w:val="000000"/>
                <w:sz w:val="16"/>
                <w:szCs w:val="16"/>
              </w:rPr>
              <w:t>out</w:t>
            </w:r>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center"/>
              <w:rPr>
                <w:b/>
                <w:color w:val="000000"/>
                <w:sz w:val="16"/>
                <w:szCs w:val="16"/>
              </w:rPr>
            </w:pPr>
            <w:r w:rsidRPr="00316249">
              <w:rPr>
                <w:color w:val="000000"/>
                <w:sz w:val="16"/>
                <w:szCs w:val="16"/>
                <w:lang w:eastAsia="en-US"/>
              </w:rPr>
              <w:t>Verde</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sz w:val="16"/>
                <w:szCs w:val="16"/>
              </w:rPr>
            </w:pPr>
            <w:r w:rsidRPr="00316249">
              <w:rPr>
                <w:sz w:val="16"/>
                <w:szCs w:val="16"/>
              </w:rPr>
              <w:t xml:space="preserve">              38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 xml:space="preserve">              38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3147/2016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center"/>
              <w:rPr>
                <w:color w:val="000000"/>
                <w:sz w:val="16"/>
                <w:szCs w:val="16"/>
              </w:rPr>
            </w:pPr>
            <w:proofErr w:type="spellStart"/>
            <w:proofErr w:type="gramStart"/>
            <w:r w:rsidRPr="00316249">
              <w:rPr>
                <w:color w:val="000000"/>
                <w:sz w:val="16"/>
                <w:szCs w:val="16"/>
              </w:rPr>
              <w:t>nov</w:t>
            </w:r>
            <w:proofErr w:type="spellEnd"/>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center"/>
              <w:rPr>
                <w:b/>
                <w:color w:val="000000"/>
                <w:sz w:val="16"/>
                <w:szCs w:val="16"/>
              </w:rPr>
            </w:pPr>
            <w:r w:rsidRPr="00316249">
              <w:rPr>
                <w:color w:val="000000"/>
                <w:sz w:val="16"/>
                <w:szCs w:val="16"/>
                <w:lang w:eastAsia="en-US"/>
              </w:rPr>
              <w:t>Amarela</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2.919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sz w:val="16"/>
                <w:szCs w:val="16"/>
              </w:rPr>
            </w:pPr>
            <w:r w:rsidRPr="00316249">
              <w:rPr>
                <w:sz w:val="16"/>
                <w:szCs w:val="16"/>
              </w:rPr>
              <w:t xml:space="preserve">         3.215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 xml:space="preserve">         6.134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3415/2016</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center"/>
              <w:rPr>
                <w:color w:val="000000"/>
                <w:sz w:val="16"/>
                <w:szCs w:val="16"/>
              </w:rPr>
            </w:pPr>
            <w:proofErr w:type="gramStart"/>
            <w:r w:rsidRPr="00316249">
              <w:rPr>
                <w:color w:val="000000"/>
                <w:sz w:val="16"/>
                <w:szCs w:val="16"/>
              </w:rPr>
              <w:t>dez</w:t>
            </w:r>
            <w:proofErr w:type="gramEnd"/>
            <w:r w:rsidRPr="00316249">
              <w:rPr>
                <w:color w:val="000000"/>
                <w:sz w:val="16"/>
                <w:szCs w:val="16"/>
              </w:rPr>
              <w:t>/16</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center"/>
              <w:rPr>
                <w:b/>
                <w:color w:val="000000"/>
                <w:sz w:val="16"/>
                <w:szCs w:val="16"/>
              </w:rPr>
            </w:pPr>
            <w:r w:rsidRPr="00316249">
              <w:rPr>
                <w:color w:val="000000"/>
                <w:sz w:val="16"/>
                <w:szCs w:val="16"/>
                <w:lang w:eastAsia="en-US"/>
              </w:rPr>
              <w:t>Amarela</w:t>
            </w:r>
          </w:p>
        </w:tc>
        <w:tc>
          <w:tcPr>
            <w:tcW w:w="0" w:type="auto"/>
            <w:tcBorders>
              <w:top w:val="single" w:sz="4" w:space="0" w:color="auto"/>
              <w:left w:val="nil"/>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4.433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sz w:val="16"/>
                <w:szCs w:val="16"/>
              </w:rPr>
            </w:pPr>
            <w:r w:rsidRPr="00316249">
              <w:rPr>
                <w:sz w:val="16"/>
                <w:szCs w:val="16"/>
              </w:rPr>
              <w:t xml:space="preserve">         1.894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9008A" w:rsidRPr="00316249" w:rsidRDefault="00E9008A" w:rsidP="005B7D01">
            <w:pPr>
              <w:jc w:val="right"/>
              <w:rPr>
                <w:color w:val="000000"/>
                <w:sz w:val="16"/>
                <w:szCs w:val="16"/>
              </w:rPr>
            </w:pPr>
            <w:r w:rsidRPr="00316249">
              <w:rPr>
                <w:color w:val="000000"/>
                <w:sz w:val="16"/>
                <w:szCs w:val="16"/>
              </w:rPr>
              <w:t xml:space="preserve">         6.327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290/2017</w:t>
            </w: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color w:val="000000"/>
                <w:sz w:val="16"/>
                <w:szCs w:val="16"/>
              </w:rPr>
            </w:pPr>
            <w:r w:rsidRPr="00316249">
              <w:rPr>
                <w:b/>
                <w:color w:val="000000"/>
                <w:sz w:val="16"/>
                <w:szCs w:val="16"/>
              </w:rPr>
              <w:t>2016</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right"/>
              <w:rPr>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right"/>
              <w:rPr>
                <w:b/>
                <w:color w:val="000000"/>
                <w:sz w:val="16"/>
                <w:szCs w:val="16"/>
              </w:rPr>
            </w:pPr>
            <w:r w:rsidRPr="00316249">
              <w:rPr>
                <w:b/>
                <w:color w:val="000000"/>
                <w:sz w:val="16"/>
                <w:szCs w:val="16"/>
              </w:rPr>
              <w:t>65.008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right"/>
              <w:rPr>
                <w:b/>
                <w:color w:val="000000"/>
                <w:sz w:val="16"/>
                <w:szCs w:val="16"/>
              </w:rPr>
            </w:pPr>
            <w:r w:rsidRPr="00316249">
              <w:rPr>
                <w:b/>
                <w:color w:val="000000"/>
                <w:sz w:val="16"/>
                <w:szCs w:val="16"/>
              </w:rPr>
              <w:t>5.111</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right"/>
              <w:rPr>
                <w:b/>
                <w:color w:val="000000"/>
                <w:sz w:val="16"/>
                <w:szCs w:val="16"/>
              </w:rPr>
            </w:pPr>
            <w:r w:rsidRPr="00316249">
              <w:rPr>
                <w:b/>
                <w:color w:val="000000"/>
                <w:sz w:val="16"/>
                <w:szCs w:val="16"/>
              </w:rPr>
              <w:t>70.169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p>
        </w:tc>
      </w:tr>
      <w:tr w:rsidR="00E9008A" w:rsidRPr="00316249" w:rsidTr="005B7D01">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6"/>
                <w:szCs w:val="16"/>
              </w:rPr>
            </w:pPr>
            <w:r w:rsidRPr="00316249">
              <w:rPr>
                <w:b/>
                <w:color w:val="000000"/>
                <w:sz w:val="16"/>
                <w:szCs w:val="16"/>
              </w:rPr>
              <w:t>2015</w:t>
            </w:r>
          </w:p>
        </w:tc>
        <w:tc>
          <w:tcPr>
            <w:tcW w:w="0" w:type="auto"/>
            <w:tcBorders>
              <w:top w:val="single" w:sz="4" w:space="0" w:color="auto"/>
              <w:left w:val="nil"/>
              <w:bottom w:val="single" w:sz="4" w:space="0" w:color="auto"/>
              <w:right w:val="single" w:sz="4" w:space="0" w:color="auto"/>
            </w:tcBorders>
            <w:shd w:val="clear" w:color="auto" w:fill="auto"/>
          </w:tcPr>
          <w:p w:rsidR="00E9008A" w:rsidRPr="00316249" w:rsidRDefault="00E9008A" w:rsidP="005B7D01">
            <w:pPr>
              <w:jc w:val="right"/>
              <w:rPr>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right"/>
              <w:rPr>
                <w:b/>
                <w:color w:val="000000"/>
                <w:sz w:val="16"/>
                <w:szCs w:val="16"/>
              </w:rPr>
            </w:pPr>
            <w:r w:rsidRPr="00316249">
              <w:rPr>
                <w:b/>
                <w:bCs/>
                <w:color w:val="000000"/>
                <w:sz w:val="16"/>
                <w:szCs w:val="16"/>
              </w:rPr>
              <w:t xml:space="preserve">     271.043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right"/>
              <w:rPr>
                <w:b/>
                <w:color w:val="000000"/>
                <w:sz w:val="16"/>
                <w:szCs w:val="16"/>
              </w:rPr>
            </w:pPr>
            <w:r w:rsidRPr="00316249">
              <w:rPr>
                <w:b/>
                <w:bCs/>
                <w:color w:val="000000"/>
                <w:sz w:val="16"/>
                <w:szCs w:val="16"/>
              </w:rPr>
              <w:t xml:space="preserve">    (115.477)</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E9008A" w:rsidRPr="00316249" w:rsidRDefault="00E9008A" w:rsidP="005B7D01">
            <w:pPr>
              <w:jc w:val="right"/>
              <w:rPr>
                <w:b/>
                <w:color w:val="000000"/>
                <w:sz w:val="16"/>
                <w:szCs w:val="16"/>
              </w:rPr>
            </w:pPr>
            <w:r w:rsidRPr="00316249">
              <w:rPr>
                <w:b/>
                <w:bCs/>
                <w:color w:val="000000"/>
                <w:sz w:val="16"/>
                <w:szCs w:val="16"/>
              </w:rPr>
              <w:t xml:space="preserve">     155.566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p>
        </w:tc>
      </w:tr>
    </w:tbl>
    <w:p w:rsidR="00E9008A" w:rsidRDefault="00E9008A" w:rsidP="00E9008A">
      <w:pPr>
        <w:spacing w:before="240" w:after="240"/>
        <w:ind w:left="993" w:hanging="993"/>
        <w:rPr>
          <w:b/>
          <w:bCs/>
          <w:snapToGrid w:val="0"/>
          <w:sz w:val="22"/>
          <w:szCs w:val="22"/>
        </w:rPr>
      </w:pPr>
    </w:p>
    <w:p w:rsidR="00E9008A" w:rsidRDefault="00E9008A" w:rsidP="00E9008A">
      <w:pPr>
        <w:rPr>
          <w:snapToGrid w:val="0"/>
        </w:rPr>
      </w:pPr>
      <w:r>
        <w:rPr>
          <w:snapToGrid w:val="0"/>
        </w:rPr>
        <w:br w:type="page"/>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lastRenderedPageBreak/>
        <w:t xml:space="preserve">Custo Com Serviço de Energia Elétrica </w:t>
      </w:r>
    </w:p>
    <w:tbl>
      <w:tblPr>
        <w:tblW w:w="5000" w:type="pct"/>
        <w:tblCellMar>
          <w:left w:w="70" w:type="dxa"/>
          <w:right w:w="70" w:type="dxa"/>
        </w:tblCellMar>
        <w:tblLook w:val="04A0" w:firstRow="1" w:lastRow="0" w:firstColumn="1" w:lastColumn="0" w:noHBand="0" w:noVBand="1"/>
      </w:tblPr>
      <w:tblGrid>
        <w:gridCol w:w="6091"/>
        <w:gridCol w:w="1560"/>
        <w:gridCol w:w="1560"/>
      </w:tblGrid>
      <w:tr w:rsidR="00E9008A" w:rsidRPr="00316249" w:rsidTr="005B7D01">
        <w:trPr>
          <w:trHeight w:val="116"/>
          <w:tblHeader/>
        </w:trPr>
        <w:tc>
          <w:tcPr>
            <w:tcW w:w="330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jc w:val="center"/>
              <w:rPr>
                <w:color w:val="000000"/>
                <w:sz w:val="18"/>
                <w:szCs w:val="18"/>
              </w:rPr>
            </w:pPr>
            <w:r w:rsidRPr="00316249">
              <w:rPr>
                <w:color w:val="000000"/>
                <w:sz w:val="18"/>
                <w:szCs w:val="18"/>
              </w:rPr>
              <w:t> </w:t>
            </w:r>
          </w:p>
        </w:tc>
        <w:tc>
          <w:tcPr>
            <w:tcW w:w="1694"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116"/>
          <w:tblHeader/>
        </w:trPr>
        <w:tc>
          <w:tcPr>
            <w:tcW w:w="3306"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8"/>
                <w:szCs w:val="18"/>
              </w:rPr>
            </w:pPr>
          </w:p>
        </w:tc>
        <w:tc>
          <w:tcPr>
            <w:tcW w:w="84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84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116"/>
        </w:trPr>
        <w:tc>
          <w:tcPr>
            <w:tcW w:w="330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Energia Elétrica Comprada Para Revenda</w:t>
            </w:r>
          </w:p>
        </w:tc>
        <w:tc>
          <w:tcPr>
            <w:tcW w:w="8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(1.050.732)</w:t>
            </w:r>
          </w:p>
        </w:tc>
        <w:tc>
          <w:tcPr>
            <w:tcW w:w="84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(1.180.070)</w:t>
            </w:r>
          </w:p>
        </w:tc>
      </w:tr>
      <w:tr w:rsidR="00E9008A" w:rsidRPr="00316249" w:rsidTr="005B7D01">
        <w:trPr>
          <w:trHeight w:val="116"/>
        </w:trPr>
        <w:tc>
          <w:tcPr>
            <w:tcW w:w="330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Energia Elétrica Comprada Para Revenda – Curto Prazo</w:t>
            </w:r>
          </w:p>
        </w:tc>
        <w:tc>
          <w:tcPr>
            <w:tcW w:w="847" w:type="pct"/>
            <w:tcBorders>
              <w:top w:val="nil"/>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(286.410)</w:t>
            </w:r>
          </w:p>
        </w:tc>
        <w:tc>
          <w:tcPr>
            <w:tcW w:w="84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(327.244)</w:t>
            </w:r>
          </w:p>
        </w:tc>
      </w:tr>
      <w:tr w:rsidR="00E9008A" w:rsidRPr="00316249" w:rsidTr="005B7D01">
        <w:trPr>
          <w:trHeight w:val="116"/>
        </w:trPr>
        <w:tc>
          <w:tcPr>
            <w:tcW w:w="330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Encargos de Uso da Rede Elétrica</w:t>
            </w:r>
          </w:p>
        </w:tc>
        <w:tc>
          <w:tcPr>
            <w:tcW w:w="847" w:type="pct"/>
            <w:tcBorders>
              <w:top w:val="nil"/>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(154.369)</w:t>
            </w:r>
          </w:p>
        </w:tc>
        <w:tc>
          <w:tcPr>
            <w:tcW w:w="84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(148.234)</w:t>
            </w:r>
          </w:p>
        </w:tc>
      </w:tr>
      <w:tr w:rsidR="00E9008A" w:rsidRPr="00316249" w:rsidTr="005B7D01">
        <w:trPr>
          <w:trHeight w:val="116"/>
        </w:trPr>
        <w:tc>
          <w:tcPr>
            <w:tcW w:w="330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Repactuação do Risco Hidrológico</w:t>
            </w:r>
          </w:p>
        </w:tc>
        <w:tc>
          <w:tcPr>
            <w:tcW w:w="847" w:type="pct"/>
            <w:tcBorders>
              <w:top w:val="nil"/>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(2.059)</w:t>
            </w:r>
          </w:p>
        </w:tc>
        <w:tc>
          <w:tcPr>
            <w:tcW w:w="84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21.116 </w:t>
            </w:r>
          </w:p>
        </w:tc>
      </w:tr>
      <w:tr w:rsidR="00E9008A" w:rsidRPr="00316249" w:rsidTr="005B7D01">
        <w:trPr>
          <w:trHeight w:val="116"/>
        </w:trPr>
        <w:tc>
          <w:tcPr>
            <w:tcW w:w="330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847"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(1.493.570)</w:t>
            </w:r>
          </w:p>
        </w:tc>
        <w:tc>
          <w:tcPr>
            <w:tcW w:w="847"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(1.634.432)</w:t>
            </w:r>
          </w:p>
        </w:tc>
      </w:tr>
    </w:tbl>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Custos e Despesas Operacionais Por Natureza</w:t>
      </w:r>
    </w:p>
    <w:tbl>
      <w:tblPr>
        <w:tblW w:w="10135" w:type="dxa"/>
        <w:tblLayout w:type="fixed"/>
        <w:tblCellMar>
          <w:left w:w="70" w:type="dxa"/>
          <w:right w:w="70" w:type="dxa"/>
        </w:tblCellMar>
        <w:tblLook w:val="04A0" w:firstRow="1" w:lastRow="0" w:firstColumn="1" w:lastColumn="0" w:noHBand="0" w:noVBand="1"/>
      </w:tblPr>
      <w:tblGrid>
        <w:gridCol w:w="4606"/>
        <w:gridCol w:w="1418"/>
        <w:gridCol w:w="1276"/>
        <w:gridCol w:w="1276"/>
        <w:gridCol w:w="1559"/>
      </w:tblGrid>
      <w:tr w:rsidR="00E9008A" w:rsidRPr="00316249" w:rsidTr="005B7D01">
        <w:trPr>
          <w:trHeight w:val="238"/>
          <w:tblHeader/>
        </w:trPr>
        <w:tc>
          <w:tcPr>
            <w:tcW w:w="460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after="240"/>
              <w:jc w:val="center"/>
              <w:rPr>
                <w:color w:val="000000"/>
                <w:sz w:val="16"/>
                <w:szCs w:val="16"/>
              </w:rPr>
            </w:pPr>
            <w:r w:rsidRPr="00316249">
              <w:rPr>
                <w:color w:val="000000"/>
                <w:sz w:val="16"/>
                <w:szCs w:val="16"/>
              </w:rPr>
              <w:t> </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Controladora</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6"/>
                <w:szCs w:val="16"/>
              </w:rPr>
            </w:pPr>
            <w:r w:rsidRPr="00316249">
              <w:rPr>
                <w:b/>
                <w:bCs/>
                <w:color w:val="000000"/>
                <w:sz w:val="16"/>
                <w:szCs w:val="16"/>
              </w:rPr>
              <w:t>Consolidado</w:t>
            </w:r>
          </w:p>
        </w:tc>
      </w:tr>
      <w:tr w:rsidR="00E9008A" w:rsidRPr="00316249" w:rsidTr="005B7D01">
        <w:trPr>
          <w:trHeight w:val="238"/>
          <w:tblHeader/>
        </w:trPr>
        <w:tc>
          <w:tcPr>
            <w:tcW w:w="4606" w:type="dxa"/>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4"/>
                <w:szCs w:val="14"/>
              </w:rPr>
            </w:pPr>
            <w:r w:rsidRPr="00316249">
              <w:rPr>
                <w:b/>
                <w:bCs/>
                <w:color w:val="000000"/>
                <w:sz w:val="14"/>
                <w:szCs w:val="14"/>
              </w:rPr>
              <w:t>31/12/2016</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31/12/02015</w:t>
            </w:r>
          </w:p>
        </w:tc>
        <w:tc>
          <w:tcPr>
            <w:tcW w:w="127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4"/>
                <w:szCs w:val="14"/>
              </w:rPr>
            </w:pPr>
            <w:r w:rsidRPr="00316249">
              <w:rPr>
                <w:b/>
                <w:bCs/>
                <w:color w:val="000000"/>
                <w:sz w:val="14"/>
                <w:szCs w:val="14"/>
              </w:rPr>
              <w:t>31/12/2016</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4"/>
                <w:szCs w:val="14"/>
              </w:rPr>
            </w:pPr>
            <w:r w:rsidRPr="00316249">
              <w:rPr>
                <w:b/>
                <w:bCs/>
                <w:color w:val="000000"/>
                <w:sz w:val="14"/>
                <w:szCs w:val="14"/>
              </w:rPr>
              <w:t>31/12/2015</w:t>
            </w:r>
          </w:p>
          <w:p w:rsidR="00E9008A" w:rsidRPr="00316249" w:rsidRDefault="00E9008A" w:rsidP="005B7D01">
            <w:pPr>
              <w:jc w:val="center"/>
              <w:rPr>
                <w:b/>
                <w:bCs/>
                <w:color w:val="000000"/>
                <w:sz w:val="14"/>
                <w:szCs w:val="14"/>
              </w:rPr>
            </w:pPr>
            <w:r w:rsidRPr="00316249">
              <w:rPr>
                <w:b/>
                <w:bCs/>
                <w:color w:val="000000"/>
                <w:sz w:val="14"/>
                <w:szCs w:val="14"/>
              </w:rPr>
              <w:t>(Reapresentado)</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117A16" w:rsidRDefault="00E9008A" w:rsidP="005B7D01">
            <w:pPr>
              <w:rPr>
                <w:color w:val="000000"/>
                <w:sz w:val="16"/>
                <w:szCs w:val="16"/>
              </w:rPr>
            </w:pPr>
            <w:r w:rsidRPr="00117A16">
              <w:rPr>
                <w:color w:val="000000"/>
                <w:sz w:val="16"/>
                <w:szCs w:val="16"/>
              </w:rPr>
              <w:t>Pessoal e Administradores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(11.445)</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(10.988)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(249.309)</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(196.446)</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117A16" w:rsidRDefault="00E9008A" w:rsidP="005B7D01">
            <w:pPr>
              <w:rPr>
                <w:color w:val="000000"/>
                <w:sz w:val="16"/>
                <w:szCs w:val="16"/>
              </w:rPr>
            </w:pPr>
            <w:r w:rsidRPr="00117A16">
              <w:rPr>
                <w:color w:val="000000"/>
                <w:sz w:val="16"/>
                <w:szCs w:val="16"/>
              </w:rPr>
              <w:t>Serviço de Terceiros</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(27.612)</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(21.385)</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(173.432)</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(152.141)</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(Provisão) Estimada/Reversão de Perdas com Crédito de Liquidação Duvidosa</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(7.282)   </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(22.174)</w:t>
            </w:r>
          </w:p>
        </w:tc>
        <w:tc>
          <w:tcPr>
            <w:tcW w:w="127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(50.272)</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(85.219)</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 xml:space="preserve">Custo de Construção – Concessão </w:t>
            </w:r>
            <w:r w:rsidRPr="004E0FAD">
              <w:rPr>
                <w:b/>
                <w:color w:val="000000"/>
                <w:sz w:val="16"/>
                <w:szCs w:val="16"/>
              </w:rPr>
              <w:t>(a)</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(58.100)</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(82.781)</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Depreciação e Amortização</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(167)</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(89)</w:t>
            </w:r>
          </w:p>
        </w:tc>
        <w:tc>
          <w:tcPr>
            <w:tcW w:w="127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(53.618)</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(54.467)</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Arrendamento</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(54.594)</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(41.850)</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Material</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(221)   </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(811)</w:t>
            </w:r>
          </w:p>
        </w:tc>
        <w:tc>
          <w:tcPr>
            <w:tcW w:w="127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(3.584)</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(7.045)</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6"/>
                <w:szCs w:val="16"/>
              </w:rPr>
            </w:pPr>
            <w:r w:rsidRPr="00316249">
              <w:rPr>
                <w:color w:val="000000"/>
                <w:sz w:val="16"/>
                <w:szCs w:val="16"/>
              </w:rPr>
              <w:t>Outras Despesas</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xml:space="preserve">                    (392)</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(238)</w:t>
            </w:r>
          </w:p>
        </w:tc>
        <w:tc>
          <w:tcPr>
            <w:tcW w:w="1276" w:type="dxa"/>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(14.119)</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xml:space="preserve">       (29.745)</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Total</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(47.119)</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(55.685)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(657.026)</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(649.694)</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Classificação:</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6"/>
                <w:szCs w:val="16"/>
              </w:rPr>
            </w:pPr>
            <w:r w:rsidRPr="00316249">
              <w:rPr>
                <w:color w:val="000000"/>
                <w:sz w:val="16"/>
                <w:szCs w:val="16"/>
              </w:rPr>
              <w:t> </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Custo da Operação</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6"/>
                <w:szCs w:val="16"/>
              </w:rPr>
            </w:pPr>
            <w:r w:rsidRPr="00316249">
              <w:rPr>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(316.173)</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(319.498)</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Custo dos Serviços Prestados a Terceiros</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(30.267)</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(23.753)</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(26.687)</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(21.348)</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 xml:space="preserve">Despesas </w:t>
            </w:r>
            <w:r>
              <w:rPr>
                <w:b/>
                <w:bCs/>
                <w:color w:val="000000"/>
                <w:sz w:val="16"/>
                <w:szCs w:val="16"/>
              </w:rPr>
              <w:t>C</w:t>
            </w:r>
            <w:r w:rsidRPr="00316249">
              <w:rPr>
                <w:b/>
                <w:bCs/>
                <w:color w:val="000000"/>
                <w:sz w:val="16"/>
                <w:szCs w:val="16"/>
              </w:rPr>
              <w:t>om Vendas</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(7.290)</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(22.174)</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(119.321)</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(154.492)</w:t>
            </w:r>
          </w:p>
        </w:tc>
      </w:tr>
      <w:tr w:rsidR="00E9008A" w:rsidRPr="00316249" w:rsidTr="005B7D01">
        <w:trPr>
          <w:trHeight w:val="238"/>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6"/>
                <w:szCs w:val="16"/>
              </w:rPr>
            </w:pPr>
            <w:r w:rsidRPr="00316249">
              <w:rPr>
                <w:b/>
                <w:bCs/>
                <w:color w:val="000000"/>
                <w:sz w:val="16"/>
                <w:szCs w:val="16"/>
              </w:rPr>
              <w:t>Despesas Gerais e Administrativas</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(9.563)</w:t>
            </w:r>
          </w:p>
        </w:tc>
        <w:tc>
          <w:tcPr>
            <w:tcW w:w="1276"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(9.758)</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6"/>
                <w:szCs w:val="16"/>
              </w:rPr>
            </w:pPr>
            <w:r w:rsidRPr="00316249">
              <w:rPr>
                <w:b/>
                <w:bCs/>
                <w:color w:val="000000"/>
                <w:sz w:val="16"/>
                <w:szCs w:val="16"/>
              </w:rPr>
              <w:t xml:space="preserve">           (194.845)</w:t>
            </w:r>
          </w:p>
        </w:tc>
        <w:tc>
          <w:tcPr>
            <w:tcW w:w="1559" w:type="dxa"/>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6"/>
                <w:szCs w:val="16"/>
              </w:rPr>
            </w:pPr>
            <w:r w:rsidRPr="00316249">
              <w:rPr>
                <w:b/>
                <w:bCs/>
                <w:color w:val="000000"/>
                <w:sz w:val="16"/>
                <w:szCs w:val="16"/>
              </w:rPr>
              <w:t xml:space="preserve">     (154.356)</w:t>
            </w:r>
          </w:p>
        </w:tc>
      </w:tr>
    </w:tbl>
    <w:p w:rsidR="00E9008A" w:rsidRPr="00316249" w:rsidRDefault="00E9008A" w:rsidP="00E9008A">
      <w:pPr>
        <w:autoSpaceDE w:val="0"/>
        <w:autoSpaceDN w:val="0"/>
        <w:adjustRightInd w:val="0"/>
        <w:spacing w:before="240" w:after="240"/>
        <w:jc w:val="both"/>
        <w:rPr>
          <w:sz w:val="22"/>
          <w:szCs w:val="22"/>
        </w:rPr>
      </w:pPr>
      <w:r w:rsidRPr="004E0FAD">
        <w:rPr>
          <w:b/>
          <w:sz w:val="22"/>
          <w:szCs w:val="22"/>
        </w:rPr>
        <w:t>(a)</w:t>
      </w:r>
      <w:r w:rsidRPr="00316249">
        <w:rPr>
          <w:sz w:val="22"/>
          <w:szCs w:val="22"/>
        </w:rPr>
        <w:t xml:space="preserve"> A Companhia contabiliza receitas e custos relativos a serviços de construção ou melhoria da infraestrutura utilizada na prestação dos serviços de distribuição de energia elétrica. A margem de construção adotada é igual a zero, considerando que: </w:t>
      </w:r>
    </w:p>
    <w:p w:rsidR="00E9008A" w:rsidRPr="00316249" w:rsidRDefault="00E9008A" w:rsidP="00E9008A">
      <w:pPr>
        <w:pStyle w:val="PargrafodaLista"/>
        <w:numPr>
          <w:ilvl w:val="0"/>
          <w:numId w:val="16"/>
        </w:numPr>
        <w:autoSpaceDE w:val="0"/>
        <w:autoSpaceDN w:val="0"/>
        <w:adjustRightInd w:val="0"/>
        <w:spacing w:after="0"/>
        <w:ind w:left="426"/>
        <w:jc w:val="both"/>
        <w:rPr>
          <w:rFonts w:ascii="Times New Roman" w:hAnsi="Times New Roman" w:cs="Times New Roman"/>
          <w:lang w:val="pt-BR"/>
        </w:rPr>
      </w:pPr>
      <w:r w:rsidRPr="00316249">
        <w:rPr>
          <w:rFonts w:ascii="Times New Roman" w:hAnsi="Times New Roman" w:cs="Times New Roman"/>
          <w:lang w:val="pt-BR"/>
        </w:rPr>
        <w:t xml:space="preserve">A atividade fim é a distribuição de energia elétrica; </w:t>
      </w:r>
    </w:p>
    <w:p w:rsidR="00E9008A" w:rsidRPr="00316249" w:rsidRDefault="00E9008A" w:rsidP="00E9008A">
      <w:pPr>
        <w:pStyle w:val="PargrafodaLista"/>
        <w:numPr>
          <w:ilvl w:val="0"/>
          <w:numId w:val="16"/>
        </w:numPr>
        <w:autoSpaceDE w:val="0"/>
        <w:autoSpaceDN w:val="0"/>
        <w:adjustRightInd w:val="0"/>
        <w:spacing w:after="0"/>
        <w:ind w:left="426"/>
        <w:jc w:val="both"/>
        <w:rPr>
          <w:rFonts w:ascii="Times New Roman" w:hAnsi="Times New Roman" w:cs="Times New Roman"/>
          <w:lang w:val="pt-BR"/>
        </w:rPr>
      </w:pPr>
      <w:r w:rsidRPr="00316249">
        <w:rPr>
          <w:rFonts w:ascii="Times New Roman" w:hAnsi="Times New Roman" w:cs="Times New Roman"/>
          <w:lang w:val="pt-BR"/>
        </w:rPr>
        <w:t xml:space="preserve">Toda receita de construção está relacionada com a construção de infraestrutura para o alcance da atividade fim, ou seja, a distribuição de energia elétrica; e </w:t>
      </w:r>
    </w:p>
    <w:p w:rsidR="00E9008A" w:rsidRPr="00316249" w:rsidRDefault="00E9008A" w:rsidP="00E9008A">
      <w:pPr>
        <w:pStyle w:val="PargrafodaLista"/>
        <w:numPr>
          <w:ilvl w:val="0"/>
          <w:numId w:val="16"/>
        </w:numPr>
        <w:autoSpaceDE w:val="0"/>
        <w:autoSpaceDN w:val="0"/>
        <w:adjustRightInd w:val="0"/>
        <w:spacing w:after="0"/>
        <w:ind w:left="426"/>
        <w:jc w:val="both"/>
        <w:rPr>
          <w:rFonts w:ascii="Times New Roman" w:hAnsi="Times New Roman" w:cs="Times New Roman"/>
          <w:lang w:val="pt-BR"/>
        </w:rPr>
      </w:pPr>
      <w:r w:rsidRPr="00316249">
        <w:rPr>
          <w:rFonts w:ascii="Times New Roman" w:hAnsi="Times New Roman" w:cs="Times New Roman"/>
          <w:lang w:val="pt-BR"/>
        </w:rPr>
        <w:t xml:space="preserve">A Companhia terceiriza a construção da infraestrutura. </w:t>
      </w:r>
    </w:p>
    <w:p w:rsidR="00E9008A" w:rsidRDefault="00E9008A" w:rsidP="00E9008A">
      <w:pPr>
        <w:autoSpaceDE w:val="0"/>
        <w:autoSpaceDN w:val="0"/>
        <w:adjustRightInd w:val="0"/>
        <w:spacing w:before="240" w:after="240"/>
        <w:jc w:val="both"/>
        <w:rPr>
          <w:sz w:val="22"/>
          <w:szCs w:val="22"/>
        </w:rPr>
      </w:pPr>
      <w:r w:rsidRPr="00316249">
        <w:rPr>
          <w:sz w:val="22"/>
          <w:szCs w:val="22"/>
        </w:rPr>
        <w:t>Mensalmente, a totalidade das adições efetuadas ao ativo intangível em curso é transferida para o resultado, como custo de construção e receita de construção.</w:t>
      </w:r>
    </w:p>
    <w:p w:rsidR="00E9008A" w:rsidRDefault="00E9008A" w:rsidP="00E9008A">
      <w:pPr>
        <w:rPr>
          <w:b/>
          <w:bCs/>
          <w:snapToGrid w:val="0"/>
          <w:sz w:val="22"/>
          <w:szCs w:val="22"/>
        </w:rPr>
      </w:pPr>
      <w:r>
        <w:rPr>
          <w:b/>
          <w:bCs/>
          <w:snapToGrid w:val="0"/>
          <w:sz w:val="22"/>
          <w:szCs w:val="22"/>
        </w:rPr>
        <w:br w:type="page"/>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lastRenderedPageBreak/>
        <w:t>Outras Receitas/(Despesas) Operacionais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7"/>
        <w:gridCol w:w="1076"/>
        <w:gridCol w:w="1076"/>
        <w:gridCol w:w="1199"/>
        <w:gridCol w:w="1413"/>
      </w:tblGrid>
      <w:tr w:rsidR="00E9008A" w:rsidRPr="00316249" w:rsidTr="005B7D01">
        <w:trPr>
          <w:trHeight w:val="238"/>
          <w:tblHeader/>
        </w:trPr>
        <w:tc>
          <w:tcPr>
            <w:tcW w:w="2414" w:type="pct"/>
            <w:vMerge w:val="restart"/>
            <w:shd w:val="clear" w:color="000000" w:fill="D9D9D9"/>
            <w:noWrap/>
            <w:vAlign w:val="center"/>
            <w:hideMark/>
          </w:tcPr>
          <w:p w:rsidR="00E9008A" w:rsidRPr="00316249" w:rsidRDefault="00E9008A" w:rsidP="005B7D01">
            <w:pPr>
              <w:spacing w:before="240" w:after="240"/>
              <w:jc w:val="center"/>
              <w:rPr>
                <w:color w:val="000000"/>
                <w:sz w:val="18"/>
                <w:szCs w:val="18"/>
              </w:rPr>
            </w:pPr>
            <w:r w:rsidRPr="00316249">
              <w:rPr>
                <w:color w:val="000000"/>
                <w:sz w:val="18"/>
                <w:szCs w:val="18"/>
              </w:rPr>
              <w:t> </w:t>
            </w:r>
          </w:p>
        </w:tc>
        <w:tc>
          <w:tcPr>
            <w:tcW w:w="1168"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418" w:type="pct"/>
            <w:gridSpan w:val="2"/>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2414" w:type="pct"/>
            <w:vMerge/>
            <w:vAlign w:val="center"/>
            <w:hideMark/>
          </w:tcPr>
          <w:p w:rsidR="00E9008A" w:rsidRPr="00316249" w:rsidRDefault="00E9008A" w:rsidP="005B7D01">
            <w:pPr>
              <w:rPr>
                <w:color w:val="000000"/>
                <w:sz w:val="18"/>
                <w:szCs w:val="18"/>
              </w:rPr>
            </w:pPr>
          </w:p>
        </w:tc>
        <w:tc>
          <w:tcPr>
            <w:tcW w:w="584" w:type="pct"/>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51"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67" w:type="pct"/>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Outras Receitas Operacionais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Reversão de Provisão de Benefícios Pós-Emprego </w:t>
            </w:r>
            <w:r w:rsidRPr="00316249">
              <w:rPr>
                <w:b/>
                <w:color w:val="000000"/>
                <w:sz w:val="18"/>
                <w:szCs w:val="18"/>
              </w:rPr>
              <w:t>(a)</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37.192</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127.177 </w:t>
            </w:r>
          </w:p>
        </w:tc>
      </w:tr>
      <w:tr w:rsidR="00E9008A" w:rsidRPr="00316249" w:rsidTr="005B7D01">
        <w:trPr>
          <w:trHeight w:val="238"/>
        </w:trPr>
        <w:tc>
          <w:tcPr>
            <w:tcW w:w="2414" w:type="pct"/>
            <w:shd w:val="clear" w:color="auto" w:fill="auto"/>
            <w:vAlign w:val="bottom"/>
          </w:tcPr>
          <w:p w:rsidR="00E9008A" w:rsidRPr="00316249" w:rsidRDefault="00E9008A" w:rsidP="005B7D01">
            <w:pPr>
              <w:rPr>
                <w:color w:val="000000"/>
                <w:sz w:val="18"/>
                <w:szCs w:val="18"/>
              </w:rPr>
            </w:pPr>
            <w:r w:rsidRPr="00316249">
              <w:rPr>
                <w:color w:val="000000"/>
                <w:sz w:val="18"/>
                <w:szCs w:val="18"/>
              </w:rPr>
              <w:t>Atualização do Valor Justo do Ativo Financeiro Indenizável – VNR</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30.196</w:t>
            </w:r>
          </w:p>
        </w:tc>
        <w:tc>
          <w:tcPr>
            <w:tcW w:w="767"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53.882 </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Recuperação de Créditos Baixados por Perdas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25.676</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14.168 </w:t>
            </w:r>
          </w:p>
        </w:tc>
      </w:tr>
      <w:tr w:rsidR="00E9008A" w:rsidRPr="00316249" w:rsidTr="005B7D01">
        <w:trPr>
          <w:trHeight w:val="238"/>
        </w:trPr>
        <w:tc>
          <w:tcPr>
            <w:tcW w:w="2414" w:type="pct"/>
            <w:shd w:val="clear" w:color="auto" w:fill="auto"/>
            <w:vAlign w:val="center"/>
          </w:tcPr>
          <w:p w:rsidR="00E9008A" w:rsidRPr="00316249" w:rsidRDefault="00E9008A" w:rsidP="005B7D01">
            <w:pPr>
              <w:rPr>
                <w:color w:val="000000"/>
                <w:sz w:val="18"/>
                <w:szCs w:val="18"/>
              </w:rPr>
            </w:pPr>
            <w:r w:rsidRPr="00316249">
              <w:rPr>
                <w:color w:val="000000"/>
                <w:sz w:val="18"/>
                <w:szCs w:val="18"/>
              </w:rPr>
              <w:t xml:space="preserve">Receita Crédito Tributário – Decisões Judiciais </w:t>
            </w:r>
            <w:r w:rsidRPr="00316249">
              <w:rPr>
                <w:b/>
                <w:color w:val="000000"/>
                <w:sz w:val="18"/>
                <w:szCs w:val="18"/>
              </w:rPr>
              <w:t>(b)</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96.849</w:t>
            </w:r>
          </w:p>
        </w:tc>
        <w:tc>
          <w:tcPr>
            <w:tcW w:w="767" w:type="pct"/>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Reversão de Provisão para Riscos Tributários, Cíveis, Trabalhistas e Regulatórios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22.641</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20.919 </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Reversão de Provisão de Participação nos Lucros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316249" w:rsidRDefault="00E9008A" w:rsidP="005B7D01">
            <w:pPr>
              <w:jc w:val="right"/>
              <w:rPr>
                <w:color w:val="000000"/>
                <w:sz w:val="18"/>
                <w:szCs w:val="18"/>
              </w:rPr>
            </w:pPr>
            <w:r>
              <w:rPr>
                <w:color w:val="000000"/>
                <w:sz w:val="18"/>
                <w:szCs w:val="18"/>
              </w:rPr>
              <w:t>12.028</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461 </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Resultado na Baixa de Bens</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76 </w:t>
            </w: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(1.378)</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(10.536)</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color w:val="000000"/>
                <w:sz w:val="18"/>
                <w:szCs w:val="18"/>
              </w:rPr>
            </w:pPr>
            <w:r>
              <w:rPr>
                <w:color w:val="000000"/>
                <w:sz w:val="18"/>
                <w:szCs w:val="18"/>
              </w:rPr>
              <w:t>Tributos S</w:t>
            </w:r>
            <w:r w:rsidRPr="00316249">
              <w:rPr>
                <w:color w:val="000000"/>
                <w:sz w:val="18"/>
                <w:szCs w:val="18"/>
              </w:rPr>
              <w:t>obre Outras Receitas</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(15.740)</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Outras Receitas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65</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50 </w:t>
            </w:r>
          </w:p>
        </w:tc>
        <w:tc>
          <w:tcPr>
            <w:tcW w:w="651"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28.184</w:t>
            </w:r>
          </w:p>
        </w:tc>
        <w:tc>
          <w:tcPr>
            <w:tcW w:w="767"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9.891 </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Subtotal</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65</w:t>
            </w:r>
          </w:p>
        </w:tc>
        <w:tc>
          <w:tcPr>
            <w:tcW w:w="58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126 </w:t>
            </w:r>
          </w:p>
        </w:tc>
        <w:tc>
          <w:tcPr>
            <w:tcW w:w="651" w:type="pct"/>
            <w:shd w:val="clear" w:color="auto" w:fill="auto"/>
            <w:noWrap/>
            <w:vAlign w:val="center"/>
          </w:tcPr>
          <w:p w:rsidR="00E9008A" w:rsidRPr="00747E73" w:rsidRDefault="00E9008A" w:rsidP="005B7D01">
            <w:pPr>
              <w:jc w:val="right"/>
              <w:rPr>
                <w:b/>
                <w:bCs/>
                <w:color w:val="000000"/>
                <w:sz w:val="18"/>
                <w:szCs w:val="18"/>
              </w:rPr>
            </w:pPr>
            <w:r w:rsidRPr="00747E73">
              <w:rPr>
                <w:b/>
                <w:bCs/>
                <w:color w:val="000000"/>
                <w:sz w:val="18"/>
                <w:szCs w:val="18"/>
              </w:rPr>
              <w:t>235.648</w:t>
            </w:r>
          </w:p>
        </w:tc>
        <w:tc>
          <w:tcPr>
            <w:tcW w:w="767" w:type="pct"/>
            <w:shd w:val="clear" w:color="auto" w:fill="auto"/>
            <w:noWrap/>
            <w:vAlign w:val="center"/>
            <w:hideMark/>
          </w:tcPr>
          <w:p w:rsidR="00E9008A" w:rsidRPr="00747E73" w:rsidRDefault="00E9008A" w:rsidP="005B7D01">
            <w:pPr>
              <w:jc w:val="right"/>
              <w:rPr>
                <w:b/>
                <w:bCs/>
                <w:color w:val="000000"/>
                <w:sz w:val="18"/>
                <w:szCs w:val="18"/>
              </w:rPr>
            </w:pPr>
            <w:r w:rsidRPr="00747E73">
              <w:rPr>
                <w:b/>
                <w:bCs/>
                <w:color w:val="000000"/>
                <w:sz w:val="18"/>
                <w:szCs w:val="18"/>
              </w:rPr>
              <w:t xml:space="preserve">    215.962 </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Outras Despesas Operacionais</w:t>
            </w:r>
          </w:p>
        </w:tc>
        <w:tc>
          <w:tcPr>
            <w:tcW w:w="584" w:type="pct"/>
            <w:shd w:val="clear" w:color="auto" w:fill="auto"/>
            <w:noWrap/>
            <w:vAlign w:val="center"/>
          </w:tcPr>
          <w:p w:rsidR="00E9008A" w:rsidRPr="00316249" w:rsidRDefault="00E9008A" w:rsidP="005B7D01">
            <w:pPr>
              <w:jc w:val="right"/>
              <w:rPr>
                <w:b/>
                <w:bCs/>
                <w:color w:val="000000"/>
                <w:sz w:val="18"/>
                <w:szCs w:val="18"/>
              </w:rPr>
            </w:pPr>
          </w:p>
        </w:tc>
        <w:tc>
          <w:tcPr>
            <w:tcW w:w="58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651" w:type="pct"/>
            <w:shd w:val="clear" w:color="auto" w:fill="auto"/>
            <w:noWrap/>
            <w:vAlign w:val="center"/>
          </w:tcPr>
          <w:p w:rsidR="00E9008A" w:rsidRPr="00747E73" w:rsidRDefault="00E9008A" w:rsidP="005B7D01">
            <w:pPr>
              <w:jc w:val="right"/>
              <w:rPr>
                <w:b/>
                <w:bCs/>
                <w:color w:val="000000"/>
                <w:sz w:val="18"/>
                <w:szCs w:val="18"/>
              </w:rPr>
            </w:pPr>
          </w:p>
        </w:tc>
        <w:tc>
          <w:tcPr>
            <w:tcW w:w="767" w:type="pct"/>
            <w:shd w:val="clear" w:color="auto" w:fill="auto"/>
            <w:noWrap/>
            <w:vAlign w:val="center"/>
            <w:hideMark/>
          </w:tcPr>
          <w:p w:rsidR="00E9008A" w:rsidRPr="00747E73" w:rsidRDefault="00E9008A" w:rsidP="005B7D01">
            <w:pPr>
              <w:jc w:val="right"/>
              <w:rPr>
                <w:b/>
                <w:bCs/>
                <w:color w:val="000000"/>
                <w:sz w:val="18"/>
                <w:szCs w:val="18"/>
              </w:rPr>
            </w:pPr>
            <w:r w:rsidRPr="00747E73">
              <w:rPr>
                <w:b/>
                <w:bCs/>
                <w:color w:val="000000"/>
                <w:sz w:val="18"/>
                <w:szCs w:val="18"/>
              </w:rPr>
              <w:t> </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Provisão de Benefícios Pós-Emprego</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(38.673)</w:t>
            </w: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(39.196)</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Multas ANEEL</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(6.083)</w:t>
            </w: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(18.385)</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Provisão Para Riscos Tributários, Cíveis, Trabalhistas e Regulatórios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(2.438)</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(113)</w:t>
            </w:r>
          </w:p>
        </w:tc>
        <w:tc>
          <w:tcPr>
            <w:tcW w:w="651" w:type="pct"/>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(16.458)</w:t>
            </w: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(15.184)</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Compensação </w:t>
            </w:r>
            <w:r>
              <w:rPr>
                <w:color w:val="000000"/>
                <w:sz w:val="18"/>
                <w:szCs w:val="18"/>
              </w:rPr>
              <w:t>P</w:t>
            </w:r>
            <w:r w:rsidRPr="00316249">
              <w:rPr>
                <w:color w:val="000000"/>
                <w:sz w:val="18"/>
                <w:szCs w:val="18"/>
              </w:rPr>
              <w:t>or Descontinuidade de Energia</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(14.935)</w:t>
            </w: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(8.539)</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Provisão Para Participação nos Lucros e Resultados </w:t>
            </w:r>
            <w:r w:rsidRPr="00316249">
              <w:rPr>
                <w:b/>
                <w:color w:val="000000"/>
                <w:sz w:val="18"/>
                <w:szCs w:val="18"/>
              </w:rPr>
              <w:t>(c)</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(10.054)</w:t>
            </w: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(12.113)</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Provisão Para Perdas com Depósitos Judiciais</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51" w:type="pct"/>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(3.012)</w:t>
            </w: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(657)</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Tributos</w:t>
            </w:r>
          </w:p>
        </w:tc>
        <w:tc>
          <w:tcPr>
            <w:tcW w:w="584" w:type="pct"/>
            <w:shd w:val="clear" w:color="auto" w:fill="auto"/>
            <w:noWrap/>
            <w:vAlign w:val="center"/>
          </w:tcPr>
          <w:p w:rsidR="00E9008A" w:rsidRPr="00316249" w:rsidRDefault="00E9008A" w:rsidP="005B7D01">
            <w:pPr>
              <w:jc w:val="right"/>
              <w:rPr>
                <w:color w:val="000000"/>
                <w:sz w:val="18"/>
                <w:szCs w:val="18"/>
              </w:rPr>
            </w:pP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(765)</w:t>
            </w:r>
          </w:p>
        </w:tc>
        <w:tc>
          <w:tcPr>
            <w:tcW w:w="651" w:type="pct"/>
            <w:shd w:val="clear" w:color="auto" w:fill="auto"/>
            <w:noWrap/>
            <w:vAlign w:val="center"/>
          </w:tcPr>
          <w:p w:rsidR="00E9008A" w:rsidRPr="00747E73" w:rsidRDefault="00E9008A" w:rsidP="005B7D01">
            <w:pPr>
              <w:jc w:val="right"/>
              <w:rPr>
                <w:color w:val="000000"/>
                <w:sz w:val="18"/>
                <w:szCs w:val="18"/>
              </w:rPr>
            </w:pP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(765)</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Outras Despesas</w:t>
            </w:r>
          </w:p>
        </w:tc>
        <w:tc>
          <w:tcPr>
            <w:tcW w:w="584" w:type="pct"/>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(1.019)</w:t>
            </w:r>
          </w:p>
        </w:tc>
        <w:tc>
          <w:tcPr>
            <w:tcW w:w="584" w:type="pct"/>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(25)</w:t>
            </w:r>
          </w:p>
        </w:tc>
        <w:tc>
          <w:tcPr>
            <w:tcW w:w="651" w:type="pct"/>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(4.156)</w:t>
            </w:r>
          </w:p>
        </w:tc>
        <w:tc>
          <w:tcPr>
            <w:tcW w:w="767" w:type="pct"/>
            <w:shd w:val="clear" w:color="auto" w:fill="auto"/>
            <w:noWrap/>
            <w:vAlign w:val="center"/>
            <w:hideMark/>
          </w:tcPr>
          <w:p w:rsidR="00E9008A" w:rsidRPr="00747E73" w:rsidRDefault="00E9008A" w:rsidP="005B7D01">
            <w:pPr>
              <w:jc w:val="right"/>
              <w:rPr>
                <w:color w:val="000000"/>
                <w:sz w:val="18"/>
                <w:szCs w:val="18"/>
              </w:rPr>
            </w:pPr>
            <w:r w:rsidRPr="00747E73">
              <w:rPr>
                <w:color w:val="000000"/>
                <w:sz w:val="18"/>
                <w:szCs w:val="18"/>
              </w:rPr>
              <w:t xml:space="preserve">          (153)</w:t>
            </w:r>
          </w:p>
        </w:tc>
      </w:tr>
      <w:tr w:rsidR="00E9008A" w:rsidRPr="00316249" w:rsidTr="005B7D01">
        <w:trPr>
          <w:trHeight w:val="238"/>
        </w:trPr>
        <w:tc>
          <w:tcPr>
            <w:tcW w:w="2414" w:type="pct"/>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Subtotal</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(3.457)</w:t>
            </w:r>
          </w:p>
        </w:tc>
        <w:tc>
          <w:tcPr>
            <w:tcW w:w="58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(903)</w:t>
            </w:r>
          </w:p>
        </w:tc>
        <w:tc>
          <w:tcPr>
            <w:tcW w:w="651" w:type="pct"/>
            <w:shd w:val="clear" w:color="auto" w:fill="auto"/>
            <w:noWrap/>
            <w:vAlign w:val="center"/>
          </w:tcPr>
          <w:p w:rsidR="00E9008A" w:rsidRPr="00747E73" w:rsidRDefault="00E9008A" w:rsidP="005B7D01">
            <w:pPr>
              <w:jc w:val="right"/>
              <w:rPr>
                <w:b/>
                <w:bCs/>
                <w:color w:val="000000"/>
                <w:sz w:val="18"/>
                <w:szCs w:val="18"/>
              </w:rPr>
            </w:pPr>
            <w:r w:rsidRPr="00747E73">
              <w:rPr>
                <w:b/>
                <w:bCs/>
                <w:color w:val="000000"/>
                <w:sz w:val="18"/>
                <w:szCs w:val="18"/>
              </w:rPr>
              <w:t>(93.371)</w:t>
            </w:r>
          </w:p>
        </w:tc>
        <w:tc>
          <w:tcPr>
            <w:tcW w:w="767" w:type="pct"/>
            <w:shd w:val="clear" w:color="auto" w:fill="auto"/>
            <w:noWrap/>
            <w:vAlign w:val="center"/>
            <w:hideMark/>
          </w:tcPr>
          <w:p w:rsidR="00E9008A" w:rsidRPr="00747E73" w:rsidRDefault="00E9008A" w:rsidP="005B7D01">
            <w:pPr>
              <w:jc w:val="right"/>
              <w:rPr>
                <w:b/>
                <w:bCs/>
                <w:color w:val="000000"/>
                <w:sz w:val="18"/>
                <w:szCs w:val="18"/>
              </w:rPr>
            </w:pPr>
            <w:r w:rsidRPr="00747E73">
              <w:rPr>
                <w:b/>
                <w:bCs/>
                <w:color w:val="000000"/>
                <w:sz w:val="18"/>
                <w:szCs w:val="18"/>
              </w:rPr>
              <w:t xml:space="preserve">     (94.992)</w:t>
            </w:r>
          </w:p>
        </w:tc>
      </w:tr>
      <w:tr w:rsidR="00E9008A" w:rsidRPr="00316249" w:rsidTr="005B7D01">
        <w:trPr>
          <w:trHeight w:val="238"/>
        </w:trPr>
        <w:tc>
          <w:tcPr>
            <w:tcW w:w="2414" w:type="pct"/>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Outras Receitas (Despesas) Operacionais, Líquidas</w:t>
            </w:r>
          </w:p>
        </w:tc>
        <w:tc>
          <w:tcPr>
            <w:tcW w:w="584" w:type="pct"/>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(3.392)</w:t>
            </w:r>
          </w:p>
        </w:tc>
        <w:tc>
          <w:tcPr>
            <w:tcW w:w="584" w:type="pct"/>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(777)</w:t>
            </w:r>
          </w:p>
        </w:tc>
        <w:tc>
          <w:tcPr>
            <w:tcW w:w="651" w:type="pct"/>
            <w:shd w:val="clear" w:color="auto" w:fill="auto"/>
            <w:noWrap/>
            <w:vAlign w:val="center"/>
          </w:tcPr>
          <w:p w:rsidR="00E9008A" w:rsidRPr="00747E73" w:rsidRDefault="00E9008A" w:rsidP="005B7D01">
            <w:pPr>
              <w:jc w:val="right"/>
              <w:rPr>
                <w:b/>
                <w:bCs/>
                <w:color w:val="000000"/>
                <w:sz w:val="18"/>
                <w:szCs w:val="18"/>
              </w:rPr>
            </w:pPr>
            <w:r w:rsidRPr="00747E73">
              <w:rPr>
                <w:b/>
                <w:bCs/>
                <w:color w:val="000000"/>
                <w:sz w:val="18"/>
                <w:szCs w:val="18"/>
              </w:rPr>
              <w:t>142.277</w:t>
            </w:r>
          </w:p>
        </w:tc>
        <w:tc>
          <w:tcPr>
            <w:tcW w:w="767" w:type="pct"/>
            <w:shd w:val="clear" w:color="auto" w:fill="auto"/>
            <w:noWrap/>
            <w:vAlign w:val="center"/>
            <w:hideMark/>
          </w:tcPr>
          <w:p w:rsidR="00E9008A" w:rsidRPr="00747E73" w:rsidRDefault="00E9008A" w:rsidP="005B7D01">
            <w:pPr>
              <w:jc w:val="right"/>
              <w:rPr>
                <w:b/>
                <w:bCs/>
                <w:color w:val="000000"/>
                <w:sz w:val="18"/>
                <w:szCs w:val="18"/>
              </w:rPr>
            </w:pPr>
            <w:r w:rsidRPr="00747E73">
              <w:rPr>
                <w:b/>
                <w:bCs/>
                <w:color w:val="000000"/>
                <w:sz w:val="18"/>
                <w:szCs w:val="18"/>
              </w:rPr>
              <w:t>120.970</w:t>
            </w:r>
          </w:p>
        </w:tc>
      </w:tr>
    </w:tbl>
    <w:p w:rsidR="00E9008A" w:rsidRPr="00316249" w:rsidRDefault="00E9008A" w:rsidP="00E9008A">
      <w:pPr>
        <w:spacing w:before="120" w:after="240"/>
        <w:jc w:val="both"/>
        <w:rPr>
          <w:b/>
          <w:bCs/>
          <w:snapToGrid w:val="0"/>
          <w:sz w:val="22"/>
          <w:szCs w:val="22"/>
        </w:rPr>
      </w:pPr>
      <w:r w:rsidRPr="00316249">
        <w:rPr>
          <w:b/>
          <w:bCs/>
          <w:snapToGrid w:val="0"/>
          <w:sz w:val="22"/>
          <w:szCs w:val="22"/>
        </w:rPr>
        <w:t xml:space="preserve">(a) </w:t>
      </w:r>
      <w:r w:rsidRPr="00316249">
        <w:rPr>
          <w:bCs/>
          <w:snapToGrid w:val="0"/>
          <w:sz w:val="22"/>
          <w:szCs w:val="22"/>
        </w:rPr>
        <w:t xml:space="preserve">Em 2015, </w:t>
      </w:r>
      <w:r>
        <w:rPr>
          <w:bCs/>
          <w:snapToGrid w:val="0"/>
          <w:sz w:val="22"/>
          <w:szCs w:val="22"/>
        </w:rPr>
        <w:t>i</w:t>
      </w:r>
      <w:r w:rsidRPr="00316249">
        <w:rPr>
          <w:bCs/>
          <w:snapToGrid w:val="0"/>
          <w:sz w:val="22"/>
          <w:szCs w:val="22"/>
        </w:rPr>
        <w:t xml:space="preserve">nclui </w:t>
      </w:r>
      <w:r>
        <w:rPr>
          <w:bCs/>
          <w:snapToGrid w:val="0"/>
          <w:sz w:val="22"/>
          <w:szCs w:val="22"/>
        </w:rPr>
        <w:t>a</w:t>
      </w:r>
      <w:r w:rsidRPr="00316249">
        <w:rPr>
          <w:bCs/>
          <w:snapToGrid w:val="0"/>
          <w:sz w:val="22"/>
          <w:szCs w:val="22"/>
        </w:rPr>
        <w:t xml:space="preserve"> reversão do </w:t>
      </w:r>
      <w:r>
        <w:rPr>
          <w:bCs/>
          <w:snapToGrid w:val="0"/>
          <w:sz w:val="22"/>
          <w:szCs w:val="22"/>
        </w:rPr>
        <w:t>P</w:t>
      </w:r>
      <w:r w:rsidRPr="00316249">
        <w:rPr>
          <w:bCs/>
          <w:snapToGrid w:val="0"/>
          <w:sz w:val="22"/>
          <w:szCs w:val="22"/>
        </w:rPr>
        <w:t xml:space="preserve">lano </w:t>
      </w:r>
      <w:r>
        <w:rPr>
          <w:bCs/>
          <w:snapToGrid w:val="0"/>
          <w:sz w:val="22"/>
          <w:szCs w:val="22"/>
        </w:rPr>
        <w:t>A</w:t>
      </w:r>
      <w:r w:rsidRPr="00316249">
        <w:rPr>
          <w:bCs/>
          <w:snapToGrid w:val="0"/>
          <w:sz w:val="22"/>
          <w:szCs w:val="22"/>
        </w:rPr>
        <w:t>ssistencial – FACEB, no valor de R$ 90.712, devido à inconstitucionalidade das Leis nº 3.010/2002 e nº 3.199/2003.</w:t>
      </w:r>
    </w:p>
    <w:p w:rsidR="00E9008A" w:rsidRPr="00316249" w:rsidRDefault="00E9008A" w:rsidP="00E9008A">
      <w:pPr>
        <w:spacing w:before="120" w:after="240"/>
        <w:jc w:val="both"/>
        <w:rPr>
          <w:bCs/>
          <w:snapToGrid w:val="0"/>
          <w:sz w:val="22"/>
          <w:szCs w:val="22"/>
        </w:rPr>
      </w:pPr>
      <w:r w:rsidRPr="00316249">
        <w:rPr>
          <w:b/>
          <w:bCs/>
          <w:snapToGrid w:val="0"/>
          <w:sz w:val="22"/>
          <w:szCs w:val="22"/>
        </w:rPr>
        <w:t xml:space="preserve">(b) </w:t>
      </w:r>
      <w:r w:rsidRPr="00316249">
        <w:rPr>
          <w:bCs/>
          <w:snapToGrid w:val="0"/>
          <w:sz w:val="22"/>
          <w:szCs w:val="22"/>
        </w:rPr>
        <w:t>Créditos por Decisão Judicial Transitada em Julgado:</w:t>
      </w:r>
    </w:p>
    <w:p w:rsidR="00E9008A" w:rsidRPr="00316249" w:rsidRDefault="00E9008A" w:rsidP="00E9008A">
      <w:pPr>
        <w:pStyle w:val="PargrafodaLista"/>
        <w:ind w:left="0"/>
        <w:jc w:val="both"/>
        <w:rPr>
          <w:rFonts w:ascii="Times New Roman" w:hAnsi="Times New Roman" w:cs="Times New Roman"/>
          <w:b/>
          <w:lang w:val="pt-BR"/>
        </w:rPr>
      </w:pPr>
      <w:r>
        <w:rPr>
          <w:rFonts w:ascii="Times New Roman" w:hAnsi="Times New Roman" w:cs="Times New Roman"/>
          <w:b/>
          <w:lang w:val="pt-BR"/>
        </w:rPr>
        <w:t xml:space="preserve">(i) </w:t>
      </w:r>
      <w:r w:rsidRPr="00316249">
        <w:rPr>
          <w:rFonts w:ascii="Times New Roman" w:hAnsi="Times New Roman" w:cs="Times New Roman"/>
          <w:b/>
          <w:lang w:val="pt-BR"/>
        </w:rPr>
        <w:t>FINSOCIAL</w:t>
      </w:r>
    </w:p>
    <w:p w:rsidR="00E9008A" w:rsidRDefault="00E9008A" w:rsidP="00E9008A">
      <w:pPr>
        <w:pStyle w:val="PargrafodaLista"/>
        <w:ind w:left="0"/>
        <w:jc w:val="both"/>
        <w:rPr>
          <w:rFonts w:ascii="Times New Roman" w:hAnsi="Times New Roman" w:cs="Times New Roman"/>
          <w:lang w:val="pt-BR"/>
        </w:rPr>
      </w:pPr>
      <w:r w:rsidRPr="00316249">
        <w:rPr>
          <w:rFonts w:ascii="Times New Roman" w:hAnsi="Times New Roman" w:cs="Times New Roman"/>
          <w:lang w:val="pt-BR"/>
        </w:rPr>
        <w:t>A Companhia Energética de Brasília – CEB recolheu a contribuição destinada ao Fundo de Investimento Social – FINSOCIAL, instituído pelo Decreto-lei nº 1940/82 e, após o reconhecimento de inconstitucionalidade declarada pelo Supremo Tribunal Federal – STF propôs ação judicial</w:t>
      </w:r>
      <w:r>
        <w:rPr>
          <w:rFonts w:ascii="Times New Roman" w:hAnsi="Times New Roman" w:cs="Times New Roman"/>
          <w:lang w:val="pt-BR"/>
        </w:rPr>
        <w:t xml:space="preserve"> (</w:t>
      </w:r>
      <w:r w:rsidRPr="00316249">
        <w:rPr>
          <w:rFonts w:ascii="Times New Roman" w:hAnsi="Times New Roman" w:cs="Times New Roman"/>
          <w:lang w:val="pt-BR"/>
        </w:rPr>
        <w:t>processo 2005.34.00.016932-2</w:t>
      </w:r>
      <w:r>
        <w:rPr>
          <w:rFonts w:ascii="Times New Roman" w:hAnsi="Times New Roman" w:cs="Times New Roman"/>
          <w:lang w:val="pt-BR"/>
        </w:rPr>
        <w:t>). O</w:t>
      </w:r>
      <w:r w:rsidRPr="00316249">
        <w:rPr>
          <w:rFonts w:ascii="Times New Roman" w:hAnsi="Times New Roman" w:cs="Times New Roman"/>
          <w:lang w:val="pt-BR"/>
        </w:rPr>
        <w:t>bteve</w:t>
      </w:r>
      <w:r>
        <w:rPr>
          <w:rFonts w:ascii="Times New Roman" w:hAnsi="Times New Roman" w:cs="Times New Roman"/>
          <w:lang w:val="pt-BR"/>
        </w:rPr>
        <w:t>,</w:t>
      </w:r>
      <w:r w:rsidRPr="00316249">
        <w:rPr>
          <w:rFonts w:ascii="Times New Roman" w:hAnsi="Times New Roman" w:cs="Times New Roman"/>
          <w:lang w:val="pt-BR"/>
        </w:rPr>
        <w:t xml:space="preserve"> </w:t>
      </w:r>
      <w:r>
        <w:rPr>
          <w:rFonts w:ascii="Times New Roman" w:hAnsi="Times New Roman" w:cs="Times New Roman"/>
          <w:lang w:val="pt-BR"/>
        </w:rPr>
        <w:t xml:space="preserve">assim, </w:t>
      </w:r>
      <w:r w:rsidRPr="00316249">
        <w:rPr>
          <w:rFonts w:ascii="Times New Roman" w:hAnsi="Times New Roman" w:cs="Times New Roman"/>
          <w:lang w:val="pt-BR"/>
        </w:rPr>
        <w:t xml:space="preserve">decisão favorável para a utilização do crédito fiscal na compensação de outros tributos próprios administrados pela Receita Federal do Brasil </w:t>
      </w:r>
      <w:r>
        <w:rPr>
          <w:rFonts w:ascii="Times New Roman" w:hAnsi="Times New Roman" w:cs="Times New Roman"/>
          <w:lang w:val="pt-BR"/>
        </w:rPr>
        <w:t>–</w:t>
      </w:r>
      <w:r w:rsidRPr="00316249">
        <w:rPr>
          <w:rFonts w:ascii="Times New Roman" w:hAnsi="Times New Roman" w:cs="Times New Roman"/>
          <w:lang w:val="pt-BR"/>
        </w:rPr>
        <w:t xml:space="preserve"> RFB.</w:t>
      </w:r>
    </w:p>
    <w:p w:rsidR="00E9008A" w:rsidRDefault="00E9008A" w:rsidP="00E9008A">
      <w:pPr>
        <w:pStyle w:val="PargrafodaLista"/>
        <w:ind w:left="0"/>
        <w:jc w:val="both"/>
        <w:rPr>
          <w:rFonts w:ascii="Times New Roman" w:hAnsi="Times New Roman" w:cs="Times New Roman"/>
          <w:lang w:val="pt-BR"/>
        </w:rPr>
      </w:pPr>
      <w:r>
        <w:rPr>
          <w:rFonts w:ascii="Times New Roman" w:hAnsi="Times New Roman" w:cs="Times New Roman"/>
          <w:lang w:val="pt-BR"/>
        </w:rPr>
        <w:t>Complementarmente, a</w:t>
      </w:r>
      <w:r w:rsidRPr="00316249">
        <w:rPr>
          <w:rFonts w:ascii="Times New Roman" w:hAnsi="Times New Roman" w:cs="Times New Roman"/>
          <w:lang w:val="pt-BR"/>
        </w:rPr>
        <w:t xml:space="preserve"> CEB solicitou, judicialmente, a mudança do polo ativo da ação para que os seus efeitos beneficiassem a CEB D, tendo em vista a </w:t>
      </w:r>
      <w:proofErr w:type="spellStart"/>
      <w:r w:rsidRPr="00316249">
        <w:rPr>
          <w:rFonts w:ascii="Times New Roman" w:hAnsi="Times New Roman" w:cs="Times New Roman"/>
          <w:lang w:val="pt-BR"/>
        </w:rPr>
        <w:t>desverticalização</w:t>
      </w:r>
      <w:proofErr w:type="spellEnd"/>
      <w:r w:rsidRPr="00316249">
        <w:rPr>
          <w:rFonts w:ascii="Times New Roman" w:hAnsi="Times New Roman" w:cs="Times New Roman"/>
          <w:lang w:val="pt-BR"/>
        </w:rPr>
        <w:t xml:space="preserve"> ocorrida em janeiro de 2006, o que foi deferido. A Companhia solicitou </w:t>
      </w:r>
      <w:r>
        <w:rPr>
          <w:rFonts w:ascii="Times New Roman" w:hAnsi="Times New Roman" w:cs="Times New Roman"/>
          <w:lang w:val="pt-BR"/>
        </w:rPr>
        <w:t xml:space="preserve">ainda </w:t>
      </w:r>
      <w:r w:rsidRPr="00316249">
        <w:rPr>
          <w:rFonts w:ascii="Times New Roman" w:hAnsi="Times New Roman" w:cs="Times New Roman"/>
          <w:lang w:val="pt-BR"/>
        </w:rPr>
        <w:t>à Receita Federal do Brasil, a habilitação do crédito reconhecido por decisão judicial transitada em julgado e em julho de 2016</w:t>
      </w:r>
      <w:r>
        <w:rPr>
          <w:rFonts w:ascii="Times New Roman" w:hAnsi="Times New Roman" w:cs="Times New Roman"/>
          <w:lang w:val="pt-BR"/>
        </w:rPr>
        <w:t>.</w:t>
      </w:r>
      <w:r w:rsidRPr="00316249">
        <w:rPr>
          <w:rFonts w:ascii="Times New Roman" w:hAnsi="Times New Roman" w:cs="Times New Roman"/>
          <w:lang w:val="pt-BR"/>
        </w:rPr>
        <w:t xml:space="preserve"> </w:t>
      </w:r>
      <w:r>
        <w:rPr>
          <w:rFonts w:ascii="Times New Roman" w:hAnsi="Times New Roman" w:cs="Times New Roman"/>
          <w:lang w:val="pt-BR"/>
        </w:rPr>
        <w:t>O</w:t>
      </w:r>
      <w:r w:rsidRPr="00316249">
        <w:rPr>
          <w:rFonts w:ascii="Times New Roman" w:hAnsi="Times New Roman" w:cs="Times New Roman"/>
          <w:lang w:val="pt-BR"/>
        </w:rPr>
        <w:t xml:space="preserve"> pedido foi deferido no valor atualizado de R$ 31.676.</w:t>
      </w:r>
    </w:p>
    <w:p w:rsidR="00E9008A" w:rsidRPr="00316249" w:rsidRDefault="00E9008A" w:rsidP="00E9008A">
      <w:pPr>
        <w:pStyle w:val="PargrafodaLista"/>
        <w:ind w:left="0"/>
        <w:jc w:val="both"/>
        <w:rPr>
          <w:rFonts w:ascii="Times New Roman" w:hAnsi="Times New Roman" w:cs="Times New Roman"/>
          <w:b/>
          <w:lang w:val="pt-BR"/>
        </w:rPr>
      </w:pPr>
      <w:r>
        <w:rPr>
          <w:rFonts w:ascii="Times New Roman" w:hAnsi="Times New Roman" w:cs="Times New Roman"/>
          <w:b/>
          <w:lang w:val="pt-BR"/>
        </w:rPr>
        <w:t>(</w:t>
      </w:r>
      <w:proofErr w:type="spellStart"/>
      <w:r>
        <w:rPr>
          <w:rFonts w:ascii="Times New Roman" w:hAnsi="Times New Roman" w:cs="Times New Roman"/>
          <w:b/>
          <w:lang w:val="pt-BR"/>
        </w:rPr>
        <w:t>ii</w:t>
      </w:r>
      <w:proofErr w:type="spellEnd"/>
      <w:r>
        <w:rPr>
          <w:rFonts w:ascii="Times New Roman" w:hAnsi="Times New Roman" w:cs="Times New Roman"/>
          <w:b/>
          <w:lang w:val="pt-BR"/>
        </w:rPr>
        <w:t xml:space="preserve">) </w:t>
      </w:r>
      <w:r w:rsidRPr="00316249">
        <w:rPr>
          <w:rFonts w:ascii="Times New Roman" w:hAnsi="Times New Roman" w:cs="Times New Roman"/>
          <w:b/>
          <w:lang w:val="pt-BR"/>
        </w:rPr>
        <w:t>PIS/PASEP</w:t>
      </w:r>
    </w:p>
    <w:p w:rsidR="00E9008A" w:rsidRPr="00316249" w:rsidRDefault="00E9008A" w:rsidP="00E9008A">
      <w:pPr>
        <w:pStyle w:val="PargrafodaLista"/>
        <w:ind w:left="0"/>
        <w:jc w:val="both"/>
        <w:rPr>
          <w:rFonts w:ascii="Times New Roman" w:hAnsi="Times New Roman" w:cs="Times New Roman"/>
          <w:lang w:val="pt-BR"/>
        </w:rPr>
      </w:pPr>
      <w:r w:rsidRPr="00316249">
        <w:rPr>
          <w:rFonts w:ascii="Times New Roman" w:hAnsi="Times New Roman" w:cs="Times New Roman"/>
          <w:lang w:val="pt-BR"/>
        </w:rPr>
        <w:lastRenderedPageBreak/>
        <w:t xml:space="preserve">A Companhia Energética de Brasília – CEB efetuou pagamento a maior de PIS/PASEP, no período de julho de </w:t>
      </w:r>
      <w:smartTag w:uri="urn:schemas-microsoft-com:office:smarttags" w:element="metricconverter">
        <w:smartTagPr>
          <w:attr w:name="ProductID" w:val="1991 a"/>
        </w:smartTagPr>
        <w:r w:rsidRPr="00316249">
          <w:rPr>
            <w:rFonts w:ascii="Times New Roman" w:hAnsi="Times New Roman" w:cs="Times New Roman"/>
            <w:lang w:val="pt-BR"/>
          </w:rPr>
          <w:t>1991 a</w:t>
        </w:r>
      </w:smartTag>
      <w:r w:rsidRPr="00316249">
        <w:rPr>
          <w:rFonts w:ascii="Times New Roman" w:hAnsi="Times New Roman" w:cs="Times New Roman"/>
          <w:lang w:val="pt-BR"/>
        </w:rPr>
        <w:t xml:space="preserve"> fevereiro de 1996, por considerar como base de cálculo do tributo a Receita Operacional Bruta do mês anterior à competência de pagamento, nos termos dos Decretos-Lei nº 2.445 e nº 2.449</w:t>
      </w:r>
      <w:r>
        <w:rPr>
          <w:rFonts w:ascii="Times New Roman" w:hAnsi="Times New Roman" w:cs="Times New Roman"/>
          <w:lang w:val="pt-BR"/>
        </w:rPr>
        <w:t>,</w:t>
      </w:r>
      <w:r w:rsidRPr="00316249">
        <w:rPr>
          <w:rFonts w:ascii="Times New Roman" w:hAnsi="Times New Roman" w:cs="Times New Roman"/>
          <w:lang w:val="pt-BR"/>
        </w:rPr>
        <w:t xml:space="preserve"> ambos de 1988.  Por serem estes decretos declarados inconstitucionais pelo STF, em </w:t>
      </w:r>
      <w:smartTag w:uri="urn:schemas-microsoft-com:office:smarttags" w:element="metricconverter">
        <w:smartTagPr>
          <w:attr w:name="ProductID" w:val="2005, a"/>
        </w:smartTagPr>
        <w:r w:rsidRPr="00316249">
          <w:rPr>
            <w:rFonts w:ascii="Times New Roman" w:hAnsi="Times New Roman" w:cs="Times New Roman"/>
            <w:lang w:val="pt-BR"/>
          </w:rPr>
          <w:t>2005, a</w:t>
        </w:r>
      </w:smartTag>
      <w:r w:rsidRPr="00316249">
        <w:rPr>
          <w:rFonts w:ascii="Times New Roman" w:hAnsi="Times New Roman" w:cs="Times New Roman"/>
          <w:lang w:val="pt-BR"/>
        </w:rPr>
        <w:t xml:space="preserve"> CEB ajuizou ação para reconhecimento do indébito tributário e restituição deste por meio de compensação, tendo </w:t>
      </w:r>
      <w:r>
        <w:rPr>
          <w:rFonts w:ascii="Times New Roman" w:hAnsi="Times New Roman" w:cs="Times New Roman"/>
          <w:lang w:val="pt-BR"/>
        </w:rPr>
        <w:t xml:space="preserve">sido </w:t>
      </w:r>
      <w:r w:rsidRPr="00316249">
        <w:rPr>
          <w:rFonts w:ascii="Times New Roman" w:hAnsi="Times New Roman" w:cs="Times New Roman"/>
          <w:lang w:val="pt-BR"/>
        </w:rPr>
        <w:t>o pleito julgado procedente</w:t>
      </w:r>
      <w:r>
        <w:rPr>
          <w:rFonts w:ascii="Times New Roman" w:hAnsi="Times New Roman" w:cs="Times New Roman"/>
          <w:lang w:val="pt-BR"/>
        </w:rPr>
        <w:t>,</w:t>
      </w:r>
      <w:r w:rsidRPr="00316249">
        <w:rPr>
          <w:rFonts w:ascii="Times New Roman" w:hAnsi="Times New Roman" w:cs="Times New Roman"/>
          <w:lang w:val="pt-BR"/>
        </w:rPr>
        <w:t xml:space="preserve"> com valor atualizado de R$ 65.173. Em 2006, após a reorganização societária, a CEB solicitou </w:t>
      </w:r>
      <w:r>
        <w:rPr>
          <w:rFonts w:ascii="Times New Roman" w:hAnsi="Times New Roman" w:cs="Times New Roman"/>
          <w:lang w:val="pt-BR"/>
        </w:rPr>
        <w:t xml:space="preserve">a </w:t>
      </w:r>
      <w:r w:rsidRPr="00316249">
        <w:rPr>
          <w:rFonts w:ascii="Times New Roman" w:hAnsi="Times New Roman" w:cs="Times New Roman"/>
          <w:lang w:val="pt-BR"/>
        </w:rPr>
        <w:t xml:space="preserve">alteração do beneficiário do crédito tributário no processo com direcionamento para a CEB Distribuição </w:t>
      </w:r>
      <w:proofErr w:type="gramStart"/>
      <w:r w:rsidRPr="00316249">
        <w:rPr>
          <w:rFonts w:ascii="Times New Roman" w:hAnsi="Times New Roman" w:cs="Times New Roman"/>
          <w:lang w:val="pt-BR"/>
        </w:rPr>
        <w:t>S.A.</w:t>
      </w:r>
      <w:r>
        <w:rPr>
          <w:rFonts w:ascii="Times New Roman" w:hAnsi="Times New Roman" w:cs="Times New Roman"/>
          <w:lang w:val="pt-BR"/>
        </w:rPr>
        <w:t>.</w:t>
      </w:r>
      <w:proofErr w:type="gramEnd"/>
      <w:r w:rsidRPr="00316249">
        <w:rPr>
          <w:rFonts w:ascii="Times New Roman" w:hAnsi="Times New Roman" w:cs="Times New Roman"/>
          <w:lang w:val="pt-BR"/>
        </w:rPr>
        <w:t xml:space="preserve"> </w:t>
      </w:r>
    </w:p>
    <w:p w:rsidR="00E9008A" w:rsidRPr="00316249" w:rsidRDefault="00E9008A" w:rsidP="00E9008A">
      <w:pPr>
        <w:pStyle w:val="PargrafodaLista"/>
        <w:ind w:left="0"/>
        <w:jc w:val="both"/>
        <w:rPr>
          <w:rFonts w:ascii="Times New Roman" w:hAnsi="Times New Roman" w:cs="Times New Roman"/>
          <w:lang w:val="pt-BR"/>
        </w:rPr>
      </w:pPr>
      <w:r w:rsidRPr="00316249">
        <w:rPr>
          <w:rFonts w:ascii="Times New Roman" w:hAnsi="Times New Roman" w:cs="Times New Roman"/>
          <w:lang w:val="pt-BR"/>
        </w:rPr>
        <w:t xml:space="preserve">O pedido formal de habilitação de créditos decorrente de decisão judicial transitada em julgado foi protocolado em 2016 e teve seu respectivo deferimento dado pelo Despacho Decisório nº 0008/2017 – </w:t>
      </w:r>
      <w:proofErr w:type="spellStart"/>
      <w:r w:rsidRPr="00316249">
        <w:rPr>
          <w:rFonts w:ascii="Times New Roman" w:hAnsi="Times New Roman" w:cs="Times New Roman"/>
          <w:lang w:val="pt-BR"/>
        </w:rPr>
        <w:t>Diort</w:t>
      </w:r>
      <w:proofErr w:type="spellEnd"/>
      <w:r w:rsidRPr="00316249">
        <w:rPr>
          <w:rFonts w:ascii="Times New Roman" w:hAnsi="Times New Roman" w:cs="Times New Roman"/>
          <w:lang w:val="pt-BR"/>
        </w:rPr>
        <w:t>/DRF-Brasília/DF, anexado ao processo administrativo RFB nº 10166.731342/2016-10.</w:t>
      </w:r>
    </w:p>
    <w:p w:rsidR="00E9008A" w:rsidRDefault="00E9008A" w:rsidP="00E9008A">
      <w:pPr>
        <w:spacing w:before="120" w:after="240"/>
        <w:jc w:val="both"/>
        <w:rPr>
          <w:sz w:val="22"/>
          <w:szCs w:val="22"/>
        </w:rPr>
      </w:pPr>
      <w:r w:rsidRPr="00316249">
        <w:rPr>
          <w:b/>
          <w:bCs/>
          <w:snapToGrid w:val="0"/>
          <w:sz w:val="22"/>
          <w:szCs w:val="22"/>
        </w:rPr>
        <w:t xml:space="preserve">(c) </w:t>
      </w:r>
      <w:r w:rsidRPr="00316249">
        <w:rPr>
          <w:sz w:val="22"/>
          <w:szCs w:val="22"/>
        </w:rPr>
        <w:t>Decorre de participação dos empregados no resultado atribuído pela CEB Distribuição S.A., em função do Acordo Coletivo de Trabalho.</w:t>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Resultado Financeiro</w:t>
      </w:r>
    </w:p>
    <w:tbl>
      <w:tblPr>
        <w:tblW w:w="5000" w:type="pct"/>
        <w:tblCellMar>
          <w:left w:w="70" w:type="dxa"/>
          <w:right w:w="70" w:type="dxa"/>
        </w:tblCellMar>
        <w:tblLook w:val="04A0" w:firstRow="1" w:lastRow="0" w:firstColumn="1" w:lastColumn="0" w:noHBand="0" w:noVBand="1"/>
      </w:tblPr>
      <w:tblGrid>
        <w:gridCol w:w="4708"/>
        <w:gridCol w:w="1035"/>
        <w:gridCol w:w="1035"/>
        <w:gridCol w:w="1400"/>
        <w:gridCol w:w="1033"/>
      </w:tblGrid>
      <w:tr w:rsidR="00E9008A" w:rsidRPr="00316249" w:rsidTr="005B7D01">
        <w:trPr>
          <w:trHeight w:val="238"/>
          <w:tblHeader/>
        </w:trPr>
        <w:tc>
          <w:tcPr>
            <w:tcW w:w="257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after="240"/>
              <w:jc w:val="center"/>
              <w:rPr>
                <w:color w:val="000000"/>
                <w:sz w:val="22"/>
                <w:szCs w:val="22"/>
              </w:rPr>
            </w:pPr>
            <w:r w:rsidRPr="00316249">
              <w:rPr>
                <w:color w:val="000000"/>
                <w:sz w:val="22"/>
                <w:szCs w:val="22"/>
              </w:rPr>
              <w:t> </w:t>
            </w:r>
          </w:p>
        </w:tc>
        <w:tc>
          <w:tcPr>
            <w:tcW w:w="11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Controladora </w:t>
            </w:r>
          </w:p>
        </w:tc>
        <w:tc>
          <w:tcPr>
            <w:tcW w:w="1255"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xml:space="preserve"> Consolidado </w:t>
            </w:r>
          </w:p>
        </w:tc>
      </w:tr>
      <w:tr w:rsidR="00E9008A" w:rsidRPr="00316249" w:rsidTr="005B7D01">
        <w:trPr>
          <w:trHeight w:val="238"/>
          <w:tblHeader/>
        </w:trPr>
        <w:tc>
          <w:tcPr>
            <w:tcW w:w="257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22"/>
                <w:szCs w:val="22"/>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67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 Receitas Financeiras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Juros/Variações Monetárias Sobre Ativos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4.100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1.072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42.016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21.324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Atualização Monetária – Ativos Regulatórios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63.162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89.448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Acréscimos Moratórios em Conta de Energia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31.157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11.896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Rendimentos de Aplicações Financeiras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1.067</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861 </w:t>
            </w:r>
          </w:p>
        </w:tc>
        <w:tc>
          <w:tcPr>
            <w:tcW w:w="671" w:type="pct"/>
            <w:tcBorders>
              <w:top w:val="nil"/>
              <w:left w:val="single" w:sz="4" w:space="0" w:color="auto"/>
              <w:bottom w:val="single" w:sz="4" w:space="0" w:color="auto"/>
              <w:right w:val="single" w:sz="4" w:space="0" w:color="auto"/>
            </w:tcBorders>
            <w:shd w:val="clear" w:color="auto" w:fill="auto"/>
            <w:noWrap/>
            <w:vAlign w:val="bottom"/>
          </w:tcPr>
          <w:p w:rsidR="00E9008A" w:rsidRPr="00316249" w:rsidRDefault="00E9008A" w:rsidP="005B7D01">
            <w:pPr>
              <w:jc w:val="right"/>
              <w:rPr>
                <w:color w:val="000000"/>
                <w:sz w:val="18"/>
                <w:szCs w:val="18"/>
              </w:rPr>
            </w:pPr>
            <w:r w:rsidRPr="00316249">
              <w:rPr>
                <w:color w:val="000000"/>
                <w:sz w:val="18"/>
                <w:szCs w:val="18"/>
              </w:rPr>
              <w:t xml:space="preserve">                 10.115 </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8.592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Receita de Dividendos e Juros sobre Capital Próprio</w:t>
            </w:r>
          </w:p>
        </w:tc>
        <w:tc>
          <w:tcPr>
            <w:tcW w:w="584" w:type="pct"/>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15.705</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7.884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16.192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7.439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Reversão de Juros Sobre Capital Próprio</w:t>
            </w:r>
          </w:p>
        </w:tc>
        <w:tc>
          <w:tcPr>
            <w:tcW w:w="584" w:type="pct"/>
            <w:tcBorders>
              <w:top w:val="nil"/>
              <w:left w:val="nil"/>
              <w:bottom w:val="single" w:sz="4" w:space="0" w:color="auto"/>
              <w:right w:val="single" w:sz="4" w:space="0" w:color="auto"/>
            </w:tcBorders>
            <w:shd w:val="clear" w:color="auto" w:fill="auto"/>
            <w:noWrap/>
            <w:vAlign w:val="center"/>
          </w:tcPr>
          <w:p w:rsidR="00E9008A" w:rsidRPr="00747E73" w:rsidRDefault="00E9008A" w:rsidP="005B7D01">
            <w:pPr>
              <w:jc w:val="right"/>
              <w:rPr>
                <w:color w:val="000000"/>
                <w:sz w:val="18"/>
                <w:szCs w:val="18"/>
              </w:rPr>
            </w:pPr>
            <w:r w:rsidRPr="00747E73">
              <w:rPr>
                <w:color w:val="000000"/>
                <w:sz w:val="18"/>
                <w:szCs w:val="18"/>
              </w:rPr>
              <w:t>(15.000)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(7.829)</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(15.000)</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(7.119)</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Multas e Penalidades Aplicadas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1.257</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724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Tributos </w:t>
            </w:r>
            <w:r>
              <w:rPr>
                <w:color w:val="000000"/>
                <w:sz w:val="18"/>
                <w:szCs w:val="18"/>
              </w:rPr>
              <w:t>S</w:t>
            </w:r>
            <w:r w:rsidRPr="00316249">
              <w:rPr>
                <w:color w:val="000000"/>
                <w:sz w:val="18"/>
                <w:szCs w:val="18"/>
              </w:rPr>
              <w:t>obre Receitas Financeiras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(5.368)</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Out</w:t>
            </w:r>
            <w:r>
              <w:rPr>
                <w:color w:val="000000"/>
                <w:sz w:val="18"/>
                <w:szCs w:val="18"/>
              </w:rPr>
              <w:t>r</w:t>
            </w:r>
            <w:r w:rsidRPr="00316249">
              <w:rPr>
                <w:color w:val="000000"/>
                <w:sz w:val="18"/>
                <w:szCs w:val="18"/>
              </w:rPr>
              <w:t xml:space="preserve">as Receitas Financeiras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755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2.542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2.476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Subtotal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5.872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2.743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146.073</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134.780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Despesas Financeiras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Juros/Variações Monetárias Sobre Passivos </w:t>
            </w:r>
            <w:r w:rsidRPr="00BB4C24">
              <w:rPr>
                <w:b/>
                <w:color w:val="000000"/>
                <w:sz w:val="18"/>
                <w:szCs w:val="18"/>
              </w:rPr>
              <w:t>(a)</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(68)</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(43)</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(76.051)</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(90.261)</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Encargos de Dívidas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(70.556)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(61.247)</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Atualização Monetária – Passivos Regulatórios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(39.078)</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(35.744)</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Juros Sobre Capital Próprio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(6.171)</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Pr>
                <w:color w:val="000000"/>
                <w:sz w:val="18"/>
                <w:szCs w:val="18"/>
              </w:rPr>
              <w:t xml:space="preserve"> Reversão de Juros S</w:t>
            </w:r>
            <w:r w:rsidRPr="00316249">
              <w:rPr>
                <w:color w:val="000000"/>
                <w:sz w:val="18"/>
                <w:szCs w:val="18"/>
              </w:rPr>
              <w:t>obre Capital Próprio</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6.171 </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 Atualização de Benefício Pós-Emprego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(196)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(1.118)</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Recuperação de Despesas</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8.660</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 xml:space="preserve"> Outras Despesas Financeiras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(98)</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(46)</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(20.051)</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(12.855)</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Subtotal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(166)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(89)</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(197.272)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(201.225)</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Variação Cambial Sobre Fatura de Energia Elétrica (b)</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14.457</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(42.922)</w:t>
            </w:r>
          </w:p>
        </w:tc>
      </w:tr>
      <w:tr w:rsidR="00E9008A" w:rsidRPr="00316249" w:rsidTr="005B7D01">
        <w:trPr>
          <w:trHeight w:val="238"/>
        </w:trPr>
        <w:tc>
          <w:tcPr>
            <w:tcW w:w="257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 Resultado Financeiro </w:t>
            </w:r>
          </w:p>
        </w:tc>
        <w:tc>
          <w:tcPr>
            <w:tcW w:w="58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5.706</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2.654 </w:t>
            </w:r>
          </w:p>
        </w:tc>
        <w:tc>
          <w:tcPr>
            <w:tcW w:w="671"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(36.742)</w:t>
            </w:r>
          </w:p>
        </w:tc>
        <w:tc>
          <w:tcPr>
            <w:tcW w:w="58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(109.367)</w:t>
            </w:r>
          </w:p>
        </w:tc>
      </w:tr>
    </w:tbl>
    <w:p w:rsidR="00E9008A" w:rsidRPr="00DA2DA0" w:rsidRDefault="00E9008A" w:rsidP="00E9008A">
      <w:pPr>
        <w:spacing w:before="240" w:after="240"/>
        <w:jc w:val="both"/>
        <w:rPr>
          <w:bCs/>
          <w:snapToGrid w:val="0"/>
          <w:sz w:val="22"/>
          <w:szCs w:val="22"/>
        </w:rPr>
      </w:pPr>
      <w:r w:rsidRPr="00BB4C24">
        <w:rPr>
          <w:b/>
          <w:bCs/>
          <w:snapToGrid w:val="0"/>
          <w:sz w:val="22"/>
          <w:szCs w:val="22"/>
        </w:rPr>
        <w:t>(a</w:t>
      </w:r>
      <w:r w:rsidRPr="003D23E1">
        <w:rPr>
          <w:b/>
          <w:bCs/>
          <w:snapToGrid w:val="0"/>
          <w:sz w:val="22"/>
          <w:szCs w:val="22"/>
        </w:rPr>
        <w:t>)</w:t>
      </w:r>
      <w:r w:rsidRPr="003D23E1">
        <w:rPr>
          <w:bCs/>
          <w:snapToGrid w:val="0"/>
          <w:sz w:val="22"/>
          <w:szCs w:val="22"/>
        </w:rPr>
        <w:t xml:space="preserve"> </w:t>
      </w:r>
      <w:r w:rsidRPr="003D23E1">
        <w:rPr>
          <w:bCs/>
          <w:snapToGrid w:val="0"/>
          <w:sz w:val="22"/>
          <w:szCs w:val="22"/>
        </w:rPr>
        <w:tab/>
        <w:t xml:space="preserve">Juros/Variações Monetárias Sobre Passivos: A redução se deve, substancialmente, às </w:t>
      </w:r>
      <w:r>
        <w:rPr>
          <w:bCs/>
          <w:snapToGrid w:val="0"/>
          <w:sz w:val="22"/>
          <w:szCs w:val="22"/>
        </w:rPr>
        <w:t>amortizações</w:t>
      </w:r>
      <w:r w:rsidRPr="003D23E1">
        <w:rPr>
          <w:bCs/>
          <w:snapToGrid w:val="0"/>
          <w:sz w:val="22"/>
          <w:szCs w:val="22"/>
        </w:rPr>
        <w:t xml:space="preserve"> dos passivos regulatórios durante o exercício de 2016 e, consequentemente, à redução dos juros e variações monetárias se comparado os períodos.</w:t>
      </w:r>
      <w:r w:rsidRPr="00DA2DA0">
        <w:rPr>
          <w:bCs/>
          <w:snapToGrid w:val="0"/>
          <w:sz w:val="22"/>
          <w:szCs w:val="22"/>
        </w:rPr>
        <w:t xml:space="preserve"> </w:t>
      </w:r>
    </w:p>
    <w:p w:rsidR="00E9008A" w:rsidRDefault="00E9008A" w:rsidP="00E9008A">
      <w:pPr>
        <w:spacing w:before="240" w:after="240"/>
        <w:jc w:val="both"/>
        <w:rPr>
          <w:sz w:val="22"/>
          <w:szCs w:val="22"/>
        </w:rPr>
      </w:pPr>
      <w:r w:rsidRPr="00BB4C24">
        <w:rPr>
          <w:b/>
          <w:bCs/>
          <w:snapToGrid w:val="0"/>
          <w:sz w:val="22"/>
          <w:szCs w:val="22"/>
        </w:rPr>
        <w:t>(b)</w:t>
      </w:r>
      <w:r w:rsidRPr="00316249">
        <w:rPr>
          <w:bCs/>
          <w:snapToGrid w:val="0"/>
          <w:sz w:val="22"/>
          <w:szCs w:val="22"/>
        </w:rPr>
        <w:tab/>
        <w:t xml:space="preserve">Variação </w:t>
      </w:r>
      <w:r>
        <w:rPr>
          <w:bCs/>
          <w:snapToGrid w:val="0"/>
          <w:sz w:val="22"/>
          <w:szCs w:val="22"/>
        </w:rPr>
        <w:t>C</w:t>
      </w:r>
      <w:r w:rsidRPr="00316249">
        <w:rPr>
          <w:bCs/>
          <w:snapToGrid w:val="0"/>
          <w:sz w:val="22"/>
          <w:szCs w:val="22"/>
        </w:rPr>
        <w:t xml:space="preserve">ambial </w:t>
      </w:r>
      <w:r>
        <w:rPr>
          <w:bCs/>
          <w:snapToGrid w:val="0"/>
          <w:sz w:val="22"/>
          <w:szCs w:val="22"/>
        </w:rPr>
        <w:t>S</w:t>
      </w:r>
      <w:r w:rsidRPr="00316249">
        <w:rPr>
          <w:bCs/>
          <w:snapToGrid w:val="0"/>
          <w:sz w:val="22"/>
          <w:szCs w:val="22"/>
        </w:rPr>
        <w:t xml:space="preserve">obre </w:t>
      </w:r>
      <w:r>
        <w:rPr>
          <w:bCs/>
          <w:snapToGrid w:val="0"/>
          <w:sz w:val="22"/>
          <w:szCs w:val="22"/>
        </w:rPr>
        <w:t>F</w:t>
      </w:r>
      <w:r w:rsidRPr="00316249">
        <w:rPr>
          <w:bCs/>
          <w:snapToGrid w:val="0"/>
          <w:sz w:val="22"/>
          <w:szCs w:val="22"/>
        </w:rPr>
        <w:t xml:space="preserve">atura de </w:t>
      </w:r>
      <w:r>
        <w:rPr>
          <w:bCs/>
          <w:snapToGrid w:val="0"/>
          <w:sz w:val="22"/>
          <w:szCs w:val="22"/>
        </w:rPr>
        <w:t>E</w:t>
      </w:r>
      <w:r w:rsidRPr="00316249">
        <w:rPr>
          <w:bCs/>
          <w:snapToGrid w:val="0"/>
          <w:sz w:val="22"/>
          <w:szCs w:val="22"/>
        </w:rPr>
        <w:t xml:space="preserve">nergia </w:t>
      </w:r>
      <w:r>
        <w:rPr>
          <w:bCs/>
          <w:snapToGrid w:val="0"/>
          <w:sz w:val="22"/>
          <w:szCs w:val="22"/>
        </w:rPr>
        <w:t>E</w:t>
      </w:r>
      <w:r w:rsidRPr="00316249">
        <w:rPr>
          <w:bCs/>
          <w:snapToGrid w:val="0"/>
          <w:sz w:val="22"/>
          <w:szCs w:val="22"/>
        </w:rPr>
        <w:t>létrica:</w:t>
      </w:r>
      <w:r w:rsidRPr="00316249">
        <w:rPr>
          <w:b/>
          <w:bCs/>
          <w:snapToGrid w:val="0"/>
          <w:sz w:val="22"/>
          <w:szCs w:val="22"/>
        </w:rPr>
        <w:t xml:space="preserve"> </w:t>
      </w:r>
      <w:r w:rsidRPr="00316249">
        <w:rPr>
          <w:bCs/>
          <w:snapToGrid w:val="0"/>
          <w:sz w:val="22"/>
          <w:szCs w:val="22"/>
        </w:rPr>
        <w:t>A variação ocorreu pela flutuação da moeda estrangeira que é o indexador das</w:t>
      </w:r>
      <w:r w:rsidRPr="00316249">
        <w:rPr>
          <w:color w:val="000000"/>
          <w:sz w:val="22"/>
          <w:szCs w:val="22"/>
        </w:rPr>
        <w:t xml:space="preserve"> faturas de compra de energia elétrica de Itaipu, que durante o </w:t>
      </w:r>
      <w:r w:rsidRPr="00316249">
        <w:rPr>
          <w:color w:val="000000"/>
          <w:sz w:val="22"/>
          <w:szCs w:val="22"/>
        </w:rPr>
        <w:lastRenderedPageBreak/>
        <w:t xml:space="preserve">exercício de 2016 apresentou significativa </w:t>
      </w:r>
      <w:r>
        <w:rPr>
          <w:color w:val="000000"/>
          <w:sz w:val="22"/>
          <w:szCs w:val="22"/>
        </w:rPr>
        <w:t>variação</w:t>
      </w:r>
      <w:r w:rsidRPr="00316249">
        <w:rPr>
          <w:color w:val="000000"/>
          <w:sz w:val="22"/>
          <w:szCs w:val="22"/>
        </w:rPr>
        <w:t xml:space="preserve"> em relação ao exercício anterior; e ainda</w:t>
      </w:r>
      <w:r>
        <w:rPr>
          <w:color w:val="000000"/>
          <w:sz w:val="22"/>
          <w:szCs w:val="22"/>
        </w:rPr>
        <w:t>,</w:t>
      </w:r>
      <w:r w:rsidRPr="00316249">
        <w:rPr>
          <w:color w:val="000000"/>
          <w:sz w:val="22"/>
          <w:szCs w:val="22"/>
        </w:rPr>
        <w:t xml:space="preserve"> pela quitação desse passivo ao longo do exercício de 2016. </w:t>
      </w:r>
      <w:r w:rsidRPr="00316249">
        <w:rPr>
          <w:sz w:val="22"/>
          <w:szCs w:val="22"/>
        </w:rPr>
        <w:t>Em 31 de dezembro de 2015, a CEB D possuía um passivo de R$ 70.464 (US$ 18.306), já em 31 de dezembro de 2016</w:t>
      </w:r>
      <w:r>
        <w:rPr>
          <w:sz w:val="22"/>
          <w:szCs w:val="22"/>
        </w:rPr>
        <w:t>,</w:t>
      </w:r>
      <w:r w:rsidRPr="00316249">
        <w:rPr>
          <w:sz w:val="22"/>
          <w:szCs w:val="22"/>
        </w:rPr>
        <w:t xml:space="preserve"> esse passivo </w:t>
      </w:r>
      <w:r>
        <w:rPr>
          <w:sz w:val="22"/>
          <w:szCs w:val="22"/>
        </w:rPr>
        <w:t>foi</w:t>
      </w:r>
      <w:r w:rsidRPr="00316249">
        <w:rPr>
          <w:sz w:val="22"/>
          <w:szCs w:val="22"/>
        </w:rPr>
        <w:t xml:space="preserve"> de R$ 25.409 (US$ 7.52</w:t>
      </w:r>
      <w:r>
        <w:rPr>
          <w:sz w:val="22"/>
          <w:szCs w:val="22"/>
        </w:rPr>
        <w:t>0</w:t>
      </w:r>
      <w:r w:rsidRPr="00316249">
        <w:rPr>
          <w:sz w:val="22"/>
          <w:szCs w:val="22"/>
        </w:rPr>
        <w:t>).</w:t>
      </w:r>
    </w:p>
    <w:p w:rsidR="00E9008A" w:rsidRDefault="00E9008A" w:rsidP="00E9008A">
      <w:pPr>
        <w:rPr>
          <w:b/>
          <w:bCs/>
          <w:color w:val="000000"/>
          <w:sz w:val="22"/>
          <w:szCs w:val="22"/>
        </w:rPr>
      </w:pPr>
      <w:r>
        <w:rPr>
          <w:b/>
          <w:bCs/>
          <w:color w:val="000000"/>
          <w:sz w:val="22"/>
          <w:szCs w:val="22"/>
        </w:rPr>
        <w:br w:type="page"/>
      </w:r>
    </w:p>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lastRenderedPageBreak/>
        <w:t>LUCRO (PREJUÍZO) POR AÇÃO BÁSICO E DILUÍDO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Os acionistas </w:t>
      </w:r>
      <w:proofErr w:type="spellStart"/>
      <w:r w:rsidRPr="00316249">
        <w:rPr>
          <w:rFonts w:ascii="Times New Roman" w:hAnsi="Times New Roman" w:cs="Times New Roman"/>
          <w:b w:val="0"/>
          <w:bCs w:val="0"/>
          <w:sz w:val="22"/>
          <w:szCs w:val="22"/>
        </w:rPr>
        <w:t>ordinaristas</w:t>
      </w:r>
      <w:proofErr w:type="spellEnd"/>
      <w:r w:rsidRPr="00316249">
        <w:rPr>
          <w:rFonts w:ascii="Times New Roman" w:hAnsi="Times New Roman" w:cs="Times New Roman"/>
          <w:b w:val="0"/>
          <w:bCs w:val="0"/>
          <w:sz w:val="22"/>
          <w:szCs w:val="22"/>
        </w:rPr>
        <w:t xml:space="preserve"> e preferencialistas possuem direitos diferentes em relação a dividendos, direito a voto e em caso de liquidação, conforme determina o estatuto social da Companhia. Desta forma, o lucro por ação, básico e diluído, foi calculado com base no lucro do exercício disponível para os acionistas.</w:t>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Básico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lucro básico por ação é calculado mediante a divisão do lucro atribuível aos acionistas da Companhia, disponível aos portadores de ações ordinárias e preferenciais, pela quantidade média ponderada de ações ordinárias e preferenciais em circulação durante o exercício.</w:t>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Diluído</w:t>
      </w:r>
    </w:p>
    <w:p w:rsidR="00E9008A" w:rsidRPr="00316249"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O lucro diluído por ação é calculado mediante o ajuste da quantidade média ponderada de ações ordinárias e preferenciais em circulação, para presumir a conversão de todas as ações potenciais diluídas. A Companhia não possui categoria de ações potenciais diluídas.</w:t>
      </w:r>
    </w:p>
    <w:p w:rsidR="00E9008A" w:rsidRDefault="00E9008A" w:rsidP="00E9008A">
      <w:pPr>
        <w:pStyle w:val="Corpodetexto"/>
        <w:spacing w:before="240" w:after="240"/>
        <w:rPr>
          <w:rFonts w:ascii="Times New Roman" w:hAnsi="Times New Roman" w:cs="Times New Roman"/>
          <w:b w:val="0"/>
          <w:bCs w:val="0"/>
          <w:sz w:val="22"/>
          <w:szCs w:val="22"/>
        </w:rPr>
      </w:pPr>
      <w:r w:rsidRPr="00316249">
        <w:rPr>
          <w:rFonts w:ascii="Times New Roman" w:hAnsi="Times New Roman" w:cs="Times New Roman"/>
          <w:b w:val="0"/>
          <w:bCs w:val="0"/>
          <w:sz w:val="22"/>
          <w:szCs w:val="22"/>
        </w:rPr>
        <w:t xml:space="preserve">A seguir são apresentados os cálculos do </w:t>
      </w:r>
      <w:proofErr w:type="gramStart"/>
      <w:r w:rsidRPr="00316249">
        <w:rPr>
          <w:rFonts w:ascii="Times New Roman" w:hAnsi="Times New Roman" w:cs="Times New Roman"/>
          <w:b w:val="0"/>
          <w:bCs w:val="0"/>
          <w:sz w:val="22"/>
          <w:szCs w:val="22"/>
        </w:rPr>
        <w:t>lucro  por</w:t>
      </w:r>
      <w:proofErr w:type="gramEnd"/>
      <w:r w:rsidRPr="00316249">
        <w:rPr>
          <w:rFonts w:ascii="Times New Roman" w:hAnsi="Times New Roman" w:cs="Times New Roman"/>
          <w:b w:val="0"/>
          <w:bCs w:val="0"/>
          <w:sz w:val="22"/>
          <w:szCs w:val="22"/>
        </w:rPr>
        <w:t xml:space="preserve"> ação, básico e diluído:</w:t>
      </w:r>
    </w:p>
    <w:tbl>
      <w:tblPr>
        <w:tblW w:w="5000" w:type="pct"/>
        <w:tblCellMar>
          <w:left w:w="70" w:type="dxa"/>
          <w:right w:w="70" w:type="dxa"/>
        </w:tblCellMar>
        <w:tblLook w:val="04A0" w:firstRow="1" w:lastRow="0" w:firstColumn="1" w:lastColumn="0" w:noHBand="0" w:noVBand="1"/>
      </w:tblPr>
      <w:tblGrid>
        <w:gridCol w:w="6395"/>
        <w:gridCol w:w="1406"/>
        <w:gridCol w:w="1410"/>
      </w:tblGrid>
      <w:tr w:rsidR="00E9008A" w:rsidRPr="00316249" w:rsidTr="005B7D01">
        <w:trPr>
          <w:trHeight w:val="238"/>
          <w:tblHeader/>
        </w:trPr>
        <w:tc>
          <w:tcPr>
            <w:tcW w:w="347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jc w:val="center"/>
              <w:rPr>
                <w:color w:val="000000"/>
                <w:sz w:val="18"/>
                <w:szCs w:val="18"/>
              </w:rPr>
            </w:pPr>
            <w:r w:rsidRPr="00316249">
              <w:rPr>
                <w:color w:val="000000"/>
                <w:sz w:val="18"/>
                <w:szCs w:val="18"/>
              </w:rPr>
              <w:t> </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Lucro Atribuível aos Acionistas da Companhia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114.607</w:t>
            </w: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25.448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Lucro Alocado às Ações Ordinárias – Básicas e Diluídas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57.112</w:t>
            </w: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12.682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Lucro Alocado às Ações Preferenciais – Básicas e Diluídas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57.494</w:t>
            </w: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12.766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 Média Ponderada das Ações em Circulação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Ações Ordinárias – Básicas e Diluídas</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7.184</w:t>
            </w: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5.233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xml:space="preserve"> Ações Preferenciais – Básicas e Diluídas</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7.232</w:t>
            </w: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5.269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color w:val="000000"/>
                <w:sz w:val="18"/>
                <w:szCs w:val="18"/>
              </w:rPr>
            </w:pPr>
            <w:r w:rsidRPr="00316249">
              <w:rPr>
                <w:color w:val="000000"/>
                <w:sz w:val="18"/>
                <w:szCs w:val="18"/>
              </w:rPr>
              <w:t>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rPr>
                <w:b/>
                <w:bCs/>
                <w:color w:val="000000"/>
                <w:sz w:val="18"/>
                <w:szCs w:val="18"/>
              </w:rPr>
            </w:pPr>
            <w:r w:rsidRPr="00316249">
              <w:rPr>
                <w:b/>
                <w:bCs/>
                <w:color w:val="000000"/>
                <w:sz w:val="18"/>
                <w:szCs w:val="18"/>
              </w:rPr>
              <w:t xml:space="preserve">Lucro por Ação – R$: </w:t>
            </w:r>
          </w:p>
        </w:tc>
        <w:tc>
          <w:tcPr>
            <w:tcW w:w="76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CF535B"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CF535B" w:rsidRDefault="00E9008A" w:rsidP="005B7D01">
            <w:pPr>
              <w:rPr>
                <w:color w:val="000000"/>
                <w:sz w:val="18"/>
                <w:szCs w:val="18"/>
              </w:rPr>
            </w:pPr>
            <w:r w:rsidRPr="00316249">
              <w:rPr>
                <w:color w:val="000000"/>
                <w:sz w:val="18"/>
                <w:szCs w:val="18"/>
              </w:rPr>
              <w:t xml:space="preserve"> </w:t>
            </w:r>
            <w:r w:rsidRPr="00CF535B">
              <w:rPr>
                <w:color w:val="000000"/>
                <w:sz w:val="18"/>
                <w:szCs w:val="18"/>
              </w:rPr>
              <w:t>Ações Ordinárias – Básicas e Diluídas</w:t>
            </w:r>
          </w:p>
        </w:tc>
        <w:tc>
          <w:tcPr>
            <w:tcW w:w="764" w:type="pct"/>
            <w:tcBorders>
              <w:top w:val="nil"/>
              <w:left w:val="nil"/>
              <w:bottom w:val="single" w:sz="4" w:space="0" w:color="auto"/>
              <w:right w:val="single" w:sz="4" w:space="0" w:color="auto"/>
            </w:tcBorders>
            <w:shd w:val="clear" w:color="auto" w:fill="auto"/>
            <w:noWrap/>
            <w:vAlign w:val="center"/>
          </w:tcPr>
          <w:p w:rsidR="00E9008A" w:rsidRPr="00CF535B" w:rsidRDefault="00E9008A" w:rsidP="005B7D01">
            <w:pPr>
              <w:jc w:val="right"/>
              <w:rPr>
                <w:color w:val="000000"/>
                <w:sz w:val="18"/>
                <w:szCs w:val="18"/>
              </w:rPr>
            </w:pPr>
            <w:r w:rsidRPr="00CF535B">
              <w:rPr>
                <w:color w:val="000000"/>
                <w:sz w:val="18"/>
                <w:szCs w:val="18"/>
              </w:rPr>
              <w:t>7,9500</w:t>
            </w: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CF535B" w:rsidRDefault="00E9008A" w:rsidP="005B7D01">
            <w:pPr>
              <w:jc w:val="right"/>
              <w:rPr>
                <w:color w:val="000000"/>
                <w:sz w:val="18"/>
                <w:szCs w:val="18"/>
              </w:rPr>
            </w:pPr>
            <w:r w:rsidRPr="00CF535B">
              <w:rPr>
                <w:color w:val="000000"/>
                <w:sz w:val="18"/>
                <w:szCs w:val="18"/>
              </w:rPr>
              <w:t xml:space="preserve">2,4232 </w:t>
            </w:r>
          </w:p>
        </w:tc>
      </w:tr>
      <w:tr w:rsidR="00E9008A" w:rsidRPr="00CF535B" w:rsidTr="005B7D01">
        <w:trPr>
          <w:trHeight w:val="238"/>
        </w:trPr>
        <w:tc>
          <w:tcPr>
            <w:tcW w:w="3472" w:type="pct"/>
            <w:tcBorders>
              <w:top w:val="nil"/>
              <w:left w:val="single" w:sz="4" w:space="0" w:color="auto"/>
              <w:bottom w:val="single" w:sz="4" w:space="0" w:color="auto"/>
              <w:right w:val="single" w:sz="4" w:space="0" w:color="auto"/>
            </w:tcBorders>
            <w:shd w:val="clear" w:color="auto" w:fill="auto"/>
            <w:vAlign w:val="center"/>
            <w:hideMark/>
          </w:tcPr>
          <w:p w:rsidR="00E9008A" w:rsidRPr="00CF535B" w:rsidRDefault="00E9008A" w:rsidP="005B7D01">
            <w:pPr>
              <w:rPr>
                <w:color w:val="000000"/>
                <w:sz w:val="18"/>
                <w:szCs w:val="18"/>
              </w:rPr>
            </w:pPr>
            <w:r w:rsidRPr="00CF535B">
              <w:rPr>
                <w:color w:val="000000"/>
                <w:sz w:val="18"/>
                <w:szCs w:val="18"/>
              </w:rPr>
              <w:t xml:space="preserve"> Ações Preferenciais – Básicas e Diluídas</w:t>
            </w:r>
          </w:p>
        </w:tc>
        <w:tc>
          <w:tcPr>
            <w:tcW w:w="764" w:type="pct"/>
            <w:tcBorders>
              <w:top w:val="nil"/>
              <w:left w:val="nil"/>
              <w:bottom w:val="single" w:sz="4" w:space="0" w:color="auto"/>
              <w:right w:val="single" w:sz="4" w:space="0" w:color="auto"/>
            </w:tcBorders>
            <w:shd w:val="clear" w:color="auto" w:fill="auto"/>
            <w:noWrap/>
            <w:vAlign w:val="center"/>
          </w:tcPr>
          <w:p w:rsidR="00E9008A" w:rsidRPr="00CF535B" w:rsidRDefault="00E9008A" w:rsidP="005B7D01">
            <w:pPr>
              <w:jc w:val="right"/>
              <w:rPr>
                <w:color w:val="000000"/>
                <w:sz w:val="18"/>
                <w:szCs w:val="18"/>
              </w:rPr>
            </w:pPr>
            <w:r w:rsidRPr="00CF535B">
              <w:rPr>
                <w:color w:val="000000"/>
                <w:sz w:val="18"/>
                <w:szCs w:val="18"/>
              </w:rPr>
              <w:t>7,9500</w:t>
            </w:r>
          </w:p>
        </w:tc>
        <w:tc>
          <w:tcPr>
            <w:tcW w:w="764" w:type="pct"/>
            <w:tcBorders>
              <w:top w:val="nil"/>
              <w:left w:val="nil"/>
              <w:bottom w:val="single" w:sz="4" w:space="0" w:color="auto"/>
              <w:right w:val="single" w:sz="4" w:space="0" w:color="auto"/>
            </w:tcBorders>
            <w:shd w:val="clear" w:color="auto" w:fill="auto"/>
            <w:noWrap/>
            <w:vAlign w:val="center"/>
            <w:hideMark/>
          </w:tcPr>
          <w:p w:rsidR="00E9008A" w:rsidRPr="00CF535B" w:rsidRDefault="00E9008A" w:rsidP="005B7D01">
            <w:pPr>
              <w:jc w:val="right"/>
              <w:rPr>
                <w:color w:val="000000"/>
                <w:sz w:val="18"/>
                <w:szCs w:val="18"/>
              </w:rPr>
            </w:pPr>
            <w:r w:rsidRPr="00CF535B">
              <w:rPr>
                <w:color w:val="000000"/>
                <w:sz w:val="18"/>
                <w:szCs w:val="18"/>
              </w:rPr>
              <w:t xml:space="preserve">      2,4232 </w:t>
            </w:r>
          </w:p>
        </w:tc>
      </w:tr>
    </w:tbl>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t>TRANSAÇÕES COM PARTES RELACIONADAS</w:t>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Controladora Final</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A Companhia é controlada pelo Governo do Distrito Federal – GDF.</w:t>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Remuneração do Pessoal-Chave da Administração</w:t>
      </w:r>
    </w:p>
    <w:p w:rsidR="00E9008A" w:rsidRPr="00316249" w:rsidRDefault="00E9008A" w:rsidP="00E9008A">
      <w:pPr>
        <w:widowControl w:val="0"/>
        <w:autoSpaceDE w:val="0"/>
        <w:autoSpaceDN w:val="0"/>
        <w:adjustRightInd w:val="0"/>
        <w:spacing w:before="240" w:after="240"/>
        <w:jc w:val="both"/>
        <w:rPr>
          <w:rFonts w:eastAsia="Arial Unicode MS"/>
          <w:sz w:val="22"/>
          <w:szCs w:val="22"/>
        </w:rPr>
      </w:pPr>
      <w:r w:rsidRPr="00316249">
        <w:rPr>
          <w:rFonts w:eastAsia="Arial Unicode MS"/>
          <w:sz w:val="22"/>
          <w:szCs w:val="22"/>
        </w:rPr>
        <w:t>O Grupo não possui transações de empréstimos ou outras transações com diretores/conselheiros ou familiares imediatos.</w:t>
      </w:r>
    </w:p>
    <w:p w:rsidR="00E9008A" w:rsidRDefault="00E9008A" w:rsidP="00E9008A">
      <w:pPr>
        <w:rPr>
          <w:bCs/>
          <w:color w:val="000000"/>
          <w:sz w:val="22"/>
          <w:szCs w:val="22"/>
        </w:rPr>
      </w:pPr>
      <w:r>
        <w:rPr>
          <w:b/>
          <w:color w:val="000000"/>
          <w:sz w:val="22"/>
          <w:szCs w:val="22"/>
        </w:rPr>
        <w:br w:type="page"/>
      </w:r>
    </w:p>
    <w:p w:rsidR="00E9008A" w:rsidRDefault="00E9008A" w:rsidP="00E9008A">
      <w:pPr>
        <w:pStyle w:val="Corpodetexto3"/>
        <w:spacing w:before="240" w:after="240" w:line="240" w:lineRule="auto"/>
        <w:ind w:right="-60"/>
        <w:rPr>
          <w:rFonts w:ascii="Times New Roman" w:hAnsi="Times New Roman" w:cs="Times New Roman"/>
          <w:b w:val="0"/>
          <w:color w:val="000000"/>
          <w:sz w:val="22"/>
          <w:szCs w:val="22"/>
        </w:rPr>
      </w:pPr>
      <w:r w:rsidRPr="00316249">
        <w:rPr>
          <w:rFonts w:ascii="Times New Roman" w:hAnsi="Times New Roman" w:cs="Times New Roman"/>
          <w:b w:val="0"/>
          <w:color w:val="000000"/>
          <w:sz w:val="22"/>
          <w:szCs w:val="22"/>
        </w:rPr>
        <w:lastRenderedPageBreak/>
        <w:t>As remunerações dos administradores, responsáveis pelo planejamento, direção e controle das atividades da Companhia e de suas controladas, que incluem os membros do Conselho de Administração e diretores estatutários, estão apresentadas a seguir:</w:t>
      </w:r>
    </w:p>
    <w:tbl>
      <w:tblPr>
        <w:tblW w:w="5000" w:type="pct"/>
        <w:tblCellMar>
          <w:left w:w="70" w:type="dxa"/>
          <w:right w:w="70" w:type="dxa"/>
        </w:tblCellMar>
        <w:tblLook w:val="04A0" w:firstRow="1" w:lastRow="0" w:firstColumn="1" w:lastColumn="0" w:noHBand="0" w:noVBand="1"/>
      </w:tblPr>
      <w:tblGrid>
        <w:gridCol w:w="3741"/>
        <w:gridCol w:w="1369"/>
        <w:gridCol w:w="1371"/>
        <w:gridCol w:w="1369"/>
        <w:gridCol w:w="1361"/>
      </w:tblGrid>
      <w:tr w:rsidR="00E9008A" w:rsidRPr="00316249" w:rsidTr="005B7D01">
        <w:trPr>
          <w:trHeight w:val="238"/>
        </w:trPr>
        <w:tc>
          <w:tcPr>
            <w:tcW w:w="203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008A" w:rsidRPr="00316249" w:rsidRDefault="00E9008A" w:rsidP="005B7D01">
            <w:pPr>
              <w:spacing w:before="240" w:after="240"/>
              <w:jc w:val="center"/>
              <w:rPr>
                <w:color w:val="000000"/>
                <w:sz w:val="22"/>
                <w:szCs w:val="22"/>
              </w:rPr>
            </w:pPr>
            <w:r w:rsidRPr="00316249">
              <w:rPr>
                <w:color w:val="000000"/>
                <w:sz w:val="22"/>
                <w:szCs w:val="22"/>
              </w:rPr>
              <w:t> </w:t>
            </w:r>
          </w:p>
        </w:tc>
        <w:tc>
          <w:tcPr>
            <w:tcW w:w="1487"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c>
          <w:tcPr>
            <w:tcW w:w="1483"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rPr>
        <w:tc>
          <w:tcPr>
            <w:tcW w:w="2031"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color w:val="000000"/>
                <w:sz w:val="22"/>
                <w:szCs w:val="22"/>
              </w:rPr>
            </w:pPr>
          </w:p>
        </w:tc>
        <w:tc>
          <w:tcPr>
            <w:tcW w:w="7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4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c>
          <w:tcPr>
            <w:tcW w:w="74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74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p w:rsidR="00E9008A" w:rsidRPr="00316249" w:rsidRDefault="00E9008A" w:rsidP="005B7D01">
            <w:pPr>
              <w:jc w:val="center"/>
              <w:rPr>
                <w:b/>
                <w:bCs/>
                <w:color w:val="000000"/>
                <w:sz w:val="18"/>
                <w:szCs w:val="18"/>
              </w:rPr>
            </w:pPr>
            <w:r w:rsidRPr="00316249">
              <w:rPr>
                <w:b/>
                <w:bCs/>
                <w:color w:val="000000"/>
                <w:sz w:val="18"/>
                <w:szCs w:val="18"/>
              </w:rPr>
              <w:t>Reapresentado</w:t>
            </w:r>
          </w:p>
        </w:tc>
      </w:tr>
      <w:tr w:rsidR="00E9008A" w:rsidRPr="00316249" w:rsidTr="005B7D01">
        <w:trPr>
          <w:trHeight w:val="238"/>
        </w:trPr>
        <w:tc>
          <w:tcPr>
            <w:tcW w:w="203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Remuneração</w:t>
            </w:r>
          </w:p>
        </w:tc>
        <w:tc>
          <w:tcPr>
            <w:tcW w:w="7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813</w:t>
            </w:r>
          </w:p>
        </w:tc>
        <w:tc>
          <w:tcPr>
            <w:tcW w:w="74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926 </w:t>
            </w:r>
          </w:p>
        </w:tc>
        <w:tc>
          <w:tcPr>
            <w:tcW w:w="7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5.292</w:t>
            </w:r>
          </w:p>
        </w:tc>
        <w:tc>
          <w:tcPr>
            <w:tcW w:w="74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4.821 </w:t>
            </w:r>
          </w:p>
        </w:tc>
      </w:tr>
      <w:tr w:rsidR="00E9008A" w:rsidRPr="00316249" w:rsidTr="005B7D01">
        <w:trPr>
          <w:trHeight w:val="238"/>
        </w:trPr>
        <w:tc>
          <w:tcPr>
            <w:tcW w:w="203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Demais Benef</w:t>
            </w:r>
            <w:r>
              <w:rPr>
                <w:color w:val="000000"/>
                <w:sz w:val="18"/>
                <w:szCs w:val="18"/>
              </w:rPr>
              <w:t>í</w:t>
            </w:r>
            <w:r w:rsidRPr="00316249">
              <w:rPr>
                <w:color w:val="000000"/>
                <w:sz w:val="18"/>
                <w:szCs w:val="18"/>
              </w:rPr>
              <w:t>cios de Curto Prazo</w:t>
            </w:r>
          </w:p>
        </w:tc>
        <w:tc>
          <w:tcPr>
            <w:tcW w:w="7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216</w:t>
            </w:r>
          </w:p>
        </w:tc>
        <w:tc>
          <w:tcPr>
            <w:tcW w:w="74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274 </w:t>
            </w:r>
          </w:p>
        </w:tc>
        <w:tc>
          <w:tcPr>
            <w:tcW w:w="7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1.523</w:t>
            </w:r>
          </w:p>
        </w:tc>
        <w:tc>
          <w:tcPr>
            <w:tcW w:w="74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1.408 </w:t>
            </w:r>
          </w:p>
        </w:tc>
      </w:tr>
      <w:tr w:rsidR="00E9008A" w:rsidRPr="00316249" w:rsidTr="005B7D01">
        <w:trPr>
          <w:trHeight w:val="238"/>
        </w:trPr>
        <w:tc>
          <w:tcPr>
            <w:tcW w:w="2031"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Total</w:t>
            </w:r>
          </w:p>
        </w:tc>
        <w:tc>
          <w:tcPr>
            <w:tcW w:w="7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1.029</w:t>
            </w:r>
          </w:p>
        </w:tc>
        <w:tc>
          <w:tcPr>
            <w:tcW w:w="74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1.200 </w:t>
            </w:r>
          </w:p>
        </w:tc>
        <w:tc>
          <w:tcPr>
            <w:tcW w:w="743"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6.815</w:t>
            </w:r>
          </w:p>
        </w:tc>
        <w:tc>
          <w:tcPr>
            <w:tcW w:w="740"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6.229 </w:t>
            </w:r>
          </w:p>
        </w:tc>
      </w:tr>
    </w:tbl>
    <w:p w:rsidR="00E9008A" w:rsidRPr="00CF535B" w:rsidRDefault="00E9008A" w:rsidP="00E9008A">
      <w:pPr>
        <w:widowControl w:val="0"/>
        <w:autoSpaceDE w:val="0"/>
        <w:autoSpaceDN w:val="0"/>
        <w:adjustRightInd w:val="0"/>
        <w:spacing w:before="240" w:after="240"/>
        <w:jc w:val="both"/>
        <w:rPr>
          <w:rFonts w:eastAsia="Arial Unicode MS"/>
          <w:sz w:val="22"/>
          <w:szCs w:val="22"/>
        </w:rPr>
      </w:pPr>
      <w:r w:rsidRPr="00747E73">
        <w:rPr>
          <w:rFonts w:eastAsia="Arial Unicode MS"/>
          <w:sz w:val="22"/>
          <w:szCs w:val="22"/>
        </w:rPr>
        <w:t>A Companhia não concede remuneração variável e tampouco benefícios pós-emprego aos administradores e conselheiros.</w:t>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Transações Com Partes Relacionadas</w:t>
      </w:r>
    </w:p>
    <w:p w:rsidR="00E9008A" w:rsidRPr="00316249" w:rsidRDefault="00E9008A" w:rsidP="00E9008A">
      <w:pPr>
        <w:spacing w:before="240" w:after="240"/>
        <w:rPr>
          <w:spacing w:val="-2"/>
          <w:sz w:val="22"/>
          <w:szCs w:val="22"/>
        </w:rPr>
      </w:pPr>
      <w:r w:rsidRPr="00316249">
        <w:rPr>
          <w:spacing w:val="-2"/>
          <w:sz w:val="22"/>
          <w:szCs w:val="22"/>
        </w:rPr>
        <w:t>Os saldos e as transações com partes relacionadas da Companhia estão demonstrados conforme a seguir:</w:t>
      </w:r>
    </w:p>
    <w:p w:rsidR="00FF5C4E" w:rsidRPr="00FF5C4E" w:rsidRDefault="00FF5C4E" w:rsidP="00FF5C4E">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FF5C4E" w:rsidRPr="00FF5C4E" w:rsidRDefault="00FF5C4E" w:rsidP="00FF5C4E">
      <w:pPr>
        <w:pStyle w:val="PargrafodaLista"/>
        <w:keepLines/>
        <w:widowControl w:val="0"/>
        <w:numPr>
          <w:ilvl w:val="0"/>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FF5C4E" w:rsidRPr="00FF5C4E" w:rsidRDefault="00FF5C4E" w:rsidP="00FF5C4E">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FF5C4E" w:rsidRPr="00FF5C4E" w:rsidRDefault="00FF5C4E" w:rsidP="00FF5C4E">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FF5C4E" w:rsidRPr="00FF5C4E" w:rsidRDefault="00FF5C4E" w:rsidP="00FF5C4E">
      <w:pPr>
        <w:pStyle w:val="PargrafodaLista"/>
        <w:keepLines/>
        <w:widowControl w:val="0"/>
        <w:numPr>
          <w:ilvl w:val="1"/>
          <w:numId w:val="35"/>
        </w:numPr>
        <w:tabs>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after="240"/>
        <w:jc w:val="both"/>
        <w:rPr>
          <w:rFonts w:ascii="Times New Roman" w:hAnsi="Times New Roman" w:cs="Times New Roman"/>
          <w:b/>
          <w:vanish/>
          <w:lang w:val="pt-BR"/>
        </w:rPr>
      </w:pPr>
    </w:p>
    <w:p w:rsidR="00E9008A" w:rsidRPr="00316249" w:rsidRDefault="00E9008A" w:rsidP="00FF5C4E">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316249">
        <w:rPr>
          <w:b/>
        </w:rPr>
        <w:t xml:space="preserve">Operações da Controladora com suas Controladas </w:t>
      </w:r>
    </w:p>
    <w:tbl>
      <w:tblPr>
        <w:tblW w:w="5000" w:type="pct"/>
        <w:tblCellMar>
          <w:left w:w="70" w:type="dxa"/>
          <w:right w:w="70" w:type="dxa"/>
        </w:tblCellMar>
        <w:tblLook w:val="04A0" w:firstRow="1" w:lastRow="0" w:firstColumn="1" w:lastColumn="0" w:noHBand="0" w:noVBand="1"/>
      </w:tblPr>
      <w:tblGrid>
        <w:gridCol w:w="6293"/>
        <w:gridCol w:w="582"/>
        <w:gridCol w:w="1168"/>
        <w:gridCol w:w="1168"/>
      </w:tblGrid>
      <w:tr w:rsidR="00E9008A" w:rsidRPr="00316249" w:rsidTr="005B7D01">
        <w:trPr>
          <w:trHeight w:val="238"/>
          <w:tblHeader/>
        </w:trPr>
        <w:tc>
          <w:tcPr>
            <w:tcW w:w="34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240" w:after="240"/>
              <w:rPr>
                <w:b/>
                <w:bCs/>
                <w:color w:val="000000"/>
                <w:sz w:val="18"/>
                <w:szCs w:val="18"/>
              </w:rPr>
            </w:pPr>
            <w:r w:rsidRPr="00316249">
              <w:rPr>
                <w:b/>
                <w:bCs/>
                <w:color w:val="000000"/>
                <w:sz w:val="18"/>
                <w:szCs w:val="18"/>
              </w:rPr>
              <w:t xml:space="preserve">Transações </w:t>
            </w:r>
            <w:r>
              <w:rPr>
                <w:b/>
                <w:bCs/>
                <w:color w:val="000000"/>
                <w:sz w:val="18"/>
                <w:szCs w:val="18"/>
              </w:rPr>
              <w:t>C</w:t>
            </w:r>
            <w:r w:rsidRPr="00316249">
              <w:rPr>
                <w:b/>
                <w:bCs/>
                <w:color w:val="000000"/>
                <w:sz w:val="18"/>
                <w:szCs w:val="18"/>
              </w:rPr>
              <w:t>om Partes Relacionadas (Balanço Patrimonial)</w:t>
            </w:r>
          </w:p>
        </w:tc>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Notas</w:t>
            </w: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r>
      <w:tr w:rsidR="00E9008A" w:rsidRPr="00316249" w:rsidTr="005B7D01">
        <w:trPr>
          <w:trHeight w:val="238"/>
          <w:tblHeader/>
        </w:trPr>
        <w:tc>
          <w:tcPr>
            <w:tcW w:w="3416"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Ativo</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23.235</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19.383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Contas a Receber, Líquido da </w:t>
            </w:r>
            <w:r>
              <w:rPr>
                <w:b/>
                <w:bCs/>
                <w:color w:val="000000"/>
                <w:sz w:val="18"/>
                <w:szCs w:val="18"/>
              </w:rPr>
              <w:t>PE</w:t>
            </w:r>
            <w:r w:rsidRPr="00316249">
              <w:rPr>
                <w:b/>
                <w:bCs/>
                <w:color w:val="000000"/>
                <w:sz w:val="18"/>
                <w:szCs w:val="18"/>
              </w:rPr>
              <w:t>CLD</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7.232</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10.008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Governo do Distrito Federal</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a</w:t>
            </w:r>
            <w:proofErr w:type="gramEnd"/>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7.232</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10.008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Demais Ativos</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15.912</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9.375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Dividendos/JSCP</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b</w:t>
            </w:r>
            <w:proofErr w:type="gramEnd"/>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7.517</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9.090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Lajeado S.A.</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7.130</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6.655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Geração S.A.</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162</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1.432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Participações S.A.</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444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Corumbá Concessões S.A.</w:t>
            </w:r>
          </w:p>
        </w:tc>
        <w:tc>
          <w:tcPr>
            <w:tcW w:w="3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204</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Energética Corumbá III S.A.</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559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r w:rsidRPr="00316249">
              <w:rPr>
                <w:b/>
                <w:bCs/>
                <w:color w:val="000000"/>
                <w:sz w:val="18"/>
                <w:szCs w:val="18"/>
              </w:rPr>
              <w:t>Empréstimos e Financiamentos (Mútuo)</w:t>
            </w:r>
          </w:p>
        </w:tc>
        <w:tc>
          <w:tcPr>
            <w:tcW w:w="3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8.394</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r w:rsidRPr="00316249">
              <w:rPr>
                <w:color w:val="000000"/>
                <w:sz w:val="18"/>
                <w:szCs w:val="18"/>
              </w:rPr>
              <w:t>CEB Distribuição S.A.</w:t>
            </w:r>
          </w:p>
        </w:tc>
        <w:tc>
          <w:tcPr>
            <w:tcW w:w="3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4.492</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r w:rsidRPr="00316249">
              <w:rPr>
                <w:color w:val="000000"/>
                <w:sz w:val="18"/>
                <w:szCs w:val="18"/>
              </w:rPr>
              <w:t>Corumbá Concessões S.A.</w:t>
            </w:r>
          </w:p>
        </w:tc>
        <w:tc>
          <w:tcPr>
            <w:tcW w:w="31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3.902</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Outras Operações</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186</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285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Distribuição S.A.</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c</w:t>
            </w:r>
            <w:proofErr w:type="gramEnd"/>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186</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Cs/>
                <w:color w:val="000000"/>
                <w:sz w:val="18"/>
                <w:szCs w:val="18"/>
              </w:rPr>
            </w:pPr>
            <w:r w:rsidRPr="00316249">
              <w:rPr>
                <w:bCs/>
                <w:color w:val="000000"/>
                <w:sz w:val="18"/>
                <w:szCs w:val="18"/>
              </w:rPr>
              <w:t xml:space="preserve">            285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Passivo</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11.523</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19.670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Dividendos</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10.623</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18.623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Governo do Distrito Federal</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d</w:t>
            </w:r>
            <w:proofErr w:type="gramEnd"/>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10.623</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18.623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Demais Obrigações</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22"/>
                <w:szCs w:val="22"/>
              </w:rPr>
            </w:pPr>
            <w:r w:rsidRPr="00316249">
              <w:rPr>
                <w:color w:val="000000"/>
                <w:sz w:val="22"/>
                <w:szCs w:val="22"/>
              </w:rPr>
              <w:t> </w:t>
            </w:r>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900</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1.047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Distribuição S.A.</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e</w:t>
            </w:r>
            <w:proofErr w:type="gramEnd"/>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733</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880 </w:t>
            </w:r>
          </w:p>
        </w:tc>
      </w:tr>
      <w:tr w:rsidR="00E9008A" w:rsidRPr="00316249" w:rsidTr="005B7D01">
        <w:trPr>
          <w:trHeight w:val="238"/>
        </w:trPr>
        <w:tc>
          <w:tcPr>
            <w:tcW w:w="3416"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Distribuição S.A.</w:t>
            </w:r>
          </w:p>
        </w:tc>
        <w:tc>
          <w:tcPr>
            <w:tcW w:w="31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f</w:t>
            </w:r>
            <w:proofErr w:type="gramEnd"/>
          </w:p>
        </w:tc>
        <w:tc>
          <w:tcPr>
            <w:tcW w:w="63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167</w:t>
            </w:r>
          </w:p>
        </w:tc>
        <w:tc>
          <w:tcPr>
            <w:tcW w:w="63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167 </w:t>
            </w:r>
          </w:p>
        </w:tc>
      </w:tr>
    </w:tbl>
    <w:p w:rsidR="00E9008A" w:rsidRDefault="00E9008A" w:rsidP="00E9008A">
      <w:pPr>
        <w:pStyle w:val="PPTSource"/>
        <w:spacing w:before="0" w:after="0" w:line="240" w:lineRule="auto"/>
        <w:rPr>
          <w:rFonts w:ascii="Times New Roman" w:hAnsi="Times New Roman" w:cs="Times New Roman"/>
          <w:sz w:val="22"/>
          <w:szCs w:val="22"/>
        </w:rPr>
      </w:pPr>
    </w:p>
    <w:p w:rsidR="00E9008A" w:rsidRDefault="00E9008A" w:rsidP="00E9008A">
      <w:r>
        <w:br w:type="page"/>
      </w:r>
    </w:p>
    <w:p w:rsidR="00E9008A" w:rsidRPr="00316249" w:rsidRDefault="00E9008A" w:rsidP="00E9008A">
      <w:pPr>
        <w:pStyle w:val="PPTSource"/>
        <w:spacing w:before="0" w:after="0" w:line="240" w:lineRule="auto"/>
        <w:rPr>
          <w:rFonts w:ascii="Times New Roman" w:hAnsi="Times New Roman" w:cs="Times New Roman"/>
          <w:sz w:val="22"/>
          <w:szCs w:val="22"/>
        </w:rPr>
      </w:pPr>
    </w:p>
    <w:tbl>
      <w:tblPr>
        <w:tblW w:w="5000" w:type="pct"/>
        <w:tblCellMar>
          <w:left w:w="70" w:type="dxa"/>
          <w:right w:w="70" w:type="dxa"/>
        </w:tblCellMar>
        <w:tblLook w:val="04A0" w:firstRow="1" w:lastRow="0" w:firstColumn="1" w:lastColumn="0" w:noHBand="0" w:noVBand="1"/>
      </w:tblPr>
      <w:tblGrid>
        <w:gridCol w:w="6280"/>
        <w:gridCol w:w="669"/>
        <w:gridCol w:w="1131"/>
        <w:gridCol w:w="1131"/>
      </w:tblGrid>
      <w:tr w:rsidR="00E9008A" w:rsidRPr="00316249" w:rsidTr="005B7D01">
        <w:trPr>
          <w:trHeight w:val="238"/>
          <w:tblHeader/>
        </w:trPr>
        <w:tc>
          <w:tcPr>
            <w:tcW w:w="34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b/>
                <w:bCs/>
                <w:color w:val="000000"/>
                <w:sz w:val="18"/>
                <w:szCs w:val="18"/>
              </w:rPr>
            </w:pPr>
            <w:r w:rsidRPr="00316249">
              <w:rPr>
                <w:b/>
                <w:bCs/>
                <w:color w:val="000000"/>
                <w:sz w:val="18"/>
                <w:szCs w:val="18"/>
              </w:rPr>
              <w:t xml:space="preserve">Transações </w:t>
            </w:r>
            <w:r>
              <w:rPr>
                <w:b/>
                <w:bCs/>
                <w:color w:val="000000"/>
                <w:sz w:val="18"/>
                <w:szCs w:val="18"/>
              </w:rPr>
              <w:t>C</w:t>
            </w:r>
            <w:r w:rsidRPr="00316249">
              <w:rPr>
                <w:b/>
                <w:bCs/>
                <w:color w:val="000000"/>
                <w:sz w:val="18"/>
                <w:szCs w:val="18"/>
              </w:rPr>
              <w:t>om Partes Relacionadas (Resultado)</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Notas</w:t>
            </w:r>
          </w:p>
        </w:tc>
        <w:tc>
          <w:tcPr>
            <w:tcW w:w="1228"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Controladora</w:t>
            </w:r>
          </w:p>
        </w:tc>
      </w:tr>
      <w:tr w:rsidR="00E9008A" w:rsidRPr="00316249" w:rsidTr="005B7D01">
        <w:trPr>
          <w:trHeight w:val="238"/>
          <w:tblHeader/>
        </w:trPr>
        <w:tc>
          <w:tcPr>
            <w:tcW w:w="3409"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cantSplit/>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Receitas</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41.251</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30.002 </w:t>
            </w:r>
          </w:p>
        </w:tc>
      </w:tr>
      <w:tr w:rsidR="00E9008A" w:rsidRPr="00316249" w:rsidTr="005B7D01">
        <w:trPr>
          <w:cantSplit/>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xml:space="preserve">Receita de Prestação de Serviços </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40.354</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28.869 </w:t>
            </w:r>
          </w:p>
        </w:tc>
      </w:tr>
      <w:tr w:rsidR="00E9008A" w:rsidRPr="00316249" w:rsidTr="005B7D01">
        <w:trPr>
          <w:cantSplit/>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Governo do Distrito Federal</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g</w:t>
            </w:r>
            <w:proofErr w:type="gramEnd"/>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40.354</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28.869 </w:t>
            </w:r>
          </w:p>
        </w:tc>
      </w:tr>
      <w:tr w:rsidR="00E9008A" w:rsidRPr="00316249" w:rsidTr="005B7D01">
        <w:trPr>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Variação Monetária de Dividendos</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380 </w:t>
            </w:r>
          </w:p>
        </w:tc>
      </w:tr>
      <w:tr w:rsidR="00E9008A" w:rsidRPr="00316249" w:rsidTr="005B7D01">
        <w:trPr>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Lajeado S.A.</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 xml:space="preserve">            380 </w:t>
            </w:r>
          </w:p>
        </w:tc>
      </w:tr>
      <w:tr w:rsidR="00E9008A" w:rsidRPr="00316249" w:rsidTr="005B7D01">
        <w:trPr>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Encargos de Mútuo</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897</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 xml:space="preserve">            753 </w:t>
            </w:r>
          </w:p>
        </w:tc>
      </w:tr>
      <w:tr w:rsidR="00E9008A" w:rsidRPr="00316249" w:rsidTr="005B7D01">
        <w:trPr>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CEB Distribuição S.A.</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h</w:t>
            </w:r>
            <w:proofErr w:type="gramEnd"/>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897</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753 </w:t>
            </w:r>
          </w:p>
        </w:tc>
      </w:tr>
      <w:tr w:rsidR="00E9008A" w:rsidRPr="00316249" w:rsidTr="005B7D01">
        <w:trPr>
          <w:cantSplit/>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Despesas</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(7.282)</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(22.175) </w:t>
            </w:r>
          </w:p>
        </w:tc>
      </w:tr>
      <w:tr w:rsidR="00E9008A" w:rsidRPr="00316249" w:rsidTr="005B7D01">
        <w:trPr>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Provisão/Reversão Estimada de Perdas com Créditos de Liquidação Duvidosa</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(7.282)</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(22.175) </w:t>
            </w:r>
          </w:p>
        </w:tc>
      </w:tr>
      <w:tr w:rsidR="00E9008A" w:rsidRPr="00316249" w:rsidTr="005B7D01">
        <w:trPr>
          <w:cantSplit/>
          <w:trHeight w:val="238"/>
        </w:trPr>
        <w:tc>
          <w:tcPr>
            <w:tcW w:w="3409"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Governo do Distrito Federal </w:t>
            </w:r>
          </w:p>
        </w:tc>
        <w:tc>
          <w:tcPr>
            <w:tcW w:w="363"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i</w:t>
            </w:r>
            <w:proofErr w:type="gramEnd"/>
          </w:p>
        </w:tc>
        <w:tc>
          <w:tcPr>
            <w:tcW w:w="614"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(7.282)</w:t>
            </w:r>
          </w:p>
        </w:tc>
        <w:tc>
          <w:tcPr>
            <w:tcW w:w="614"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(22.175) </w:t>
            </w:r>
          </w:p>
        </w:tc>
      </w:tr>
    </w:tbl>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8B02C8">
        <w:rPr>
          <w:rFonts w:ascii="Times New Roman" w:hAnsi="Times New Roman" w:cs="Times New Roman"/>
          <w:b/>
          <w:sz w:val="22"/>
          <w:szCs w:val="22"/>
        </w:rPr>
        <w:t>a)</w:t>
      </w:r>
      <w:r w:rsidRPr="00316249">
        <w:rPr>
          <w:rFonts w:ascii="Times New Roman" w:hAnsi="Times New Roman" w:cs="Times New Roman"/>
          <w:sz w:val="22"/>
          <w:szCs w:val="22"/>
        </w:rPr>
        <w:t xml:space="preserve"> Representa valores a receber por serviços prestados de obras e manutenção da rede de iluminação púbica ao Governo do Distrito Federal. Estes serviços são prestados conforme contratos realizados entre a CEB e o GDF;</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8B02C8">
        <w:rPr>
          <w:rFonts w:ascii="Times New Roman" w:hAnsi="Times New Roman" w:cs="Times New Roman"/>
          <w:b/>
          <w:sz w:val="22"/>
          <w:szCs w:val="22"/>
        </w:rPr>
        <w:t>b)</w:t>
      </w:r>
      <w:r w:rsidRPr="00316249">
        <w:rPr>
          <w:rFonts w:ascii="Times New Roman" w:hAnsi="Times New Roman" w:cs="Times New Roman"/>
          <w:sz w:val="22"/>
          <w:szCs w:val="22"/>
        </w:rPr>
        <w:t xml:space="preserve"> Representa valores a receber de dividendos declarados e juros sobre o capital próprio decorrentes dos resultados das investidas;</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8B02C8">
        <w:rPr>
          <w:rFonts w:ascii="Times New Roman" w:hAnsi="Times New Roman" w:cs="Times New Roman"/>
          <w:b/>
          <w:sz w:val="22"/>
          <w:szCs w:val="22"/>
        </w:rPr>
        <w:t>c)</w:t>
      </w:r>
      <w:r w:rsidRPr="00316249">
        <w:rPr>
          <w:rFonts w:ascii="Times New Roman" w:hAnsi="Times New Roman" w:cs="Times New Roman"/>
          <w:sz w:val="22"/>
          <w:szCs w:val="22"/>
        </w:rPr>
        <w:t xml:space="preserve"> Representa valores de repasse de faturas de órgãos públicos que foram creditados em conta corrente da CEB D, que serão repassados através de encontro de contas à CEB;</w:t>
      </w:r>
    </w:p>
    <w:p w:rsidR="00E9008A" w:rsidRPr="00316249" w:rsidRDefault="00E9008A" w:rsidP="00E9008A">
      <w:pPr>
        <w:pStyle w:val="PPTSource"/>
        <w:spacing w:before="240" w:after="240" w:line="240" w:lineRule="auto"/>
        <w:rPr>
          <w:rFonts w:ascii="Times New Roman" w:hAnsi="Times New Roman" w:cs="Times New Roman"/>
          <w:sz w:val="22"/>
          <w:szCs w:val="22"/>
        </w:rPr>
      </w:pPr>
      <w:r w:rsidRPr="008B02C8">
        <w:rPr>
          <w:rFonts w:ascii="Times New Roman" w:hAnsi="Times New Roman" w:cs="Times New Roman"/>
          <w:b/>
          <w:sz w:val="22"/>
          <w:szCs w:val="22"/>
        </w:rPr>
        <w:t>d)</w:t>
      </w:r>
      <w:r w:rsidRPr="00316249">
        <w:rPr>
          <w:rFonts w:ascii="Times New Roman" w:hAnsi="Times New Roman" w:cs="Times New Roman"/>
          <w:sz w:val="22"/>
          <w:szCs w:val="22"/>
        </w:rPr>
        <w:t xml:space="preserve"> Trata-se de dividendos a pagar ao acionista controlador;</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8B02C8">
        <w:rPr>
          <w:rFonts w:ascii="Times New Roman" w:hAnsi="Times New Roman" w:cs="Times New Roman"/>
          <w:b/>
          <w:sz w:val="22"/>
          <w:szCs w:val="22"/>
        </w:rPr>
        <w:t>e)</w:t>
      </w:r>
      <w:r w:rsidRPr="00316249">
        <w:rPr>
          <w:rFonts w:ascii="Times New Roman" w:hAnsi="Times New Roman" w:cs="Times New Roman"/>
          <w:sz w:val="22"/>
          <w:szCs w:val="22"/>
        </w:rPr>
        <w:t xml:space="preserve"> A CEB D possui empregados cedidos à Companhia Energética de Brasília – CEB, que efetua mensalmente o ressarcimento do custo efetivo dos salários e dos benefícios dos empregados cedidos. A cessão é por tempo indeterminado e não há cobrança de taxas adicionais;</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8B02C8">
        <w:rPr>
          <w:rFonts w:ascii="Times New Roman" w:hAnsi="Times New Roman" w:cs="Times New Roman"/>
          <w:b/>
          <w:sz w:val="22"/>
          <w:szCs w:val="22"/>
        </w:rPr>
        <w:t>f)</w:t>
      </w:r>
      <w:r w:rsidRPr="00316249">
        <w:rPr>
          <w:rFonts w:ascii="Times New Roman" w:hAnsi="Times New Roman" w:cs="Times New Roman"/>
          <w:sz w:val="22"/>
          <w:szCs w:val="22"/>
        </w:rPr>
        <w:t xml:space="preserve"> Refere-se a valores a pagar de depósitos de faturas de órgãos públicos realizado na conta corrente da Companhia Energética de Brasília – CEB, que serão repassados, através de encontro de contas, à CEB D;</w:t>
      </w:r>
    </w:p>
    <w:p w:rsidR="00E9008A" w:rsidRPr="00747E73" w:rsidRDefault="00E9008A" w:rsidP="00E9008A">
      <w:pPr>
        <w:pStyle w:val="PPTSource"/>
        <w:spacing w:before="240" w:after="240" w:line="240" w:lineRule="auto"/>
        <w:jc w:val="both"/>
        <w:rPr>
          <w:rFonts w:ascii="Times New Roman" w:hAnsi="Times New Roman" w:cs="Times New Roman"/>
          <w:sz w:val="22"/>
          <w:szCs w:val="22"/>
        </w:rPr>
      </w:pPr>
      <w:r w:rsidRPr="008B02C8">
        <w:rPr>
          <w:rFonts w:ascii="Times New Roman" w:hAnsi="Times New Roman" w:cs="Times New Roman"/>
          <w:b/>
          <w:sz w:val="22"/>
          <w:szCs w:val="22"/>
        </w:rPr>
        <w:t>g)</w:t>
      </w:r>
      <w:r w:rsidRPr="00316249">
        <w:rPr>
          <w:rFonts w:ascii="Times New Roman" w:hAnsi="Times New Roman" w:cs="Times New Roman"/>
          <w:sz w:val="22"/>
          <w:szCs w:val="22"/>
        </w:rPr>
        <w:t xml:space="preserve"> Representa a receita pelos serviços de iluminação pública (obras e manutenção do parque) prestados ao Governo do Distrito Federal – GDF (Administrações Regionais, Empresas Públicas, Secretarias de Governo e Outros). </w:t>
      </w:r>
      <w:r w:rsidRPr="00747E73">
        <w:rPr>
          <w:rFonts w:ascii="Times New Roman" w:hAnsi="Times New Roman" w:cs="Times New Roman"/>
          <w:sz w:val="22"/>
          <w:szCs w:val="22"/>
        </w:rPr>
        <w:t>Estes serviços são faturados de acordo com os contratos firmados entre a CEB e o Governo de Distrito Federal – GDF. Em 2016, a margem líquida média por contrato foi de 8,3%;</w:t>
      </w:r>
    </w:p>
    <w:p w:rsidR="00E9008A" w:rsidRPr="00DA2DA0" w:rsidRDefault="00E9008A" w:rsidP="00E9008A">
      <w:pPr>
        <w:widowControl w:val="0"/>
        <w:autoSpaceDE w:val="0"/>
        <w:autoSpaceDN w:val="0"/>
        <w:adjustRightInd w:val="0"/>
        <w:spacing w:before="240" w:after="240"/>
        <w:jc w:val="both"/>
        <w:rPr>
          <w:sz w:val="22"/>
          <w:szCs w:val="22"/>
        </w:rPr>
      </w:pPr>
      <w:r w:rsidRPr="00747E73">
        <w:rPr>
          <w:b/>
          <w:sz w:val="22"/>
          <w:szCs w:val="22"/>
        </w:rPr>
        <w:t>h)</w:t>
      </w:r>
      <w:r w:rsidRPr="00747E73">
        <w:rPr>
          <w:sz w:val="22"/>
          <w:szCs w:val="22"/>
        </w:rPr>
        <w:t xml:space="preserve"> Diz respeito aos encargos do empréstimo (mútuo) realizado com a controlada CEB Distribuição S.A., cuja remuneração corresponde a</w:t>
      </w:r>
      <w:r w:rsidRPr="00747E73">
        <w:rPr>
          <w:bCs/>
          <w:sz w:val="22"/>
          <w:szCs w:val="22"/>
        </w:rPr>
        <w:t xml:space="preserve"> 97 % do Certificado de Depósito Interbancário – CDI</w:t>
      </w:r>
      <w:r w:rsidRPr="00747E73">
        <w:rPr>
          <w:sz w:val="22"/>
          <w:szCs w:val="22"/>
        </w:rPr>
        <w:t>; e</w:t>
      </w:r>
      <w:r w:rsidRPr="00DA2DA0">
        <w:rPr>
          <w:sz w:val="22"/>
          <w:szCs w:val="22"/>
        </w:rPr>
        <w:t xml:space="preserve"> </w:t>
      </w:r>
    </w:p>
    <w:p w:rsidR="00E9008A" w:rsidRPr="00316249" w:rsidRDefault="00E9008A" w:rsidP="00E9008A">
      <w:pPr>
        <w:widowControl w:val="0"/>
        <w:autoSpaceDE w:val="0"/>
        <w:autoSpaceDN w:val="0"/>
        <w:adjustRightInd w:val="0"/>
        <w:spacing w:before="240" w:after="240"/>
        <w:jc w:val="both"/>
        <w:rPr>
          <w:sz w:val="22"/>
          <w:szCs w:val="22"/>
        </w:rPr>
      </w:pPr>
      <w:r w:rsidRPr="008B02C8">
        <w:rPr>
          <w:b/>
          <w:sz w:val="22"/>
          <w:szCs w:val="22"/>
        </w:rPr>
        <w:t>i)</w:t>
      </w:r>
      <w:r w:rsidRPr="00316249">
        <w:rPr>
          <w:sz w:val="22"/>
          <w:szCs w:val="22"/>
        </w:rPr>
        <w:t xml:space="preserve"> Representa a estimativa de perdas com créditos de liquidação duvidosa com o Governo do Distrito Federal – GDF, pelos serviços de manutenção e obras de Iluminação Pública por serviços prestados pela CEB.</w:t>
      </w:r>
    </w:p>
    <w:p w:rsidR="00E9008A" w:rsidRDefault="00E9008A" w:rsidP="00E9008A">
      <w:pPr>
        <w:rPr>
          <w:b/>
          <w:sz w:val="22"/>
          <w:szCs w:val="22"/>
        </w:rPr>
      </w:pPr>
      <w:r>
        <w:rPr>
          <w:b/>
          <w:sz w:val="22"/>
          <w:szCs w:val="22"/>
        </w:rPr>
        <w:br w:type="page"/>
      </w:r>
    </w:p>
    <w:p w:rsidR="00E9008A" w:rsidRPr="00316249" w:rsidRDefault="00E9008A" w:rsidP="00FF5C4E">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316249">
        <w:rPr>
          <w:b/>
        </w:rPr>
        <w:lastRenderedPageBreak/>
        <w:t>Operações do Grupo e seus acionistas controladores e coligadas</w:t>
      </w:r>
    </w:p>
    <w:tbl>
      <w:tblPr>
        <w:tblW w:w="5000" w:type="pct"/>
        <w:tblCellMar>
          <w:left w:w="70" w:type="dxa"/>
          <w:right w:w="70" w:type="dxa"/>
        </w:tblCellMar>
        <w:tblLook w:val="04A0" w:firstRow="1" w:lastRow="0" w:firstColumn="1" w:lastColumn="0" w:noHBand="0" w:noVBand="1"/>
      </w:tblPr>
      <w:tblGrid>
        <w:gridCol w:w="6411"/>
        <w:gridCol w:w="602"/>
        <w:gridCol w:w="1068"/>
        <w:gridCol w:w="1130"/>
      </w:tblGrid>
      <w:tr w:rsidR="00E9008A" w:rsidRPr="00316249" w:rsidTr="005B7D01">
        <w:trPr>
          <w:trHeight w:val="238"/>
          <w:tblHeader/>
        </w:trPr>
        <w:tc>
          <w:tcPr>
            <w:tcW w:w="34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spacing w:before="80" w:after="80"/>
              <w:rPr>
                <w:b/>
                <w:bCs/>
                <w:color w:val="000000"/>
                <w:sz w:val="18"/>
                <w:szCs w:val="18"/>
              </w:rPr>
            </w:pPr>
            <w:r w:rsidRPr="00316249">
              <w:rPr>
                <w:b/>
                <w:bCs/>
                <w:color w:val="000000"/>
                <w:sz w:val="18"/>
                <w:szCs w:val="18"/>
              </w:rPr>
              <w:t xml:space="preserve">Transações </w:t>
            </w:r>
            <w:r>
              <w:rPr>
                <w:b/>
                <w:bCs/>
                <w:color w:val="000000"/>
                <w:sz w:val="18"/>
                <w:szCs w:val="18"/>
              </w:rPr>
              <w:t>C</w:t>
            </w:r>
            <w:r w:rsidRPr="00316249">
              <w:rPr>
                <w:b/>
                <w:bCs/>
                <w:color w:val="000000"/>
                <w:sz w:val="18"/>
                <w:szCs w:val="18"/>
              </w:rPr>
              <w:t>om Partes Relacionadas (Balanço Patrimonial)</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Notas</w:t>
            </w:r>
          </w:p>
        </w:tc>
        <w:tc>
          <w:tcPr>
            <w:tcW w:w="1175"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3490"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Ativo</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92.930</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91.786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Contas a Receber, L</w:t>
            </w:r>
            <w:r>
              <w:rPr>
                <w:b/>
                <w:bCs/>
                <w:color w:val="000000"/>
                <w:sz w:val="18"/>
                <w:szCs w:val="18"/>
              </w:rPr>
              <w:t>í</w:t>
            </w:r>
            <w:r w:rsidRPr="00316249">
              <w:rPr>
                <w:b/>
                <w:bCs/>
                <w:color w:val="000000"/>
                <w:sz w:val="18"/>
                <w:szCs w:val="18"/>
              </w:rPr>
              <w:t>quida da P</w:t>
            </w:r>
            <w:r>
              <w:rPr>
                <w:b/>
                <w:bCs/>
                <w:color w:val="000000"/>
                <w:sz w:val="18"/>
                <w:szCs w:val="18"/>
              </w:rPr>
              <w:t>E</w:t>
            </w:r>
            <w:r w:rsidRPr="00316249">
              <w:rPr>
                <w:b/>
                <w:bCs/>
                <w:color w:val="000000"/>
                <w:sz w:val="18"/>
                <w:szCs w:val="18"/>
              </w:rPr>
              <w:t>CLD</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87.465</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84.590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Corumbá Concessões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406</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244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Energética Corumbá III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99</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65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Governo do Distrito Federal </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a</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86.960</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84.281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Demais Ativos</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5.465</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7.196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Dividendos/JSCP</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1.359</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6.610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Corumbá Concessões S.A.</w:t>
            </w:r>
          </w:p>
        </w:tc>
        <w:tc>
          <w:tcPr>
            <w:tcW w:w="33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204</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559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Energética Corumbá III S.A.</w:t>
            </w:r>
          </w:p>
        </w:tc>
        <w:tc>
          <w:tcPr>
            <w:tcW w:w="33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21</w:t>
            </w:r>
          </w:p>
        </w:tc>
        <w:tc>
          <w:tcPr>
            <w:tcW w:w="58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proofErr w:type="spellStart"/>
            <w:r w:rsidRPr="00316249">
              <w:rPr>
                <w:color w:val="000000"/>
                <w:sz w:val="18"/>
                <w:szCs w:val="18"/>
              </w:rPr>
              <w:t>Investco</w:t>
            </w:r>
            <w:proofErr w:type="spellEnd"/>
            <w:r w:rsidRPr="00316249">
              <w:rPr>
                <w:color w:val="000000"/>
                <w:sz w:val="18"/>
                <w:szCs w:val="18"/>
              </w:rPr>
              <w:t xml:space="preserve">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1.134</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6.051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r w:rsidRPr="00316249">
              <w:rPr>
                <w:b/>
                <w:bCs/>
                <w:color w:val="000000"/>
                <w:sz w:val="18"/>
                <w:szCs w:val="18"/>
              </w:rPr>
              <w:t>Empréstimos e Financiamentos (</w:t>
            </w:r>
            <w:r>
              <w:rPr>
                <w:b/>
                <w:bCs/>
                <w:color w:val="000000"/>
                <w:sz w:val="18"/>
                <w:szCs w:val="18"/>
              </w:rPr>
              <w:t>M</w:t>
            </w:r>
            <w:r w:rsidRPr="00316249">
              <w:rPr>
                <w:b/>
                <w:bCs/>
                <w:color w:val="000000"/>
                <w:sz w:val="18"/>
                <w:szCs w:val="18"/>
              </w:rPr>
              <w:t>útuo)</w:t>
            </w:r>
          </w:p>
        </w:tc>
        <w:tc>
          <w:tcPr>
            <w:tcW w:w="33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4.105</w:t>
            </w:r>
          </w:p>
        </w:tc>
        <w:tc>
          <w:tcPr>
            <w:tcW w:w="58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r w:rsidRPr="00316249">
              <w:rPr>
                <w:color w:val="000000"/>
                <w:sz w:val="18"/>
                <w:szCs w:val="18"/>
              </w:rPr>
              <w:t>Corumbá Concessões S.A.</w:t>
            </w:r>
          </w:p>
        </w:tc>
        <w:tc>
          <w:tcPr>
            <w:tcW w:w="33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rPr>
                <w:color w:val="000000"/>
                <w:sz w:val="22"/>
                <w:szCs w:val="22"/>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Cs/>
                <w:color w:val="000000"/>
                <w:sz w:val="18"/>
                <w:szCs w:val="18"/>
              </w:rPr>
            </w:pPr>
            <w:r w:rsidRPr="00316249">
              <w:rPr>
                <w:bCs/>
                <w:color w:val="000000"/>
                <w:sz w:val="18"/>
                <w:szCs w:val="18"/>
              </w:rPr>
              <w:t>4.105</w:t>
            </w:r>
          </w:p>
        </w:tc>
        <w:tc>
          <w:tcPr>
            <w:tcW w:w="586"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Outras Operações</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586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Governo do Distrito Federal </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586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Passivo</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246.248</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282.079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Fornecedores</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23.200</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18.261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Corumbá Concessões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b</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18.318</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12.399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Energética Corumbá III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b</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4.882</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5.862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Contribuição de Iluminação Pública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207.412</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245.195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Governo do Distrito Federal</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c</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207.412</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245.195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Dividendos</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10.623</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18.623 </w:t>
            </w:r>
          </w:p>
        </w:tc>
      </w:tr>
      <w:tr w:rsidR="00E9008A" w:rsidRPr="00316249" w:rsidTr="005B7D01">
        <w:trPr>
          <w:trHeight w:val="238"/>
        </w:trPr>
        <w:tc>
          <w:tcPr>
            <w:tcW w:w="3490"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Governo do Distrito Federal</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d</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10.623</w:t>
            </w:r>
          </w:p>
        </w:tc>
        <w:tc>
          <w:tcPr>
            <w:tcW w:w="58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18.623 </w:t>
            </w:r>
          </w:p>
        </w:tc>
      </w:tr>
      <w:tr w:rsidR="00E9008A" w:rsidRPr="00316249" w:rsidTr="005B7D01">
        <w:trPr>
          <w:trHeight w:val="238"/>
        </w:trPr>
        <w:tc>
          <w:tcPr>
            <w:tcW w:w="34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b/>
                <w:bCs/>
                <w:color w:val="000000"/>
                <w:sz w:val="18"/>
                <w:szCs w:val="18"/>
              </w:rPr>
            </w:pPr>
            <w:r w:rsidRPr="00316249">
              <w:rPr>
                <w:b/>
                <w:bCs/>
                <w:color w:val="000000"/>
                <w:sz w:val="18"/>
                <w:szCs w:val="18"/>
              </w:rPr>
              <w:t>Arrendamento</w:t>
            </w:r>
            <w:r>
              <w:rPr>
                <w:b/>
                <w:bCs/>
                <w:color w:val="000000"/>
                <w:sz w:val="18"/>
                <w:szCs w:val="18"/>
              </w:rPr>
              <w:t xml:space="preserve"> a P</w:t>
            </w:r>
            <w:r w:rsidRPr="00316249">
              <w:rPr>
                <w:b/>
                <w:bCs/>
                <w:color w:val="000000"/>
                <w:sz w:val="18"/>
                <w:szCs w:val="18"/>
              </w:rPr>
              <w:t>agar</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8"/>
                <w:szCs w:val="18"/>
              </w:rPr>
            </w:pP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color w:val="000000"/>
                <w:sz w:val="18"/>
                <w:szCs w:val="18"/>
              </w:rPr>
            </w:pPr>
            <w:r w:rsidRPr="00316249">
              <w:rPr>
                <w:b/>
                <w:color w:val="000000"/>
                <w:sz w:val="18"/>
                <w:szCs w:val="18"/>
              </w:rPr>
              <w:t>5.013</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r w:rsidR="00E9008A" w:rsidRPr="00316249" w:rsidTr="005B7D01">
        <w:trPr>
          <w:trHeight w:val="238"/>
        </w:trPr>
        <w:tc>
          <w:tcPr>
            <w:tcW w:w="34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008A" w:rsidRPr="00316249" w:rsidRDefault="00E9008A" w:rsidP="005B7D01">
            <w:pPr>
              <w:rPr>
                <w:color w:val="000000"/>
                <w:sz w:val="18"/>
                <w:szCs w:val="18"/>
              </w:rPr>
            </w:pPr>
            <w:proofErr w:type="spellStart"/>
            <w:r w:rsidRPr="00316249">
              <w:rPr>
                <w:color w:val="000000"/>
                <w:sz w:val="18"/>
                <w:szCs w:val="18"/>
              </w:rPr>
              <w:t>Investco</w:t>
            </w:r>
            <w:proofErr w:type="spellEnd"/>
            <w:r w:rsidRPr="00316249">
              <w:rPr>
                <w:color w:val="000000"/>
                <w:sz w:val="18"/>
                <w:szCs w:val="18"/>
              </w:rPr>
              <w:t xml:space="preserve"> S.A.</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center"/>
              <w:rPr>
                <w:b/>
                <w:bCs/>
                <w:color w:val="000000"/>
                <w:sz w:val="18"/>
                <w:szCs w:val="18"/>
              </w:rPr>
            </w:pPr>
            <w:proofErr w:type="gramStart"/>
            <w:r w:rsidRPr="00316249">
              <w:rPr>
                <w:b/>
                <w:bCs/>
                <w:color w:val="000000"/>
                <w:sz w:val="18"/>
                <w:szCs w:val="18"/>
              </w:rPr>
              <w:t>e</w:t>
            </w:r>
            <w:proofErr w:type="gramEnd"/>
          </w:p>
        </w:tc>
        <w:tc>
          <w:tcPr>
            <w:tcW w:w="589"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5.013</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p>
        </w:tc>
      </w:tr>
    </w:tbl>
    <w:p w:rsidR="00E9008A" w:rsidRPr="00316249" w:rsidRDefault="00E9008A" w:rsidP="00E9008A">
      <w:pPr>
        <w:rPr>
          <w:b/>
          <w:sz w:val="22"/>
          <w:szCs w:val="22"/>
        </w:rPr>
      </w:pPr>
    </w:p>
    <w:tbl>
      <w:tblPr>
        <w:tblW w:w="5000" w:type="pct"/>
        <w:tblCellMar>
          <w:left w:w="70" w:type="dxa"/>
          <w:right w:w="70" w:type="dxa"/>
        </w:tblCellMar>
        <w:tblLook w:val="04A0" w:firstRow="1" w:lastRow="0" w:firstColumn="1" w:lastColumn="0" w:noHBand="0" w:noVBand="1"/>
      </w:tblPr>
      <w:tblGrid>
        <w:gridCol w:w="6426"/>
        <w:gridCol w:w="619"/>
        <w:gridCol w:w="1085"/>
        <w:gridCol w:w="1081"/>
      </w:tblGrid>
      <w:tr w:rsidR="00E9008A" w:rsidRPr="00316249" w:rsidTr="005B7D01">
        <w:trPr>
          <w:cantSplit/>
          <w:trHeight w:val="238"/>
          <w:tblHeader/>
        </w:trPr>
        <w:tc>
          <w:tcPr>
            <w:tcW w:w="34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9008A" w:rsidRPr="00316249" w:rsidRDefault="00E9008A" w:rsidP="005B7D01">
            <w:pPr>
              <w:rPr>
                <w:b/>
                <w:bCs/>
                <w:color w:val="000000"/>
                <w:sz w:val="18"/>
                <w:szCs w:val="18"/>
              </w:rPr>
            </w:pPr>
            <w:r w:rsidRPr="00316249">
              <w:rPr>
                <w:b/>
                <w:bCs/>
                <w:color w:val="000000"/>
                <w:sz w:val="18"/>
                <w:szCs w:val="18"/>
              </w:rPr>
              <w:t xml:space="preserve">Transações </w:t>
            </w:r>
            <w:r>
              <w:rPr>
                <w:b/>
                <w:bCs/>
                <w:color w:val="000000"/>
                <w:sz w:val="18"/>
                <w:szCs w:val="18"/>
              </w:rPr>
              <w:t>C</w:t>
            </w:r>
            <w:r w:rsidRPr="00316249">
              <w:rPr>
                <w:b/>
                <w:bCs/>
                <w:color w:val="000000"/>
                <w:sz w:val="18"/>
                <w:szCs w:val="18"/>
              </w:rPr>
              <w:t>om Partes Relacionadas (Resultado)</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08A" w:rsidRPr="00316249" w:rsidRDefault="00E9008A" w:rsidP="005B7D01">
            <w:pPr>
              <w:jc w:val="center"/>
              <w:rPr>
                <w:b/>
                <w:bCs/>
                <w:color w:val="000000"/>
                <w:sz w:val="18"/>
                <w:szCs w:val="18"/>
              </w:rPr>
            </w:pPr>
            <w:r w:rsidRPr="00316249">
              <w:rPr>
                <w:b/>
                <w:bCs/>
                <w:color w:val="000000"/>
                <w:sz w:val="18"/>
                <w:szCs w:val="18"/>
              </w:rPr>
              <w:t>Notas</w:t>
            </w:r>
          </w:p>
        </w:tc>
        <w:tc>
          <w:tcPr>
            <w:tcW w:w="1177" w:type="pct"/>
            <w:gridSpan w:val="2"/>
            <w:tcBorders>
              <w:top w:val="single" w:sz="4" w:space="0" w:color="auto"/>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Consolidado</w:t>
            </w:r>
          </w:p>
        </w:tc>
      </w:tr>
      <w:tr w:rsidR="00E9008A" w:rsidRPr="00316249" w:rsidTr="005B7D01">
        <w:trPr>
          <w:trHeight w:val="238"/>
          <w:tblHeader/>
        </w:trPr>
        <w:tc>
          <w:tcPr>
            <w:tcW w:w="3488"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E9008A" w:rsidRPr="00316249" w:rsidRDefault="00E9008A" w:rsidP="005B7D01">
            <w:pPr>
              <w:rPr>
                <w:b/>
                <w:bCs/>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31/12/2016</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31/12/2015</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Receitas</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558.500</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441.203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Receita de Disponibilidade da Rede</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f</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4.145</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4.182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Corumbá Concessões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3.309</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3.317 </w:t>
            </w:r>
          </w:p>
        </w:tc>
      </w:tr>
      <w:tr w:rsidR="00E9008A" w:rsidRPr="00316249" w:rsidTr="005B7D01">
        <w:trPr>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Energética Corumbá III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836</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865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Receita de Prestação de Serviços e Fornecimento de Energia Elétrica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553.651</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436.702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Governo do Distrito Federal</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g</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553.651</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436.702 </w:t>
            </w:r>
          </w:p>
        </w:tc>
      </w:tr>
      <w:tr w:rsidR="00E9008A" w:rsidRPr="00316249" w:rsidTr="005B7D01">
        <w:trPr>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Receita de Dividendos/JSCP</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704</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319 </w:t>
            </w:r>
          </w:p>
        </w:tc>
      </w:tr>
      <w:tr w:rsidR="00E9008A" w:rsidRPr="00316249" w:rsidTr="005B7D01">
        <w:trPr>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BSB Energética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531</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37 </w:t>
            </w:r>
          </w:p>
        </w:tc>
      </w:tr>
      <w:tr w:rsidR="00E9008A" w:rsidRPr="00316249" w:rsidTr="005B7D01">
        <w:trPr>
          <w:trHeight w:val="238"/>
        </w:trPr>
        <w:tc>
          <w:tcPr>
            <w:tcW w:w="34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08A" w:rsidRPr="00316249" w:rsidRDefault="00E9008A" w:rsidP="005B7D01">
            <w:pPr>
              <w:rPr>
                <w:color w:val="000000"/>
                <w:sz w:val="18"/>
                <w:szCs w:val="18"/>
              </w:rPr>
            </w:pPr>
            <w:r w:rsidRPr="00316249">
              <w:rPr>
                <w:color w:val="000000"/>
                <w:sz w:val="18"/>
                <w:szCs w:val="18"/>
              </w:rPr>
              <w:t>Energética Corumbá III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173</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18 </w:t>
            </w:r>
          </w:p>
        </w:tc>
      </w:tr>
      <w:tr w:rsidR="00E9008A" w:rsidRPr="00316249" w:rsidTr="005B7D01">
        <w:trPr>
          <w:cantSplit/>
          <w:trHeight w:val="238"/>
        </w:trPr>
        <w:tc>
          <w:tcPr>
            <w:tcW w:w="3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Despesas</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290.784</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229.486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Energia Comprada para Revenda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232.160</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183.348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Corumbá Concessões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h</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190.399</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145.066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Energética Corumbá III 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h</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41.761</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38.282 </w:t>
            </w:r>
          </w:p>
        </w:tc>
      </w:tr>
      <w:tr w:rsidR="00E9008A" w:rsidRPr="00316249" w:rsidTr="005B7D01">
        <w:trPr>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Provisão Estimada de Perdas com Créditos de Liquidação Duvidosa</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rPr>
                <w:b/>
                <w:bCs/>
                <w:color w:val="000000"/>
                <w:sz w:val="18"/>
                <w:szCs w:val="18"/>
              </w:rPr>
            </w:pPr>
            <w:r w:rsidRPr="00316249">
              <w:rPr>
                <w:b/>
                <w:bCs/>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b/>
                <w:bCs/>
                <w:color w:val="000000"/>
                <w:sz w:val="18"/>
                <w:szCs w:val="18"/>
              </w:rPr>
            </w:pPr>
            <w:r w:rsidRPr="00316249">
              <w:rPr>
                <w:b/>
                <w:bCs/>
                <w:color w:val="000000"/>
                <w:sz w:val="18"/>
                <w:szCs w:val="18"/>
              </w:rPr>
              <w:t>58.624</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b/>
                <w:bCs/>
                <w:color w:val="000000"/>
                <w:sz w:val="18"/>
                <w:szCs w:val="18"/>
              </w:rPr>
            </w:pPr>
            <w:r w:rsidRPr="00316249">
              <w:rPr>
                <w:b/>
                <w:bCs/>
                <w:color w:val="000000"/>
                <w:sz w:val="18"/>
                <w:szCs w:val="18"/>
              </w:rPr>
              <w:t xml:space="preserve">         46.138 </w:t>
            </w:r>
          </w:p>
        </w:tc>
      </w:tr>
      <w:tr w:rsidR="00E9008A" w:rsidRPr="00316249" w:rsidTr="005B7D01">
        <w:trPr>
          <w:cantSplit/>
          <w:trHeight w:val="238"/>
        </w:trPr>
        <w:tc>
          <w:tcPr>
            <w:tcW w:w="3488" w:type="pct"/>
            <w:tcBorders>
              <w:top w:val="nil"/>
              <w:left w:val="single" w:sz="4" w:space="0" w:color="auto"/>
              <w:bottom w:val="single" w:sz="4" w:space="0" w:color="auto"/>
              <w:right w:val="single" w:sz="4" w:space="0" w:color="auto"/>
            </w:tcBorders>
            <w:shd w:val="clear" w:color="auto" w:fill="auto"/>
            <w:noWrap/>
            <w:vAlign w:val="center"/>
            <w:hideMark/>
          </w:tcPr>
          <w:p w:rsidR="00E9008A" w:rsidRPr="00316249" w:rsidRDefault="00E9008A" w:rsidP="005B7D01">
            <w:pPr>
              <w:rPr>
                <w:color w:val="000000"/>
                <w:sz w:val="18"/>
                <w:szCs w:val="18"/>
              </w:rPr>
            </w:pPr>
            <w:r w:rsidRPr="00316249">
              <w:rPr>
                <w:color w:val="000000"/>
                <w:sz w:val="18"/>
                <w:szCs w:val="18"/>
              </w:rPr>
              <w:t xml:space="preserve">Governo do Distrito Federal </w:t>
            </w:r>
          </w:p>
        </w:tc>
        <w:tc>
          <w:tcPr>
            <w:tcW w:w="336"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center"/>
              <w:rPr>
                <w:b/>
                <w:bCs/>
                <w:color w:val="000000"/>
                <w:sz w:val="18"/>
                <w:szCs w:val="18"/>
              </w:rPr>
            </w:pPr>
            <w:proofErr w:type="gramStart"/>
            <w:r w:rsidRPr="00316249">
              <w:rPr>
                <w:b/>
                <w:bCs/>
                <w:color w:val="000000"/>
                <w:sz w:val="18"/>
                <w:szCs w:val="18"/>
              </w:rPr>
              <w:t>i</w:t>
            </w:r>
            <w:proofErr w:type="gramEnd"/>
          </w:p>
        </w:tc>
        <w:tc>
          <w:tcPr>
            <w:tcW w:w="589" w:type="pct"/>
            <w:tcBorders>
              <w:top w:val="nil"/>
              <w:left w:val="nil"/>
              <w:bottom w:val="single" w:sz="4" w:space="0" w:color="auto"/>
              <w:right w:val="single" w:sz="4" w:space="0" w:color="auto"/>
            </w:tcBorders>
            <w:shd w:val="clear" w:color="auto" w:fill="auto"/>
            <w:noWrap/>
            <w:vAlign w:val="center"/>
          </w:tcPr>
          <w:p w:rsidR="00E9008A" w:rsidRPr="00316249" w:rsidRDefault="00E9008A" w:rsidP="005B7D01">
            <w:pPr>
              <w:jc w:val="right"/>
              <w:rPr>
                <w:color w:val="000000"/>
                <w:sz w:val="18"/>
                <w:szCs w:val="18"/>
              </w:rPr>
            </w:pPr>
            <w:r w:rsidRPr="00316249">
              <w:rPr>
                <w:color w:val="000000"/>
                <w:sz w:val="18"/>
                <w:szCs w:val="18"/>
              </w:rPr>
              <w:t>58.624</w:t>
            </w:r>
          </w:p>
        </w:tc>
        <w:tc>
          <w:tcPr>
            <w:tcW w:w="588" w:type="pct"/>
            <w:tcBorders>
              <w:top w:val="nil"/>
              <w:left w:val="nil"/>
              <w:bottom w:val="single" w:sz="4" w:space="0" w:color="auto"/>
              <w:right w:val="single" w:sz="4" w:space="0" w:color="auto"/>
            </w:tcBorders>
            <w:shd w:val="clear" w:color="auto" w:fill="auto"/>
            <w:noWrap/>
            <w:vAlign w:val="center"/>
            <w:hideMark/>
          </w:tcPr>
          <w:p w:rsidR="00E9008A" w:rsidRPr="00316249" w:rsidRDefault="00E9008A" w:rsidP="005B7D01">
            <w:pPr>
              <w:jc w:val="right"/>
              <w:rPr>
                <w:color w:val="000000"/>
                <w:sz w:val="18"/>
                <w:szCs w:val="18"/>
              </w:rPr>
            </w:pPr>
            <w:r w:rsidRPr="00316249">
              <w:rPr>
                <w:color w:val="000000"/>
                <w:sz w:val="18"/>
                <w:szCs w:val="18"/>
              </w:rPr>
              <w:t xml:space="preserve">         46.138 </w:t>
            </w:r>
          </w:p>
        </w:tc>
      </w:tr>
    </w:tbl>
    <w:p w:rsidR="00E9008A" w:rsidRPr="00316249" w:rsidRDefault="00E9008A" w:rsidP="00E9008A">
      <w:pPr>
        <w:spacing w:before="240" w:after="240"/>
        <w:jc w:val="both"/>
        <w:rPr>
          <w:sz w:val="22"/>
          <w:szCs w:val="22"/>
        </w:rPr>
      </w:pPr>
      <w:r w:rsidRPr="001253CA">
        <w:rPr>
          <w:b/>
          <w:sz w:val="22"/>
          <w:szCs w:val="22"/>
        </w:rPr>
        <w:t>a)</w:t>
      </w:r>
      <w:r w:rsidRPr="00316249">
        <w:rPr>
          <w:sz w:val="22"/>
          <w:szCs w:val="22"/>
        </w:rPr>
        <w:t xml:space="preserve"> Trata-se do fornecimento de energia elétrica (CEB D) e serviços de iluminação pública (obras e manutenção) da Companhia Energética de Brasília – CEB prestado ao Governo do Distrito Federal – GDF. Pelo fornecimento de energia elétrica é cobrada a tarifa homologada pelo Órgão Regulador para </w:t>
      </w:r>
      <w:r w:rsidRPr="00316249">
        <w:rPr>
          <w:sz w:val="22"/>
          <w:szCs w:val="22"/>
        </w:rPr>
        <w:lastRenderedPageBreak/>
        <w:t>a classe Poder Público. Pelos serviços de obras e manutenção da rede de iluminação pública, a cobrança é feita com base em contratos firmados entre a CEB e o Governo do Distrito Federal – GDF;</w:t>
      </w:r>
    </w:p>
    <w:p w:rsidR="00E9008A" w:rsidRPr="00316249" w:rsidRDefault="00E9008A" w:rsidP="00E9008A">
      <w:pPr>
        <w:spacing w:before="240" w:after="240"/>
        <w:jc w:val="both"/>
        <w:rPr>
          <w:sz w:val="22"/>
          <w:szCs w:val="22"/>
        </w:rPr>
      </w:pPr>
      <w:r w:rsidRPr="001253CA">
        <w:rPr>
          <w:b/>
          <w:sz w:val="22"/>
          <w:szCs w:val="22"/>
        </w:rPr>
        <w:t>b)</w:t>
      </w:r>
      <w:r w:rsidRPr="00316249">
        <w:rPr>
          <w:sz w:val="22"/>
          <w:szCs w:val="22"/>
        </w:rPr>
        <w:t xml:space="preserve"> A CEB D tem contratos bilaterais de suprimento de energia com as empresas Corumbá Concessões S.A. e Energética Corumbá III S.A., com prazos de vigência até 7 de julho de 2045, conforme prorrogação da concessão da CEB D; </w:t>
      </w:r>
    </w:p>
    <w:p w:rsidR="00E9008A" w:rsidRPr="00747E73" w:rsidRDefault="00E9008A" w:rsidP="00E9008A">
      <w:pPr>
        <w:spacing w:before="240" w:after="240"/>
        <w:jc w:val="both"/>
        <w:rPr>
          <w:sz w:val="22"/>
          <w:szCs w:val="22"/>
        </w:rPr>
      </w:pPr>
      <w:r w:rsidRPr="001253CA">
        <w:rPr>
          <w:b/>
          <w:sz w:val="22"/>
          <w:szCs w:val="22"/>
        </w:rPr>
        <w:t>c)</w:t>
      </w:r>
      <w:r w:rsidRPr="00316249">
        <w:rPr>
          <w:sz w:val="22"/>
          <w:szCs w:val="22"/>
        </w:rPr>
        <w:t xml:space="preserve"> A Contribuição de Iluminação Pública – CIP foi instituída no Distrito Federal pela Lei Complementar n° 673, de 27 de dezembro de 2002, para o custeio dos serviços de iluminação pública prestados aos contribuintes nas vias e nos logradouros públicos do Distrito Federal. A cobrança da CIP é efetuada na fatura de consumo de energia </w:t>
      </w:r>
      <w:r w:rsidRPr="00747E73">
        <w:rPr>
          <w:sz w:val="22"/>
          <w:szCs w:val="22"/>
        </w:rPr>
        <w:t>elétrica e é devida ao Governo do Distrito Federal – GDF, a partir de sua arrecadação;</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747E73">
        <w:rPr>
          <w:rFonts w:ascii="Times New Roman" w:hAnsi="Times New Roman" w:cs="Times New Roman"/>
          <w:b/>
          <w:sz w:val="22"/>
          <w:szCs w:val="22"/>
        </w:rPr>
        <w:t>d)</w:t>
      </w:r>
      <w:r w:rsidRPr="00747E73">
        <w:rPr>
          <w:rFonts w:ascii="Times New Roman" w:hAnsi="Times New Roman" w:cs="Times New Roman"/>
          <w:sz w:val="22"/>
          <w:szCs w:val="22"/>
        </w:rPr>
        <w:t xml:space="preserve"> Trata-se de dividendos a pagar ao acionista, conforme definido na Assembleia Geral Ordinária nº 51, de 30 de Abril de 2013;</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1253CA">
        <w:rPr>
          <w:rFonts w:ascii="Times New Roman" w:hAnsi="Times New Roman" w:cs="Times New Roman"/>
          <w:b/>
          <w:sz w:val="22"/>
          <w:szCs w:val="22"/>
        </w:rPr>
        <w:t>e)</w:t>
      </w:r>
      <w:r w:rsidRPr="00316249">
        <w:rPr>
          <w:rFonts w:ascii="Times New Roman" w:hAnsi="Times New Roman" w:cs="Times New Roman"/>
          <w:sz w:val="22"/>
          <w:szCs w:val="22"/>
        </w:rPr>
        <w:t xml:space="preserve"> A CEB Lajeado S.A. possui obrigação contratual com o pagamento mensal de arrendamento para que a </w:t>
      </w:r>
      <w:proofErr w:type="spellStart"/>
      <w:r w:rsidRPr="00316249">
        <w:rPr>
          <w:rFonts w:ascii="Times New Roman" w:hAnsi="Times New Roman" w:cs="Times New Roman"/>
          <w:sz w:val="22"/>
          <w:szCs w:val="22"/>
        </w:rPr>
        <w:t>Investco</w:t>
      </w:r>
      <w:proofErr w:type="spellEnd"/>
      <w:r>
        <w:rPr>
          <w:rFonts w:ascii="Times New Roman" w:hAnsi="Times New Roman" w:cs="Times New Roman"/>
          <w:sz w:val="22"/>
          <w:szCs w:val="22"/>
        </w:rPr>
        <w:t xml:space="preserve"> S.A.</w:t>
      </w:r>
      <w:r w:rsidRPr="00316249">
        <w:rPr>
          <w:rFonts w:ascii="Times New Roman" w:hAnsi="Times New Roman" w:cs="Times New Roman"/>
          <w:sz w:val="22"/>
          <w:szCs w:val="22"/>
        </w:rPr>
        <w:t xml:space="preserve"> efetue suas obrigações;</w:t>
      </w:r>
    </w:p>
    <w:p w:rsidR="00E9008A" w:rsidRPr="00316249" w:rsidRDefault="00E9008A" w:rsidP="00E9008A">
      <w:pPr>
        <w:spacing w:before="240" w:after="240"/>
        <w:jc w:val="both"/>
        <w:rPr>
          <w:sz w:val="22"/>
          <w:szCs w:val="22"/>
        </w:rPr>
      </w:pPr>
      <w:r w:rsidRPr="001253CA">
        <w:rPr>
          <w:b/>
          <w:sz w:val="22"/>
          <w:szCs w:val="22"/>
        </w:rPr>
        <w:t>f)</w:t>
      </w:r>
      <w:r w:rsidRPr="00316249">
        <w:rPr>
          <w:sz w:val="22"/>
          <w:szCs w:val="22"/>
        </w:rPr>
        <w:t xml:space="preserve"> As empresas Corumbá Concessões S.A. e Energética Corumbá III S.A. são </w:t>
      </w:r>
      <w:proofErr w:type="spellStart"/>
      <w:r w:rsidRPr="00316249">
        <w:rPr>
          <w:sz w:val="22"/>
          <w:szCs w:val="22"/>
        </w:rPr>
        <w:t>acessantes</w:t>
      </w:r>
      <w:proofErr w:type="spellEnd"/>
      <w:r w:rsidRPr="00316249">
        <w:rPr>
          <w:sz w:val="22"/>
          <w:szCs w:val="22"/>
        </w:rPr>
        <w:t xml:space="preserve"> do sistema de distribuição de energia elétrica da CEB D e pagam pelo uso do sistema por meio de tarifas regulamentadas pelo Órgão Regulador;</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1253CA">
        <w:rPr>
          <w:rFonts w:ascii="Times New Roman" w:hAnsi="Times New Roman" w:cs="Times New Roman"/>
          <w:b/>
          <w:sz w:val="22"/>
          <w:szCs w:val="22"/>
        </w:rPr>
        <w:t>g)</w:t>
      </w:r>
      <w:r w:rsidRPr="00316249">
        <w:rPr>
          <w:rFonts w:ascii="Times New Roman" w:hAnsi="Times New Roman" w:cs="Times New Roman"/>
          <w:sz w:val="22"/>
          <w:szCs w:val="22"/>
        </w:rPr>
        <w:t xml:space="preserve"> Representa a receita pelos serviços de iluminação pública (obras e manutenção do parque) e do fornecimento de energia elétrica ao Governo do Distrito Federal – GDF. O serviço de fornecimento é cobrado de acordo com a tarifa homologada pela ANEEL. Para os serviços de obras e manutenção da rede de Iluminação Pública, os valores são faturados de acordo com os contratos firmados entre a CEB e o Governo de Distrito Federal – GDF; </w:t>
      </w:r>
    </w:p>
    <w:p w:rsidR="00E9008A" w:rsidRPr="00316249" w:rsidRDefault="00E9008A" w:rsidP="00E9008A">
      <w:pPr>
        <w:spacing w:before="240" w:after="240"/>
        <w:jc w:val="both"/>
        <w:rPr>
          <w:sz w:val="22"/>
          <w:szCs w:val="22"/>
        </w:rPr>
      </w:pPr>
      <w:r w:rsidRPr="001253CA">
        <w:rPr>
          <w:b/>
          <w:sz w:val="22"/>
          <w:szCs w:val="22"/>
        </w:rPr>
        <w:t>h)</w:t>
      </w:r>
      <w:r w:rsidRPr="00316249">
        <w:rPr>
          <w:sz w:val="22"/>
          <w:szCs w:val="22"/>
        </w:rPr>
        <w:t xml:space="preserve"> A CEB D tem contratos bilaterais de suprimento de energia com as empresas Corumbá Concessões S.A. e Energética Corumbá III S.A., com prazos de vigência até 7 de julho de 2045, conforme prorrogação da concessão; e</w:t>
      </w:r>
    </w:p>
    <w:p w:rsidR="00E9008A" w:rsidRPr="00316249" w:rsidRDefault="00E9008A" w:rsidP="00E9008A">
      <w:pPr>
        <w:pStyle w:val="PPTSource"/>
        <w:spacing w:before="240" w:after="240" w:line="240" w:lineRule="auto"/>
        <w:jc w:val="both"/>
        <w:rPr>
          <w:rFonts w:ascii="Times New Roman" w:hAnsi="Times New Roman" w:cs="Times New Roman"/>
          <w:sz w:val="22"/>
          <w:szCs w:val="22"/>
        </w:rPr>
      </w:pPr>
      <w:r w:rsidRPr="001253CA">
        <w:rPr>
          <w:rFonts w:ascii="Times New Roman" w:hAnsi="Times New Roman" w:cs="Times New Roman"/>
          <w:b/>
          <w:sz w:val="22"/>
          <w:szCs w:val="22"/>
        </w:rPr>
        <w:t>i)</w:t>
      </w:r>
      <w:r w:rsidRPr="00316249">
        <w:rPr>
          <w:rFonts w:ascii="Times New Roman" w:hAnsi="Times New Roman" w:cs="Times New Roman"/>
          <w:sz w:val="22"/>
          <w:szCs w:val="22"/>
        </w:rPr>
        <w:t xml:space="preserve"> Representa a estimativa de perdas com créditos de liquidação duvidosa com o Governo do Distrito Federal – GDF, de créditos vencidos há mais de 360 dias, cuja natureza do serviço inclui o fornecimento de energia elétrica registrado na CEB D. </w:t>
      </w:r>
    </w:p>
    <w:p w:rsidR="00E9008A" w:rsidRPr="00316249" w:rsidRDefault="00E9008A" w:rsidP="00FF5C4E">
      <w:pPr>
        <w:pStyle w:val="corpodotextodf"/>
        <w:numPr>
          <w:ilvl w:val="2"/>
          <w:numId w:val="35"/>
        </w:numPr>
        <w:tabs>
          <w:tab w:val="clear" w:pos="227"/>
          <w:tab w:val="clear" w:pos="454"/>
          <w:tab w:val="clear" w:pos="680"/>
          <w:tab w:val="clear" w:pos="907"/>
          <w:tab w:val="left" w:pos="1134"/>
        </w:tabs>
        <w:spacing w:before="240" w:after="240" w:line="276" w:lineRule="auto"/>
        <w:rPr>
          <w:b/>
        </w:rPr>
      </w:pPr>
      <w:r w:rsidRPr="00316249">
        <w:rPr>
          <w:b/>
        </w:rPr>
        <w:t>Operações com a FACEB</w:t>
      </w:r>
    </w:p>
    <w:p w:rsidR="00E9008A" w:rsidRPr="00316249" w:rsidRDefault="00E9008A" w:rsidP="00E9008A">
      <w:pPr>
        <w:pStyle w:val="PPTSource"/>
        <w:spacing w:before="240" w:after="240" w:line="240" w:lineRule="auto"/>
        <w:jc w:val="both"/>
        <w:rPr>
          <w:rFonts w:ascii="Times New Roman" w:hAnsi="Times New Roman" w:cs="Times New Roman"/>
          <w:sz w:val="22"/>
          <w:szCs w:val="22"/>
          <w:lang w:eastAsia="en-US"/>
        </w:rPr>
      </w:pPr>
      <w:r w:rsidRPr="00316249">
        <w:rPr>
          <w:rFonts w:ascii="Times New Roman" w:hAnsi="Times New Roman" w:cs="Times New Roman"/>
          <w:sz w:val="22"/>
          <w:szCs w:val="22"/>
          <w:lang w:eastAsia="en-US"/>
        </w:rPr>
        <w:t>A Companhia e suas controladas são patrocinadoras da Fundação de Previdência dos Empregados da CEB – FACEB. Vide detalhes das transações na Nota Explicativa nº 25.</w:t>
      </w:r>
    </w:p>
    <w:p w:rsidR="00E9008A" w:rsidRPr="00FF5C4E" w:rsidRDefault="00E9008A" w:rsidP="00FF5C4E">
      <w:pPr>
        <w:pStyle w:val="PargrafodaLista"/>
        <w:numPr>
          <w:ilvl w:val="1"/>
          <w:numId w:val="23"/>
        </w:numPr>
        <w:spacing w:before="240" w:after="240"/>
        <w:ind w:hanging="574"/>
        <w:jc w:val="both"/>
        <w:rPr>
          <w:rFonts w:ascii="Times New Roman" w:eastAsia="Arial Unicode MS" w:hAnsi="Times New Roman" w:cs="Times New Roman"/>
          <w:b/>
          <w:bCs/>
          <w:iCs/>
          <w:lang w:val="pt-BR"/>
        </w:rPr>
      </w:pPr>
      <w:r w:rsidRPr="00FF5C4E">
        <w:rPr>
          <w:rFonts w:ascii="Times New Roman" w:eastAsia="Arial Unicode MS" w:hAnsi="Times New Roman" w:cs="Times New Roman"/>
          <w:b/>
          <w:bCs/>
          <w:iCs/>
          <w:lang w:val="pt-BR"/>
        </w:rPr>
        <w:t>Acordo de Cooperação Técnica</w:t>
      </w:r>
    </w:p>
    <w:p w:rsidR="00E9008A" w:rsidRDefault="00E9008A" w:rsidP="00E9008A">
      <w:pPr>
        <w:pStyle w:val="PPTSource"/>
        <w:spacing w:before="240" w:after="240" w:line="240" w:lineRule="auto"/>
        <w:jc w:val="both"/>
        <w:rPr>
          <w:rFonts w:ascii="Times New Roman" w:hAnsi="Times New Roman" w:cs="Times New Roman"/>
          <w:sz w:val="22"/>
          <w:szCs w:val="22"/>
        </w:rPr>
      </w:pPr>
      <w:r w:rsidRPr="00316249">
        <w:rPr>
          <w:rFonts w:ascii="Times New Roman" w:hAnsi="Times New Roman" w:cs="Times New Roman"/>
          <w:sz w:val="22"/>
          <w:szCs w:val="22"/>
        </w:rPr>
        <w:t xml:space="preserve">Em outubro de 2012, a Diretoria da CEB D, por meio da Resolução nº 378, autorizou a celebração de Acordo de Cooperação Técnica com a Secretaria de Planejamento e Orçamento do Distrito Federal – SEPLAN, órgão que administra o parque tecnológico do Governo do Distrito Federal – GDF, a fim de migrar os serviços de processamento e armazenamento de dados da Companhia para o </w:t>
      </w:r>
      <w:r w:rsidRPr="00316249">
        <w:rPr>
          <w:rFonts w:ascii="Times New Roman" w:hAnsi="Times New Roman" w:cs="Times New Roman"/>
          <w:i/>
          <w:sz w:val="22"/>
          <w:szCs w:val="22"/>
        </w:rPr>
        <w:t>Data Center</w:t>
      </w:r>
      <w:r w:rsidRPr="00316249">
        <w:rPr>
          <w:rFonts w:ascii="Times New Roman" w:hAnsi="Times New Roman" w:cs="Times New Roman"/>
          <w:sz w:val="22"/>
          <w:szCs w:val="22"/>
        </w:rPr>
        <w:t xml:space="preserve"> da SEPLAN. O referido Acordo prevê ainda, a utilização pela SEPLAN, dos dutos da CEB D para fazer o cabeamento de fibra ótica, sem custos recíprocos.</w:t>
      </w:r>
    </w:p>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lastRenderedPageBreak/>
        <w:t>SEGUROS (Não Auditado)</w:t>
      </w:r>
    </w:p>
    <w:p w:rsidR="00E9008A" w:rsidRPr="00316249" w:rsidRDefault="00E9008A" w:rsidP="00E9008A">
      <w:pPr>
        <w:autoSpaceDE w:val="0"/>
        <w:autoSpaceDN w:val="0"/>
        <w:spacing w:before="240" w:after="240"/>
        <w:jc w:val="both"/>
        <w:rPr>
          <w:sz w:val="22"/>
          <w:szCs w:val="22"/>
        </w:rPr>
      </w:pPr>
      <w:r w:rsidRPr="00316249">
        <w:rPr>
          <w:sz w:val="22"/>
          <w:szCs w:val="22"/>
        </w:rPr>
        <w:t xml:space="preserve">Em 31 de dezembro de 2016, a cobertura de seguros contra riscos operacionais da CEB D incluía danos materiais, não havendo cobertura para lucros cessantes e responsabilidade civil. </w:t>
      </w:r>
    </w:p>
    <w:p w:rsidR="00E9008A" w:rsidRPr="00316249" w:rsidRDefault="00E9008A" w:rsidP="00E9008A">
      <w:pPr>
        <w:autoSpaceDE w:val="0"/>
        <w:autoSpaceDN w:val="0"/>
        <w:spacing w:before="240" w:after="240"/>
        <w:jc w:val="both"/>
        <w:rPr>
          <w:sz w:val="22"/>
          <w:szCs w:val="22"/>
        </w:rPr>
      </w:pPr>
      <w:r w:rsidRPr="00316249">
        <w:rPr>
          <w:sz w:val="22"/>
          <w:szCs w:val="22"/>
        </w:rPr>
        <w:t>Os bens móveis e imóveis compostos por equipamentos, máquinas, ferramentas, móveis</w:t>
      </w:r>
      <w:r>
        <w:rPr>
          <w:sz w:val="22"/>
          <w:szCs w:val="22"/>
        </w:rPr>
        <w:t xml:space="preserve"> e </w:t>
      </w:r>
      <w:r w:rsidRPr="00316249">
        <w:rPr>
          <w:sz w:val="22"/>
          <w:szCs w:val="22"/>
        </w:rPr>
        <w:t>utensílios e demais instalações relacionadas aos prédios administrativos, operacionais, laboratórios e subestações de distribuição, componentes do ativo i</w:t>
      </w:r>
      <w:r>
        <w:rPr>
          <w:sz w:val="22"/>
          <w:szCs w:val="22"/>
        </w:rPr>
        <w:t>mobilizado,</w:t>
      </w:r>
      <w:r w:rsidRPr="00316249">
        <w:rPr>
          <w:sz w:val="22"/>
          <w:szCs w:val="22"/>
        </w:rPr>
        <w:t xml:space="preserve"> estão cobertos</w:t>
      </w:r>
      <w:r>
        <w:rPr>
          <w:sz w:val="22"/>
          <w:szCs w:val="22"/>
        </w:rPr>
        <w:t>,</w:t>
      </w:r>
      <w:r w:rsidRPr="00316249">
        <w:rPr>
          <w:sz w:val="22"/>
          <w:szCs w:val="22"/>
        </w:rPr>
        <w:t xml:space="preserve"> até 30 de dezembro de 2017</w:t>
      </w:r>
      <w:r>
        <w:rPr>
          <w:sz w:val="22"/>
          <w:szCs w:val="22"/>
        </w:rPr>
        <w:t>,</w:t>
      </w:r>
      <w:r w:rsidRPr="00316249">
        <w:rPr>
          <w:sz w:val="22"/>
          <w:szCs w:val="22"/>
        </w:rPr>
        <w:t xml:space="preserve"> por contrato de seguro para riscos nomeados contra incêndio, raio, explosão e danos elétricos</w:t>
      </w:r>
      <w:r>
        <w:rPr>
          <w:sz w:val="22"/>
          <w:szCs w:val="22"/>
        </w:rPr>
        <w:t>. O</w:t>
      </w:r>
      <w:r w:rsidRPr="00316249">
        <w:rPr>
          <w:sz w:val="22"/>
          <w:szCs w:val="22"/>
        </w:rPr>
        <w:t xml:space="preserve"> custo do prêmio foi de R$ 1.900 e a importância segurada </w:t>
      </w:r>
      <w:r>
        <w:rPr>
          <w:sz w:val="22"/>
          <w:szCs w:val="22"/>
        </w:rPr>
        <w:t xml:space="preserve">é </w:t>
      </w:r>
      <w:r w:rsidRPr="00316249">
        <w:rPr>
          <w:sz w:val="22"/>
          <w:szCs w:val="22"/>
        </w:rPr>
        <w:t xml:space="preserve">de R$ 175.000. </w:t>
      </w:r>
    </w:p>
    <w:p w:rsidR="00E9008A" w:rsidRPr="0037071C" w:rsidRDefault="00E9008A" w:rsidP="00E9008A">
      <w:pPr>
        <w:pStyle w:val="Corpodetexto"/>
        <w:spacing w:before="240" w:after="240"/>
        <w:rPr>
          <w:rFonts w:ascii="Times New Roman" w:hAnsi="Times New Roman" w:cs="Times New Roman"/>
          <w:b w:val="0"/>
          <w:bCs w:val="0"/>
          <w:sz w:val="22"/>
          <w:szCs w:val="22"/>
        </w:rPr>
      </w:pPr>
      <w:r w:rsidRPr="009159E8">
        <w:rPr>
          <w:rFonts w:ascii="Times New Roman" w:hAnsi="Times New Roman" w:cs="Times New Roman"/>
          <w:b w:val="0"/>
          <w:bCs w:val="0"/>
          <w:sz w:val="22"/>
          <w:szCs w:val="22"/>
        </w:rPr>
        <w:t>Os bens das Usinas Hidrelétricas Luís Eduardo Magalhães (CEB Lajeado S.A.), Queimado (CEB Participações S.A.), Corumbá III (Energética Corumbá III S.A.) e Corumbá IV (Corumbá Concessões S.A.), também estão devidamente segurados.</w:t>
      </w:r>
    </w:p>
    <w:p w:rsidR="00E9008A" w:rsidRPr="005B7D01" w:rsidRDefault="00E9008A" w:rsidP="005B7D01">
      <w:pPr>
        <w:pStyle w:val="Ttulo3"/>
        <w:numPr>
          <w:ilvl w:val="0"/>
          <w:numId w:val="23"/>
        </w:numPr>
        <w:shd w:val="clear" w:color="auto" w:fill="auto"/>
        <w:spacing w:before="240" w:after="240"/>
        <w:ind w:left="780" w:hanging="780"/>
        <w:jc w:val="both"/>
        <w:rPr>
          <w:sz w:val="22"/>
          <w:szCs w:val="22"/>
        </w:rPr>
      </w:pPr>
      <w:r w:rsidRPr="005B7D01">
        <w:rPr>
          <w:sz w:val="22"/>
          <w:szCs w:val="22"/>
        </w:rPr>
        <w:t xml:space="preserve">CONCILIAÇÃO DO RESULTADO DO PERÍODO E O FLUXO DE CAIXA DAS </w:t>
      </w:r>
      <w:bookmarkStart w:id="15" w:name="_GoBack"/>
      <w:bookmarkEnd w:id="15"/>
      <w:r w:rsidRPr="005B7D01">
        <w:rPr>
          <w:sz w:val="22"/>
          <w:szCs w:val="22"/>
        </w:rPr>
        <w:t>ATIVIDADES OPERACIONAS</w:t>
      </w:r>
    </w:p>
    <w:p w:rsidR="00E9008A" w:rsidRDefault="00E9008A" w:rsidP="00E9008A">
      <w:pPr>
        <w:rPr>
          <w:sz w:val="22"/>
          <w:szCs w:val="22"/>
        </w:rPr>
      </w:pPr>
      <w:r w:rsidRPr="00747E73">
        <w:rPr>
          <w:noProof/>
        </w:rPr>
        <w:lastRenderedPageBreak/>
        <w:drawing>
          <wp:inline distT="0" distB="0" distL="0" distR="0" wp14:anchorId="4BA253C3" wp14:editId="2D7447B1">
            <wp:extent cx="6263324" cy="68698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1441" cy="6889746"/>
                    </a:xfrm>
                    <a:prstGeom prst="rect">
                      <a:avLst/>
                    </a:prstGeom>
                    <a:noFill/>
                    <a:ln>
                      <a:noFill/>
                    </a:ln>
                  </pic:spPr>
                </pic:pic>
              </a:graphicData>
            </a:graphic>
          </wp:inline>
        </w:drawing>
      </w:r>
      <w:r>
        <w:rPr>
          <w:sz w:val="22"/>
          <w:szCs w:val="22"/>
        </w:rPr>
        <w:br w:type="page"/>
      </w:r>
    </w:p>
    <w:p w:rsidR="00E9008A" w:rsidRDefault="00E9008A" w:rsidP="00E9008A">
      <w:pPr>
        <w:rPr>
          <w:sz w:val="22"/>
          <w:szCs w:val="22"/>
        </w:rPr>
      </w:pPr>
    </w:p>
    <w:p w:rsidR="00E9008A" w:rsidRPr="00316249" w:rsidRDefault="00E9008A" w:rsidP="00E9008A">
      <w:pPr>
        <w:rPr>
          <w:sz w:val="22"/>
          <w:szCs w:val="22"/>
        </w:rPr>
      </w:pPr>
    </w:p>
    <w:p w:rsidR="00E9008A" w:rsidRPr="00316249" w:rsidRDefault="00E9008A" w:rsidP="00E9008A">
      <w:pPr>
        <w:ind w:firstLine="426"/>
        <w:jc w:val="center"/>
        <w:rPr>
          <w:b/>
          <w:sz w:val="22"/>
          <w:szCs w:val="22"/>
        </w:rPr>
      </w:pPr>
      <w:r w:rsidRPr="00316249">
        <w:rPr>
          <w:b/>
          <w:sz w:val="22"/>
          <w:szCs w:val="22"/>
        </w:rPr>
        <w:t xml:space="preserve">Brasília, </w:t>
      </w:r>
      <w:r w:rsidRPr="009159E8">
        <w:rPr>
          <w:b/>
          <w:sz w:val="22"/>
          <w:szCs w:val="22"/>
        </w:rPr>
        <w:t>2</w:t>
      </w:r>
      <w:r w:rsidR="00093DE9">
        <w:rPr>
          <w:b/>
          <w:sz w:val="22"/>
          <w:szCs w:val="22"/>
        </w:rPr>
        <w:t>7</w:t>
      </w:r>
      <w:r w:rsidRPr="00316249">
        <w:rPr>
          <w:b/>
          <w:sz w:val="22"/>
          <w:szCs w:val="22"/>
        </w:rPr>
        <w:t xml:space="preserve"> de março de 2017.</w:t>
      </w:r>
    </w:p>
    <w:p w:rsidR="00E9008A" w:rsidRPr="00316249" w:rsidRDefault="00E9008A" w:rsidP="00E9008A">
      <w:pPr>
        <w:pStyle w:val="TextoITR"/>
        <w:keepLines w:val="0"/>
        <w:suppressAutoHyphens w:val="0"/>
        <w:spacing w:before="0" w:after="0" w:line="240" w:lineRule="auto"/>
        <w:rPr>
          <w:rFonts w:ascii="Times New Roman" w:hAnsi="Times New Roman" w:cs="Times New Roman"/>
          <w:sz w:val="22"/>
          <w:szCs w:val="22"/>
        </w:rPr>
      </w:pPr>
    </w:p>
    <w:p w:rsidR="00E9008A" w:rsidRPr="00316249" w:rsidRDefault="00E9008A" w:rsidP="00E9008A">
      <w:pPr>
        <w:pStyle w:val="TextoITR"/>
        <w:keepLines w:val="0"/>
        <w:suppressAutoHyphens w:val="0"/>
        <w:spacing w:before="0" w:after="0" w:line="240" w:lineRule="auto"/>
        <w:rPr>
          <w:rFonts w:ascii="Times New Roman" w:hAnsi="Times New Roman" w:cs="Times New Roman"/>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4535"/>
        <w:gridCol w:w="4606"/>
      </w:tblGrid>
      <w:tr w:rsidR="00E9008A" w:rsidRPr="00316249" w:rsidTr="005B7D01">
        <w:trPr>
          <w:jc w:val="center"/>
        </w:trPr>
        <w:tc>
          <w:tcPr>
            <w:tcW w:w="4535" w:type="dxa"/>
          </w:tcPr>
          <w:p w:rsidR="00E9008A" w:rsidRPr="00316249" w:rsidRDefault="00E9008A" w:rsidP="005B7D01">
            <w:pPr>
              <w:spacing w:line="312" w:lineRule="auto"/>
              <w:jc w:val="center"/>
              <w:rPr>
                <w:b/>
                <w:bCs/>
                <w:sz w:val="22"/>
                <w:szCs w:val="22"/>
                <w:lang w:eastAsia="en-US"/>
              </w:rPr>
            </w:pPr>
            <w:r w:rsidRPr="00316249">
              <w:rPr>
                <w:b/>
                <w:bCs/>
              </w:rPr>
              <w:t>ARI JOAQUIM DA SILVA</w:t>
            </w:r>
          </w:p>
        </w:tc>
        <w:tc>
          <w:tcPr>
            <w:tcW w:w="4606" w:type="dxa"/>
          </w:tcPr>
          <w:p w:rsidR="00E9008A" w:rsidRPr="00316249" w:rsidRDefault="00E9008A" w:rsidP="005B7D01">
            <w:pPr>
              <w:spacing w:line="312" w:lineRule="auto"/>
              <w:jc w:val="center"/>
              <w:rPr>
                <w:b/>
                <w:bCs/>
              </w:rPr>
            </w:pPr>
            <w:r w:rsidRPr="00316249">
              <w:rPr>
                <w:b/>
                <w:bCs/>
              </w:rPr>
              <w:t>PAULO AFONSO TEIXEIRA MACHADO</w:t>
            </w:r>
          </w:p>
        </w:tc>
      </w:tr>
      <w:tr w:rsidR="00E9008A" w:rsidRPr="00316249" w:rsidTr="005B7D01">
        <w:trPr>
          <w:jc w:val="center"/>
        </w:trPr>
        <w:tc>
          <w:tcPr>
            <w:tcW w:w="4535" w:type="dxa"/>
          </w:tcPr>
          <w:p w:rsidR="00E9008A" w:rsidRPr="00316249" w:rsidRDefault="00E9008A" w:rsidP="005B7D01">
            <w:pPr>
              <w:spacing w:line="312" w:lineRule="auto"/>
              <w:jc w:val="center"/>
              <w:rPr>
                <w:b/>
                <w:bCs/>
                <w:sz w:val="22"/>
                <w:szCs w:val="22"/>
                <w:lang w:eastAsia="en-US"/>
              </w:rPr>
            </w:pPr>
            <w:r w:rsidRPr="00316249">
              <w:rPr>
                <w:b/>
                <w:bCs/>
              </w:rPr>
              <w:t>Diretor-Presidente</w:t>
            </w:r>
          </w:p>
        </w:tc>
        <w:tc>
          <w:tcPr>
            <w:tcW w:w="4606" w:type="dxa"/>
          </w:tcPr>
          <w:p w:rsidR="00E9008A" w:rsidRPr="00316249" w:rsidRDefault="00E9008A" w:rsidP="005B7D01">
            <w:pPr>
              <w:spacing w:line="312" w:lineRule="auto"/>
              <w:jc w:val="center"/>
              <w:rPr>
                <w:b/>
                <w:bCs/>
                <w:sz w:val="22"/>
                <w:szCs w:val="22"/>
                <w:lang w:eastAsia="en-US"/>
              </w:rPr>
            </w:pPr>
            <w:r w:rsidRPr="00316249">
              <w:rPr>
                <w:b/>
                <w:bCs/>
              </w:rPr>
              <w:t>Diretor Técnico</w:t>
            </w:r>
          </w:p>
        </w:tc>
      </w:tr>
    </w:tbl>
    <w:p w:rsidR="00E9008A" w:rsidRPr="00316249" w:rsidRDefault="00E9008A" w:rsidP="00E9008A"/>
    <w:p w:rsidR="00E9008A" w:rsidRPr="00316249" w:rsidRDefault="00E9008A" w:rsidP="00E9008A"/>
    <w:p w:rsidR="00E9008A" w:rsidRPr="00316249" w:rsidRDefault="00E9008A" w:rsidP="00E9008A"/>
    <w:p w:rsidR="00E9008A" w:rsidRPr="00316249" w:rsidRDefault="00E9008A" w:rsidP="00E9008A"/>
    <w:tbl>
      <w:tblPr>
        <w:tblW w:w="0" w:type="auto"/>
        <w:jc w:val="center"/>
        <w:tblLayout w:type="fixed"/>
        <w:tblCellMar>
          <w:left w:w="70" w:type="dxa"/>
          <w:right w:w="70" w:type="dxa"/>
        </w:tblCellMar>
        <w:tblLook w:val="0000" w:firstRow="0" w:lastRow="0" w:firstColumn="0" w:lastColumn="0" w:noHBand="0" w:noVBand="0"/>
      </w:tblPr>
      <w:tblGrid>
        <w:gridCol w:w="4535"/>
        <w:gridCol w:w="4606"/>
      </w:tblGrid>
      <w:tr w:rsidR="00E9008A" w:rsidRPr="00316249" w:rsidTr="005B7D01">
        <w:trPr>
          <w:jc w:val="center"/>
        </w:trPr>
        <w:tc>
          <w:tcPr>
            <w:tcW w:w="4535" w:type="dxa"/>
          </w:tcPr>
          <w:p w:rsidR="00E9008A" w:rsidRPr="00316249" w:rsidRDefault="00E9008A" w:rsidP="005B7D01">
            <w:pPr>
              <w:spacing w:line="312" w:lineRule="auto"/>
              <w:jc w:val="center"/>
              <w:rPr>
                <w:b/>
              </w:rPr>
            </w:pPr>
            <w:r w:rsidRPr="00316249">
              <w:rPr>
                <w:b/>
              </w:rPr>
              <w:t>LENER SILVA JAYME</w:t>
            </w:r>
          </w:p>
        </w:tc>
        <w:tc>
          <w:tcPr>
            <w:tcW w:w="4606" w:type="dxa"/>
          </w:tcPr>
          <w:p w:rsidR="00E9008A" w:rsidRPr="00316249" w:rsidRDefault="00E9008A" w:rsidP="005B7D01">
            <w:pPr>
              <w:spacing w:line="312" w:lineRule="auto"/>
              <w:jc w:val="center"/>
              <w:rPr>
                <w:b/>
                <w:bCs/>
              </w:rPr>
            </w:pPr>
            <w:r w:rsidRPr="00316249">
              <w:rPr>
                <w:b/>
                <w:bCs/>
              </w:rPr>
              <w:t>FERNANDO OLIVEIRA FONSECA</w:t>
            </w:r>
          </w:p>
        </w:tc>
      </w:tr>
      <w:tr w:rsidR="00E9008A" w:rsidRPr="00316249" w:rsidTr="005B7D01">
        <w:trPr>
          <w:jc w:val="center"/>
        </w:trPr>
        <w:tc>
          <w:tcPr>
            <w:tcW w:w="4535" w:type="dxa"/>
          </w:tcPr>
          <w:p w:rsidR="00E9008A" w:rsidRPr="00316249" w:rsidRDefault="00E9008A" w:rsidP="005B7D01">
            <w:pPr>
              <w:spacing w:line="312" w:lineRule="auto"/>
              <w:jc w:val="center"/>
              <w:rPr>
                <w:b/>
                <w:bCs/>
              </w:rPr>
            </w:pPr>
            <w:r w:rsidRPr="00316249">
              <w:rPr>
                <w:b/>
                <w:bCs/>
              </w:rPr>
              <w:t>Diretor de Planejamento Estratégico</w:t>
            </w:r>
          </w:p>
        </w:tc>
        <w:tc>
          <w:tcPr>
            <w:tcW w:w="4606" w:type="dxa"/>
          </w:tcPr>
          <w:p w:rsidR="00E9008A" w:rsidRPr="00316249" w:rsidRDefault="00E9008A" w:rsidP="005B7D01">
            <w:pPr>
              <w:spacing w:line="312" w:lineRule="auto"/>
              <w:jc w:val="center"/>
              <w:rPr>
                <w:b/>
                <w:bCs/>
              </w:rPr>
            </w:pPr>
            <w:r w:rsidRPr="00316249">
              <w:rPr>
                <w:b/>
                <w:bCs/>
              </w:rPr>
              <w:t xml:space="preserve">Diretor Administrativo-Financeiro e de </w:t>
            </w:r>
          </w:p>
          <w:p w:rsidR="00E9008A" w:rsidRPr="00316249" w:rsidRDefault="00E9008A" w:rsidP="005B7D01">
            <w:pPr>
              <w:spacing w:line="312" w:lineRule="auto"/>
              <w:jc w:val="center"/>
              <w:rPr>
                <w:b/>
                <w:bCs/>
                <w:sz w:val="22"/>
                <w:szCs w:val="22"/>
                <w:lang w:eastAsia="en-US"/>
              </w:rPr>
            </w:pPr>
            <w:r w:rsidRPr="00316249">
              <w:rPr>
                <w:b/>
                <w:bCs/>
              </w:rPr>
              <w:t>Relações com Investidores</w:t>
            </w:r>
          </w:p>
        </w:tc>
      </w:tr>
    </w:tbl>
    <w:p w:rsidR="00E9008A" w:rsidRPr="00316249" w:rsidRDefault="00E9008A" w:rsidP="00E9008A">
      <w:pPr>
        <w:spacing w:line="312" w:lineRule="auto"/>
        <w:jc w:val="center"/>
        <w:rPr>
          <w:b/>
        </w:rPr>
      </w:pPr>
    </w:p>
    <w:p w:rsidR="00E9008A" w:rsidRPr="00316249" w:rsidRDefault="00E9008A" w:rsidP="00E9008A">
      <w:pPr>
        <w:spacing w:line="312" w:lineRule="auto"/>
        <w:jc w:val="center"/>
        <w:rPr>
          <w:b/>
        </w:rPr>
      </w:pPr>
    </w:p>
    <w:p w:rsidR="00E9008A" w:rsidRPr="00316249" w:rsidRDefault="00E9008A" w:rsidP="00E9008A">
      <w:pPr>
        <w:spacing w:line="312" w:lineRule="auto"/>
        <w:jc w:val="center"/>
        <w:rPr>
          <w:b/>
        </w:rPr>
      </w:pPr>
    </w:p>
    <w:p w:rsidR="00E9008A" w:rsidRPr="00316249" w:rsidRDefault="00E9008A" w:rsidP="00E9008A">
      <w:pPr>
        <w:spacing w:line="312" w:lineRule="auto"/>
        <w:jc w:val="center"/>
        <w:rPr>
          <w:b/>
        </w:rPr>
      </w:pPr>
    </w:p>
    <w:p w:rsidR="00E9008A" w:rsidRPr="00316249" w:rsidRDefault="00E9008A" w:rsidP="00E9008A">
      <w:pPr>
        <w:spacing w:line="312" w:lineRule="auto"/>
        <w:jc w:val="center"/>
        <w:rPr>
          <w:sz w:val="22"/>
          <w:szCs w:val="22"/>
        </w:rPr>
      </w:pPr>
      <w:r w:rsidRPr="00316249">
        <w:rPr>
          <w:b/>
        </w:rPr>
        <w:t>THIAGO CAVALCANTE SANTOS</w:t>
      </w:r>
    </w:p>
    <w:p w:rsidR="00E9008A" w:rsidRPr="00316249" w:rsidRDefault="00E9008A" w:rsidP="00E9008A">
      <w:pPr>
        <w:spacing w:line="312" w:lineRule="auto"/>
        <w:jc w:val="center"/>
        <w:rPr>
          <w:b/>
          <w:bCs/>
        </w:rPr>
      </w:pPr>
      <w:r w:rsidRPr="00316249">
        <w:rPr>
          <w:b/>
          <w:bCs/>
        </w:rPr>
        <w:t>Contador</w:t>
      </w:r>
    </w:p>
    <w:p w:rsidR="00E9008A" w:rsidRPr="00316249" w:rsidRDefault="00E9008A" w:rsidP="00E9008A">
      <w:pPr>
        <w:spacing w:line="312" w:lineRule="auto"/>
        <w:jc w:val="center"/>
        <w:rPr>
          <w:b/>
          <w:bCs/>
          <w:sz w:val="22"/>
          <w:szCs w:val="22"/>
        </w:rPr>
      </w:pPr>
      <w:r w:rsidRPr="00316249">
        <w:rPr>
          <w:b/>
          <w:bCs/>
        </w:rPr>
        <w:t xml:space="preserve">CRC – DF 022977/0 </w:t>
      </w:r>
    </w:p>
    <w:p w:rsidR="00E9008A" w:rsidRDefault="00E9008A">
      <w:pPr>
        <w:rPr>
          <w:sz w:val="22"/>
          <w:szCs w:val="22"/>
        </w:rPr>
      </w:pPr>
      <w:r>
        <w:rPr>
          <w:sz w:val="22"/>
          <w:szCs w:val="22"/>
        </w:rPr>
        <w:br w:type="page"/>
      </w:r>
    </w:p>
    <w:tbl>
      <w:tblPr>
        <w:tblW w:w="10206" w:type="dxa"/>
        <w:tblInd w:w="-497" w:type="dxa"/>
        <w:tblBorders>
          <w:bottom w:val="single" w:sz="6" w:space="0" w:color="auto"/>
          <w:insideV w:val="single" w:sz="18" w:space="0" w:color="auto"/>
        </w:tblBorders>
        <w:tblLayout w:type="fixed"/>
        <w:tblCellMar>
          <w:left w:w="70" w:type="dxa"/>
          <w:right w:w="70" w:type="dxa"/>
        </w:tblCellMar>
        <w:tblLook w:val="0000" w:firstRow="0" w:lastRow="0" w:firstColumn="0" w:lastColumn="0" w:noHBand="0" w:noVBand="0"/>
      </w:tblPr>
      <w:tblGrid>
        <w:gridCol w:w="1897"/>
        <w:gridCol w:w="883"/>
        <w:gridCol w:w="2182"/>
        <w:gridCol w:w="5244"/>
      </w:tblGrid>
      <w:tr w:rsidR="00E9008A" w:rsidTr="00E9008A">
        <w:trPr>
          <w:trHeight w:val="1000"/>
        </w:trPr>
        <w:tc>
          <w:tcPr>
            <w:tcW w:w="2780" w:type="dxa"/>
            <w:gridSpan w:val="2"/>
            <w:tcBorders>
              <w:top w:val="nil"/>
              <w:left w:val="nil"/>
              <w:bottom w:val="nil"/>
              <w:right w:val="nil"/>
            </w:tcBorders>
          </w:tcPr>
          <w:p w:rsidR="00E9008A" w:rsidRDefault="00E9008A" w:rsidP="005B7D01">
            <w:pPr>
              <w:jc w:val="center"/>
            </w:pPr>
            <w:r>
              <w:object w:dxaOrig="5010" w:dyaOrig="2265">
                <v:shape id="_x0000_i1028" type="#_x0000_t75" style="width:108.95pt;height:43.95pt" o:ole="" fillcolor="window">
                  <v:imagedata r:id="rId70" o:title=""/>
                </v:shape>
                <o:OLEObject Type="Embed" ProgID="PBrush" ShapeID="_x0000_i1028" DrawAspect="Content" ObjectID="_1552223589" r:id="rId71"/>
              </w:object>
            </w:r>
          </w:p>
        </w:tc>
        <w:tc>
          <w:tcPr>
            <w:tcW w:w="7426" w:type="dxa"/>
            <w:gridSpan w:val="2"/>
            <w:tcBorders>
              <w:top w:val="nil"/>
              <w:left w:val="nil"/>
              <w:bottom w:val="nil"/>
              <w:right w:val="nil"/>
            </w:tcBorders>
          </w:tcPr>
          <w:p w:rsidR="00E9008A" w:rsidRDefault="00E9008A" w:rsidP="005B7D01">
            <w:pPr>
              <w:pStyle w:val="TtulodaResoluo"/>
              <w:framePr w:wrap="around"/>
              <w:ind w:right="-70"/>
            </w:pPr>
            <w:r>
              <w:t>RESOLUÇÃO DE DIRETORIA</w:t>
            </w:r>
            <w:r>
              <w:br/>
            </w:r>
            <w:r w:rsidRPr="00DB31BD">
              <w:t xml:space="preserve">Nº </w:t>
            </w:r>
            <w:r>
              <w:t>019</w:t>
            </w:r>
            <w:r w:rsidRPr="00DB31BD">
              <w:t xml:space="preserve">, DE </w:t>
            </w:r>
            <w:r>
              <w:t>20.03.2017</w:t>
            </w:r>
          </w:p>
        </w:tc>
      </w:tr>
      <w:tr w:rsidR="00E9008A" w:rsidRPr="003F0206" w:rsidTr="00E9008A">
        <w:trPr>
          <w:trHeight w:val="150"/>
        </w:trPr>
        <w:tc>
          <w:tcPr>
            <w:tcW w:w="10206" w:type="dxa"/>
            <w:gridSpan w:val="4"/>
            <w:tcBorders>
              <w:top w:val="nil"/>
              <w:left w:val="nil"/>
              <w:bottom w:val="nil"/>
              <w:right w:val="nil"/>
            </w:tcBorders>
            <w:shd w:val="pct25" w:color="auto" w:fill="auto"/>
          </w:tcPr>
          <w:p w:rsidR="00E9008A" w:rsidRPr="003F0206" w:rsidRDefault="00E9008A" w:rsidP="005B7D01">
            <w:pPr>
              <w:jc w:val="right"/>
              <w:rPr>
                <w:sz w:val="10"/>
                <w:szCs w:val="10"/>
              </w:rPr>
            </w:pPr>
          </w:p>
        </w:tc>
      </w:tr>
      <w:tr w:rsidR="00E9008A" w:rsidTr="00E9008A">
        <w:tc>
          <w:tcPr>
            <w:tcW w:w="10206" w:type="dxa"/>
            <w:gridSpan w:val="4"/>
            <w:tcBorders>
              <w:top w:val="nil"/>
              <w:left w:val="nil"/>
              <w:bottom w:val="single" w:sz="6" w:space="0" w:color="auto"/>
              <w:right w:val="nil"/>
            </w:tcBorders>
          </w:tcPr>
          <w:p w:rsidR="00E9008A" w:rsidRDefault="00E9008A" w:rsidP="005B7D01">
            <w:pPr>
              <w:spacing w:before="60" w:after="60"/>
              <w:rPr>
                <w:sz w:val="24"/>
                <w:szCs w:val="24"/>
              </w:rPr>
            </w:pPr>
            <w:r>
              <w:rPr>
                <w:sz w:val="24"/>
                <w:szCs w:val="24"/>
              </w:rPr>
              <w:t xml:space="preserve">REFERÊNCIA:  </w:t>
            </w:r>
          </w:p>
          <w:p w:rsidR="00E9008A" w:rsidRDefault="00E9008A" w:rsidP="005B7D01">
            <w:pPr>
              <w:pStyle w:val="Rodap"/>
              <w:tabs>
                <w:tab w:val="clear" w:pos="4419"/>
                <w:tab w:val="clear" w:pos="8838"/>
              </w:tabs>
              <w:spacing w:before="60" w:after="60"/>
              <w:rPr>
                <w:sz w:val="24"/>
                <w:szCs w:val="24"/>
              </w:rPr>
            </w:pPr>
            <w:r>
              <w:rPr>
                <w:sz w:val="24"/>
                <w:szCs w:val="24"/>
              </w:rPr>
              <w:t>34ª REUNIÃO EXTRAORDINÁRIA</w:t>
            </w:r>
          </w:p>
          <w:p w:rsidR="00E9008A" w:rsidRDefault="00E9008A" w:rsidP="005B7D01">
            <w:pPr>
              <w:pStyle w:val="Rodap"/>
              <w:spacing w:before="60" w:after="60"/>
              <w:rPr>
                <w:sz w:val="24"/>
                <w:szCs w:val="24"/>
              </w:rPr>
            </w:pPr>
            <w:r>
              <w:rPr>
                <w:sz w:val="24"/>
                <w:szCs w:val="24"/>
              </w:rPr>
              <w:t>RELATOR: Fernando Oliveira Fonseca, Diretor Administrativo-Financeiro e de Relações com Investidores</w:t>
            </w:r>
          </w:p>
        </w:tc>
      </w:tr>
      <w:tr w:rsidR="00E9008A" w:rsidTr="00E9008A">
        <w:tblPrEx>
          <w:tblBorders>
            <w:top w:val="single" w:sz="6" w:space="0" w:color="auto"/>
            <w:left w:val="single" w:sz="6" w:space="0" w:color="auto"/>
            <w:right w:val="single" w:sz="6" w:space="0" w:color="auto"/>
            <w:insideV w:val="none" w:sz="0" w:space="0" w:color="auto"/>
          </w:tblBorders>
          <w:tblCellMar>
            <w:left w:w="113" w:type="dxa"/>
            <w:right w:w="113" w:type="dxa"/>
          </w:tblCellMar>
        </w:tblPrEx>
        <w:tc>
          <w:tcPr>
            <w:tcW w:w="1897" w:type="dxa"/>
            <w:tcBorders>
              <w:top w:val="nil"/>
              <w:left w:val="nil"/>
              <w:bottom w:val="nil"/>
              <w:right w:val="nil"/>
            </w:tcBorders>
          </w:tcPr>
          <w:p w:rsidR="00E9008A" w:rsidRDefault="00E9008A" w:rsidP="005B7D01">
            <w:pPr>
              <w:pStyle w:val="Rodap"/>
              <w:tabs>
                <w:tab w:val="left" w:pos="708"/>
              </w:tabs>
              <w:spacing w:line="264" w:lineRule="auto"/>
            </w:pPr>
            <w:r>
              <w:t>INTERESSADO:</w:t>
            </w:r>
          </w:p>
        </w:tc>
        <w:tc>
          <w:tcPr>
            <w:tcW w:w="8309" w:type="dxa"/>
            <w:gridSpan w:val="3"/>
            <w:tcBorders>
              <w:top w:val="nil"/>
              <w:left w:val="nil"/>
              <w:bottom w:val="nil"/>
              <w:right w:val="nil"/>
            </w:tcBorders>
          </w:tcPr>
          <w:p w:rsidR="00E9008A" w:rsidRPr="006F5971" w:rsidRDefault="00E9008A" w:rsidP="005B7D01">
            <w:pPr>
              <w:pStyle w:val="Rodap"/>
              <w:tabs>
                <w:tab w:val="left" w:pos="708"/>
              </w:tabs>
              <w:spacing w:line="264" w:lineRule="auto"/>
              <w:rPr>
                <w:sz w:val="24"/>
                <w:szCs w:val="24"/>
              </w:rPr>
            </w:pPr>
            <w:r w:rsidRPr="006F5971">
              <w:rPr>
                <w:sz w:val="24"/>
                <w:szCs w:val="24"/>
              </w:rPr>
              <w:t>Companhia Energética de Brasília - CEB</w:t>
            </w:r>
          </w:p>
        </w:tc>
      </w:tr>
      <w:tr w:rsidR="00E9008A" w:rsidTr="00E9008A">
        <w:tblPrEx>
          <w:tblBorders>
            <w:top w:val="single" w:sz="6" w:space="0" w:color="auto"/>
            <w:left w:val="single" w:sz="6" w:space="0" w:color="auto"/>
            <w:right w:val="single" w:sz="6" w:space="0" w:color="auto"/>
            <w:insideV w:val="none" w:sz="0" w:space="0" w:color="auto"/>
          </w:tblBorders>
          <w:tblCellMar>
            <w:left w:w="113" w:type="dxa"/>
            <w:right w:w="113" w:type="dxa"/>
          </w:tblCellMar>
        </w:tblPrEx>
        <w:trPr>
          <w:trHeight w:val="511"/>
        </w:trPr>
        <w:tc>
          <w:tcPr>
            <w:tcW w:w="1897" w:type="dxa"/>
            <w:tcBorders>
              <w:top w:val="nil"/>
              <w:left w:val="nil"/>
              <w:bottom w:val="nil"/>
              <w:right w:val="nil"/>
            </w:tcBorders>
          </w:tcPr>
          <w:p w:rsidR="00E9008A" w:rsidRDefault="00E9008A" w:rsidP="005B7D01">
            <w:pPr>
              <w:spacing w:line="264" w:lineRule="auto"/>
            </w:pPr>
            <w:r>
              <w:t>ASSUNTO:</w:t>
            </w:r>
          </w:p>
        </w:tc>
        <w:tc>
          <w:tcPr>
            <w:tcW w:w="8309" w:type="dxa"/>
            <w:gridSpan w:val="3"/>
            <w:tcBorders>
              <w:top w:val="nil"/>
              <w:left w:val="nil"/>
              <w:bottom w:val="nil"/>
              <w:right w:val="nil"/>
            </w:tcBorders>
          </w:tcPr>
          <w:p w:rsidR="00E9008A" w:rsidRPr="00B50B02" w:rsidRDefault="00E9008A" w:rsidP="005B7D01">
            <w:pPr>
              <w:spacing w:line="264" w:lineRule="auto"/>
              <w:rPr>
                <w:sz w:val="23"/>
                <w:szCs w:val="23"/>
              </w:rPr>
            </w:pPr>
            <w:r w:rsidRPr="00C761B8">
              <w:rPr>
                <w:rFonts w:cs="Arial"/>
                <w:bCs/>
                <w:sz w:val="24"/>
                <w:szCs w:val="24"/>
              </w:rPr>
              <w:t>Relatório da Administração e Demonstrações Contábeis da Companhia Energética de Brasília – CEB, referentes ao exercício findo em 31 de dezembro de 201</w:t>
            </w:r>
            <w:r>
              <w:rPr>
                <w:rFonts w:cs="Arial"/>
                <w:bCs/>
                <w:sz w:val="24"/>
                <w:szCs w:val="24"/>
              </w:rPr>
              <w:t>6</w:t>
            </w:r>
            <w:r>
              <w:rPr>
                <w:rFonts w:cs="Arial"/>
                <w:sz w:val="24"/>
                <w:szCs w:val="24"/>
              </w:rPr>
              <w:t>.</w:t>
            </w:r>
          </w:p>
        </w:tc>
      </w:tr>
      <w:tr w:rsidR="00E9008A" w:rsidTr="00E9008A">
        <w:tblPrEx>
          <w:tblBorders>
            <w:top w:val="single" w:sz="6" w:space="0" w:color="auto"/>
            <w:left w:val="single" w:sz="6" w:space="0" w:color="auto"/>
            <w:right w:val="single" w:sz="6" w:space="0" w:color="auto"/>
            <w:insideV w:val="none" w:sz="0" w:space="0" w:color="auto"/>
          </w:tblBorders>
          <w:tblCellMar>
            <w:left w:w="113" w:type="dxa"/>
            <w:right w:w="113" w:type="dxa"/>
          </w:tblCellMar>
        </w:tblPrEx>
        <w:trPr>
          <w:trHeight w:val="4637"/>
        </w:trPr>
        <w:tc>
          <w:tcPr>
            <w:tcW w:w="1897" w:type="dxa"/>
            <w:tcBorders>
              <w:top w:val="nil"/>
              <w:left w:val="nil"/>
              <w:bottom w:val="nil"/>
              <w:right w:val="nil"/>
            </w:tcBorders>
          </w:tcPr>
          <w:p w:rsidR="00E9008A" w:rsidRDefault="00E9008A" w:rsidP="005B7D01">
            <w:pPr>
              <w:pStyle w:val="Rodap"/>
              <w:tabs>
                <w:tab w:val="left" w:pos="708"/>
              </w:tabs>
              <w:spacing w:line="264" w:lineRule="auto"/>
            </w:pPr>
            <w:r>
              <w:t>RESOLUÇÃO:</w:t>
            </w:r>
          </w:p>
        </w:tc>
        <w:tc>
          <w:tcPr>
            <w:tcW w:w="8309" w:type="dxa"/>
            <w:gridSpan w:val="3"/>
            <w:tcBorders>
              <w:top w:val="nil"/>
              <w:left w:val="nil"/>
              <w:bottom w:val="nil"/>
              <w:right w:val="nil"/>
            </w:tcBorders>
          </w:tcPr>
          <w:p w:rsidR="00E9008A" w:rsidRDefault="00E9008A" w:rsidP="005B7D01">
            <w:pPr>
              <w:spacing w:line="264" w:lineRule="auto"/>
              <w:rPr>
                <w:rFonts w:cs="Arial"/>
                <w:sz w:val="24"/>
                <w:szCs w:val="24"/>
              </w:rPr>
            </w:pPr>
            <w:r w:rsidRPr="008C0662">
              <w:rPr>
                <w:rFonts w:cs="Arial"/>
                <w:sz w:val="24"/>
                <w:szCs w:val="24"/>
              </w:rPr>
              <w:t>A Diretoria,</w:t>
            </w:r>
            <w:r>
              <w:rPr>
                <w:rFonts w:cs="Arial"/>
                <w:sz w:val="24"/>
                <w:szCs w:val="24"/>
              </w:rPr>
              <w:t xml:space="preserve"> com fundamento no inciso III, art. 27 do Estatuto Social da CEB, e em consonância com o disposto na Resolução nº 1.184/2009, editada pelo Conselho Federal de Contabilidade – CFC em 28.08.2009, e na Instrução nº 480/2009, art. 25, inciso VI, e art. 29, ambos da Comissão de Valores Mobiliários – CVM, </w:t>
            </w:r>
            <w:r w:rsidRPr="008C0662">
              <w:rPr>
                <w:rFonts w:cs="Arial"/>
                <w:b/>
                <w:sz w:val="24"/>
                <w:szCs w:val="24"/>
              </w:rPr>
              <w:t>RESOLVE</w:t>
            </w:r>
            <w:r>
              <w:rPr>
                <w:rFonts w:cs="Arial"/>
                <w:b/>
                <w:sz w:val="24"/>
                <w:szCs w:val="24"/>
              </w:rPr>
              <w:t xml:space="preserve"> </w:t>
            </w:r>
            <w:r>
              <w:rPr>
                <w:rFonts w:cs="Arial"/>
                <w:sz w:val="24"/>
                <w:szCs w:val="24"/>
              </w:rPr>
              <w:t xml:space="preserve">autorizar a emissão e divulgação do </w:t>
            </w:r>
            <w:r w:rsidRPr="00C761B8">
              <w:rPr>
                <w:rFonts w:cs="Arial"/>
                <w:bCs/>
                <w:sz w:val="24"/>
                <w:szCs w:val="24"/>
              </w:rPr>
              <w:t>Relatório da Administração e Demonstrações Contábeis da Companhia Energética de Brasília – CEB, referentes ao exercício findo em 31 de dezembro de 201</w:t>
            </w:r>
            <w:r>
              <w:rPr>
                <w:rFonts w:cs="Arial"/>
                <w:bCs/>
                <w:sz w:val="24"/>
                <w:szCs w:val="24"/>
              </w:rPr>
              <w:t xml:space="preserve">6, bem como </w:t>
            </w:r>
            <w:r w:rsidRPr="004363B3">
              <w:rPr>
                <w:sz w:val="24"/>
                <w:szCs w:val="24"/>
              </w:rPr>
              <w:t>submet</w:t>
            </w:r>
            <w:r>
              <w:rPr>
                <w:sz w:val="24"/>
                <w:szCs w:val="24"/>
              </w:rPr>
              <w:t xml:space="preserve">ê-los à apreciação do Conselho Fiscal e do Conselho de Administração, com vistas à posterior </w:t>
            </w:r>
            <w:r w:rsidRPr="004363B3">
              <w:rPr>
                <w:sz w:val="24"/>
                <w:szCs w:val="24"/>
              </w:rPr>
              <w:t>deliberação da Assembl</w:t>
            </w:r>
            <w:r>
              <w:rPr>
                <w:sz w:val="24"/>
                <w:szCs w:val="24"/>
              </w:rPr>
              <w:t>e</w:t>
            </w:r>
            <w:r w:rsidRPr="004363B3">
              <w:rPr>
                <w:sz w:val="24"/>
                <w:szCs w:val="24"/>
              </w:rPr>
              <w:t>ia Geral Ordinária dos acionistas da Companhia</w:t>
            </w:r>
            <w:r>
              <w:rPr>
                <w:sz w:val="24"/>
                <w:szCs w:val="24"/>
              </w:rPr>
              <w:t>, na forma prevista na Lei nº 6.404, de 15 de dezembro de 1976</w:t>
            </w:r>
            <w:r>
              <w:rPr>
                <w:rFonts w:cs="Arial"/>
                <w:sz w:val="24"/>
                <w:szCs w:val="24"/>
              </w:rPr>
              <w:t>.</w:t>
            </w:r>
          </w:p>
          <w:p w:rsidR="00E9008A" w:rsidRPr="00CB4DFB" w:rsidRDefault="00E9008A" w:rsidP="005B7D01">
            <w:pPr>
              <w:spacing w:line="264" w:lineRule="auto"/>
              <w:rPr>
                <w:sz w:val="24"/>
              </w:rPr>
            </w:pPr>
          </w:p>
        </w:tc>
      </w:tr>
      <w:tr w:rsidR="00E9008A" w:rsidTr="00E9008A">
        <w:tblPrEx>
          <w:tblBorders>
            <w:bottom w:val="none" w:sz="0" w:space="0" w:color="auto"/>
            <w:insideV w:val="none" w:sz="0" w:space="0" w:color="auto"/>
          </w:tblBorders>
          <w:tblCellMar>
            <w:left w:w="113" w:type="dxa"/>
            <w:right w:w="113" w:type="dxa"/>
          </w:tblCellMar>
        </w:tblPrEx>
        <w:trPr>
          <w:cantSplit/>
          <w:trHeight w:hRule="exact" w:val="1518"/>
        </w:trPr>
        <w:tc>
          <w:tcPr>
            <w:tcW w:w="4962" w:type="dxa"/>
            <w:gridSpan w:val="3"/>
          </w:tcPr>
          <w:p w:rsidR="00E9008A" w:rsidRDefault="00E9008A" w:rsidP="005B7D01">
            <w:pPr>
              <w:pStyle w:val="Assinatura"/>
              <w:spacing w:before="0" w:after="0"/>
              <w:rPr>
                <w:rFonts w:ascii="Arial" w:hAnsi="Arial" w:cs="Arial"/>
                <w:b w:val="0"/>
                <w:sz w:val="22"/>
              </w:rPr>
            </w:pPr>
            <w:r>
              <w:rPr>
                <w:rFonts w:ascii="Arial" w:hAnsi="Arial" w:cs="Arial"/>
                <w:i w:val="0"/>
                <w:sz w:val="22"/>
              </w:rPr>
              <w:t>ARI JOAQUIM DA SILVA</w:t>
            </w:r>
            <w:r>
              <w:rPr>
                <w:rFonts w:ascii="Arial" w:hAnsi="Arial" w:cs="Arial"/>
                <w:sz w:val="22"/>
              </w:rPr>
              <w:br/>
            </w:r>
            <w:r>
              <w:rPr>
                <w:rFonts w:ascii="Arial" w:hAnsi="Arial" w:cs="Arial"/>
                <w:b w:val="0"/>
                <w:sz w:val="22"/>
              </w:rPr>
              <w:t xml:space="preserve">Diretor-Presidente </w:t>
            </w:r>
          </w:p>
          <w:p w:rsidR="00E9008A" w:rsidRDefault="00E9008A" w:rsidP="005B7D01">
            <w:pPr>
              <w:pStyle w:val="Assinatura"/>
              <w:spacing w:before="0" w:after="0"/>
              <w:rPr>
                <w:rFonts w:ascii="Arial" w:hAnsi="Arial" w:cs="Arial"/>
                <w:sz w:val="22"/>
              </w:rPr>
            </w:pPr>
          </w:p>
        </w:tc>
        <w:tc>
          <w:tcPr>
            <w:tcW w:w="5244" w:type="dxa"/>
          </w:tcPr>
          <w:p w:rsidR="00E9008A" w:rsidRDefault="00E9008A" w:rsidP="005B7D01">
            <w:pPr>
              <w:pStyle w:val="Assinatura"/>
              <w:spacing w:before="0" w:after="0"/>
              <w:rPr>
                <w:rFonts w:ascii="Arial" w:hAnsi="Arial" w:cs="Arial"/>
                <w:b w:val="0"/>
                <w:sz w:val="22"/>
              </w:rPr>
            </w:pPr>
            <w:r>
              <w:rPr>
                <w:rFonts w:ascii="Arial" w:hAnsi="Arial" w:cs="Arial"/>
                <w:i w:val="0"/>
                <w:sz w:val="22"/>
              </w:rPr>
              <w:t xml:space="preserve">FERNANDO OLIVEIRA FONSECA </w:t>
            </w:r>
            <w:r>
              <w:rPr>
                <w:rFonts w:ascii="Arial" w:hAnsi="Arial" w:cs="Arial"/>
                <w:sz w:val="22"/>
              </w:rPr>
              <w:br/>
            </w:r>
            <w:r>
              <w:rPr>
                <w:rFonts w:ascii="Arial" w:hAnsi="Arial" w:cs="Arial"/>
                <w:b w:val="0"/>
                <w:sz w:val="22"/>
              </w:rPr>
              <w:t xml:space="preserve">Diretor Administrativo-Financeiro </w:t>
            </w:r>
          </w:p>
          <w:p w:rsidR="00E9008A" w:rsidRDefault="00E9008A" w:rsidP="005B7D01">
            <w:pPr>
              <w:pStyle w:val="Assinatura"/>
              <w:spacing w:before="0" w:after="0"/>
              <w:rPr>
                <w:rFonts w:ascii="Arial" w:hAnsi="Arial" w:cs="Arial"/>
                <w:sz w:val="22"/>
              </w:rPr>
            </w:pPr>
            <w:proofErr w:type="gramStart"/>
            <w:r>
              <w:rPr>
                <w:rFonts w:ascii="Arial" w:hAnsi="Arial" w:cs="Arial"/>
                <w:b w:val="0"/>
                <w:sz w:val="22"/>
              </w:rPr>
              <w:t>e</w:t>
            </w:r>
            <w:proofErr w:type="gramEnd"/>
            <w:r>
              <w:rPr>
                <w:rFonts w:ascii="Arial" w:hAnsi="Arial" w:cs="Arial"/>
                <w:b w:val="0"/>
                <w:sz w:val="22"/>
              </w:rPr>
              <w:t xml:space="preserve"> de Relações com Investidores</w:t>
            </w:r>
          </w:p>
        </w:tc>
      </w:tr>
      <w:tr w:rsidR="00E9008A" w:rsidRPr="00B0752E" w:rsidTr="00E9008A">
        <w:tblPrEx>
          <w:tblBorders>
            <w:bottom w:val="none" w:sz="0" w:space="0" w:color="auto"/>
            <w:insideV w:val="none" w:sz="0" w:space="0" w:color="auto"/>
          </w:tblBorders>
          <w:tblCellMar>
            <w:left w:w="113" w:type="dxa"/>
            <w:right w:w="113" w:type="dxa"/>
          </w:tblCellMar>
        </w:tblPrEx>
        <w:trPr>
          <w:cantSplit/>
          <w:trHeight w:hRule="exact" w:val="519"/>
        </w:trPr>
        <w:tc>
          <w:tcPr>
            <w:tcW w:w="4962" w:type="dxa"/>
            <w:gridSpan w:val="3"/>
          </w:tcPr>
          <w:p w:rsidR="00E9008A" w:rsidRPr="00B0752E" w:rsidRDefault="00E9008A" w:rsidP="005B7D01">
            <w:pPr>
              <w:pStyle w:val="Assinatura"/>
              <w:spacing w:before="0" w:after="0"/>
              <w:rPr>
                <w:rFonts w:ascii="Arial" w:hAnsi="Arial" w:cs="Arial"/>
                <w:sz w:val="22"/>
              </w:rPr>
            </w:pPr>
            <w:r>
              <w:rPr>
                <w:rFonts w:ascii="Arial" w:hAnsi="Arial" w:cs="Arial"/>
                <w:i w:val="0"/>
                <w:sz w:val="22"/>
              </w:rPr>
              <w:t>LENER SILVA JAYME</w:t>
            </w:r>
            <w:r>
              <w:rPr>
                <w:rFonts w:ascii="Arial" w:hAnsi="Arial" w:cs="Arial"/>
                <w:sz w:val="22"/>
              </w:rPr>
              <w:br/>
            </w:r>
            <w:r>
              <w:rPr>
                <w:rFonts w:ascii="Arial" w:hAnsi="Arial" w:cs="Arial"/>
                <w:b w:val="0"/>
                <w:sz w:val="22"/>
              </w:rPr>
              <w:t>Diretor de Planejamento Estratégico</w:t>
            </w:r>
          </w:p>
        </w:tc>
        <w:tc>
          <w:tcPr>
            <w:tcW w:w="5244" w:type="dxa"/>
          </w:tcPr>
          <w:p w:rsidR="00E9008A" w:rsidRPr="00B0752E" w:rsidRDefault="00E9008A" w:rsidP="005B7D01">
            <w:pPr>
              <w:pStyle w:val="Assinatura"/>
              <w:spacing w:before="0" w:after="0"/>
              <w:rPr>
                <w:rFonts w:ascii="Arial" w:hAnsi="Arial" w:cs="Arial"/>
                <w:sz w:val="22"/>
              </w:rPr>
            </w:pPr>
            <w:r>
              <w:rPr>
                <w:rFonts w:ascii="Arial" w:hAnsi="Arial" w:cs="Arial"/>
                <w:i w:val="0"/>
                <w:sz w:val="22"/>
              </w:rPr>
              <w:t>PAULO AFONSO TEIXEIRA MACHADO</w:t>
            </w:r>
            <w:r>
              <w:rPr>
                <w:rFonts w:ascii="Arial" w:hAnsi="Arial" w:cs="Arial"/>
                <w:sz w:val="22"/>
              </w:rPr>
              <w:br/>
            </w:r>
            <w:r>
              <w:rPr>
                <w:rFonts w:ascii="Arial" w:hAnsi="Arial" w:cs="Arial"/>
                <w:b w:val="0"/>
                <w:sz w:val="22"/>
              </w:rPr>
              <w:t>Diretor Técnico</w:t>
            </w:r>
          </w:p>
        </w:tc>
      </w:tr>
    </w:tbl>
    <w:p w:rsidR="00E9008A" w:rsidRPr="00F07DFC" w:rsidRDefault="00E9008A" w:rsidP="00E9008A">
      <w:pPr>
        <w:pStyle w:val="Corpodetexto"/>
        <w:ind w:right="-289"/>
      </w:pPr>
    </w:p>
    <w:p w:rsidR="00E9008A" w:rsidRDefault="00E9008A">
      <w:pPr>
        <w:rPr>
          <w:sz w:val="22"/>
          <w:szCs w:val="22"/>
        </w:rPr>
      </w:pPr>
      <w:r>
        <w:rPr>
          <w:sz w:val="22"/>
          <w:szCs w:val="22"/>
        </w:rPr>
        <w:br w:type="page"/>
      </w:r>
    </w:p>
    <w:tbl>
      <w:tblPr>
        <w:tblW w:w="0" w:type="auto"/>
        <w:tblInd w:w="-540" w:type="dxa"/>
        <w:tblBorders>
          <w:bottom w:val="single" w:sz="6" w:space="0" w:color="auto"/>
          <w:insideV w:val="single" w:sz="18" w:space="0" w:color="auto"/>
        </w:tblBorders>
        <w:tblLayout w:type="fixed"/>
        <w:tblCellMar>
          <w:left w:w="70" w:type="dxa"/>
          <w:right w:w="70" w:type="dxa"/>
        </w:tblCellMar>
        <w:tblLook w:val="0000" w:firstRow="0" w:lastRow="0" w:firstColumn="0" w:lastColumn="0" w:noHBand="0" w:noVBand="0"/>
      </w:tblPr>
      <w:tblGrid>
        <w:gridCol w:w="43"/>
        <w:gridCol w:w="1985"/>
        <w:gridCol w:w="752"/>
        <w:gridCol w:w="2607"/>
        <w:gridCol w:w="4819"/>
        <w:gridCol w:w="43"/>
      </w:tblGrid>
      <w:tr w:rsidR="00E9008A" w:rsidTr="00E9008A">
        <w:trPr>
          <w:gridAfter w:val="1"/>
          <w:wAfter w:w="43" w:type="dxa"/>
          <w:trHeight w:val="1000"/>
        </w:trPr>
        <w:tc>
          <w:tcPr>
            <w:tcW w:w="2780" w:type="dxa"/>
            <w:gridSpan w:val="3"/>
            <w:tcBorders>
              <w:top w:val="nil"/>
              <w:left w:val="nil"/>
              <w:bottom w:val="nil"/>
              <w:right w:val="nil"/>
            </w:tcBorders>
          </w:tcPr>
          <w:p w:rsidR="00E9008A" w:rsidRDefault="00E9008A" w:rsidP="005B7D01">
            <w:pPr>
              <w:jc w:val="center"/>
            </w:pPr>
            <w:r>
              <w:object w:dxaOrig="5010" w:dyaOrig="2265">
                <v:shape id="_x0000_i1029" type="#_x0000_t75" style="width:108.95pt;height:43.95pt" o:ole="" fillcolor="window">
                  <v:imagedata r:id="rId70" o:title=""/>
                </v:shape>
                <o:OLEObject Type="Embed" ProgID="PBrush" ShapeID="_x0000_i1029" DrawAspect="Content" ObjectID="_1552223590" r:id="rId72"/>
              </w:object>
            </w:r>
          </w:p>
        </w:tc>
        <w:tc>
          <w:tcPr>
            <w:tcW w:w="7426" w:type="dxa"/>
            <w:gridSpan w:val="2"/>
            <w:tcBorders>
              <w:top w:val="nil"/>
              <w:left w:val="nil"/>
              <w:bottom w:val="nil"/>
              <w:right w:val="nil"/>
            </w:tcBorders>
          </w:tcPr>
          <w:p w:rsidR="00E9008A" w:rsidRDefault="00E9008A" w:rsidP="005B7D01">
            <w:pPr>
              <w:pStyle w:val="TtulodaResoluo"/>
              <w:framePr w:wrap="around"/>
              <w:spacing w:before="240"/>
              <w:ind w:right="-68"/>
              <w:rPr>
                <w:rFonts w:ascii="Arial" w:hAnsi="Arial"/>
                <w:sz w:val="24"/>
              </w:rPr>
            </w:pPr>
            <w:r>
              <w:rPr>
                <w:rFonts w:ascii="Arial" w:hAnsi="Arial"/>
                <w:sz w:val="24"/>
              </w:rPr>
              <w:t xml:space="preserve">DECISÃO DO </w:t>
            </w:r>
            <w:smartTag w:uri="urn:schemas-microsoft-com:office:smarttags" w:element="PersonName">
              <w:smartTagPr>
                <w:attr w:name="ProductID" w:val="Conselho de Administra￧￣o"/>
              </w:smartTagPr>
              <w:r>
                <w:rPr>
                  <w:rFonts w:ascii="Arial" w:hAnsi="Arial"/>
                  <w:sz w:val="24"/>
                </w:rPr>
                <w:t>CONSELHO DE ADMINISTRAÇÃO</w:t>
              </w:r>
            </w:smartTag>
            <w:r>
              <w:rPr>
                <w:rFonts w:ascii="Arial" w:hAnsi="Arial"/>
                <w:sz w:val="24"/>
              </w:rPr>
              <w:t xml:space="preserve"> DA COMPANHIA ENERGÉTICA DE BRASÍLIA - CEB </w:t>
            </w:r>
          </w:p>
        </w:tc>
      </w:tr>
      <w:tr w:rsidR="00E9008A" w:rsidTr="00E9008A">
        <w:trPr>
          <w:gridAfter w:val="1"/>
          <w:wAfter w:w="43" w:type="dxa"/>
          <w:trHeight w:val="150"/>
        </w:trPr>
        <w:tc>
          <w:tcPr>
            <w:tcW w:w="10206" w:type="dxa"/>
            <w:gridSpan w:val="5"/>
            <w:tcBorders>
              <w:top w:val="nil"/>
              <w:left w:val="nil"/>
              <w:bottom w:val="nil"/>
              <w:right w:val="nil"/>
            </w:tcBorders>
            <w:shd w:val="pct25" w:color="auto" w:fill="auto"/>
          </w:tcPr>
          <w:p w:rsidR="00E9008A" w:rsidRDefault="00E9008A" w:rsidP="005B7D01">
            <w:pPr>
              <w:jc w:val="right"/>
            </w:pPr>
          </w:p>
        </w:tc>
      </w:tr>
      <w:tr w:rsidR="00E9008A" w:rsidRPr="00AC324C" w:rsidTr="00E9008A">
        <w:tblPrEx>
          <w:tblBorders>
            <w:top w:val="single" w:sz="6" w:space="0" w:color="auto"/>
            <w:left w:val="single" w:sz="6" w:space="0" w:color="auto"/>
            <w:right w:val="single" w:sz="6" w:space="0" w:color="auto"/>
            <w:insideV w:val="none" w:sz="0" w:space="0" w:color="auto"/>
          </w:tblBorders>
          <w:tblCellMar>
            <w:left w:w="113" w:type="dxa"/>
            <w:right w:w="113" w:type="dxa"/>
          </w:tblCellMar>
        </w:tblPrEx>
        <w:trPr>
          <w:gridAfter w:val="1"/>
          <w:wAfter w:w="43" w:type="dxa"/>
          <w:trHeight w:val="475"/>
        </w:trPr>
        <w:tc>
          <w:tcPr>
            <w:tcW w:w="5387" w:type="dxa"/>
            <w:gridSpan w:val="4"/>
            <w:tcBorders>
              <w:top w:val="nil"/>
              <w:left w:val="nil"/>
              <w:bottom w:val="dotted" w:sz="4" w:space="0" w:color="auto"/>
            </w:tcBorders>
          </w:tcPr>
          <w:p w:rsidR="00E9008A" w:rsidRPr="00AC324C" w:rsidRDefault="00E9008A" w:rsidP="005B7D01">
            <w:pPr>
              <w:pStyle w:val="Rodap"/>
              <w:tabs>
                <w:tab w:val="clear" w:pos="4419"/>
                <w:tab w:val="clear" w:pos="8838"/>
              </w:tabs>
              <w:spacing w:before="60" w:after="60"/>
              <w:rPr>
                <w:szCs w:val="22"/>
              </w:rPr>
            </w:pPr>
            <w:r>
              <w:rPr>
                <w:szCs w:val="22"/>
              </w:rPr>
              <w:t>555</w:t>
            </w:r>
            <w:proofErr w:type="gramStart"/>
            <w:r w:rsidRPr="00AC324C">
              <w:rPr>
                <w:szCs w:val="22"/>
              </w:rPr>
              <w:t>ª  REUNIÃO</w:t>
            </w:r>
            <w:proofErr w:type="gramEnd"/>
            <w:r w:rsidRPr="00AC324C">
              <w:rPr>
                <w:szCs w:val="22"/>
              </w:rPr>
              <w:t xml:space="preserve"> ORDINÁRIA</w:t>
            </w:r>
          </w:p>
        </w:tc>
        <w:tc>
          <w:tcPr>
            <w:tcW w:w="4819" w:type="dxa"/>
            <w:tcBorders>
              <w:top w:val="nil"/>
              <w:bottom w:val="dotted" w:sz="4" w:space="0" w:color="auto"/>
              <w:right w:val="nil"/>
            </w:tcBorders>
          </w:tcPr>
          <w:p w:rsidR="00E9008A" w:rsidRPr="00AC324C" w:rsidRDefault="00E9008A" w:rsidP="005B7D01">
            <w:pPr>
              <w:pStyle w:val="Rodap"/>
              <w:tabs>
                <w:tab w:val="clear" w:pos="4419"/>
                <w:tab w:val="clear" w:pos="8838"/>
              </w:tabs>
              <w:spacing w:before="60" w:after="60"/>
              <w:jc w:val="right"/>
              <w:rPr>
                <w:szCs w:val="22"/>
              </w:rPr>
            </w:pPr>
            <w:r w:rsidRPr="00AC324C">
              <w:rPr>
                <w:szCs w:val="22"/>
              </w:rPr>
              <w:t xml:space="preserve">REALIZADA EM </w:t>
            </w:r>
            <w:r>
              <w:rPr>
                <w:szCs w:val="22"/>
              </w:rPr>
              <w:t>27.03.2017</w:t>
            </w:r>
          </w:p>
        </w:tc>
      </w:tr>
      <w:tr w:rsidR="00E9008A" w:rsidRPr="008E2D2C" w:rsidTr="00E9008A">
        <w:tblPrEx>
          <w:tblBorders>
            <w:top w:val="single" w:sz="6" w:space="0" w:color="auto"/>
            <w:left w:val="single" w:sz="6" w:space="0" w:color="auto"/>
            <w:right w:val="single" w:sz="6" w:space="0" w:color="auto"/>
            <w:insideV w:val="none" w:sz="0" w:space="0" w:color="auto"/>
          </w:tblBorders>
          <w:tblCellMar>
            <w:left w:w="113" w:type="dxa"/>
            <w:right w:w="113" w:type="dxa"/>
          </w:tblCellMar>
        </w:tblPrEx>
        <w:trPr>
          <w:gridBefore w:val="1"/>
          <w:wBefore w:w="43" w:type="dxa"/>
          <w:trHeight w:val="475"/>
        </w:trPr>
        <w:tc>
          <w:tcPr>
            <w:tcW w:w="1985" w:type="dxa"/>
            <w:tcBorders>
              <w:top w:val="nil"/>
              <w:left w:val="nil"/>
              <w:bottom w:val="nil"/>
            </w:tcBorders>
          </w:tcPr>
          <w:p w:rsidR="00E9008A" w:rsidRPr="009C05D1" w:rsidRDefault="00E9008A" w:rsidP="005B7D01">
            <w:pPr>
              <w:pStyle w:val="Rodap"/>
              <w:tabs>
                <w:tab w:val="clear" w:pos="4419"/>
                <w:tab w:val="clear" w:pos="8838"/>
              </w:tabs>
              <w:spacing w:beforeLines="60" w:before="144" w:afterLines="60" w:after="144"/>
            </w:pPr>
            <w:r w:rsidRPr="00461E6F">
              <w:rPr>
                <w:szCs w:val="22"/>
              </w:rPr>
              <w:t>INTERESSADO</w:t>
            </w:r>
            <w:r>
              <w:rPr>
                <w:szCs w:val="22"/>
              </w:rPr>
              <w:t>:</w:t>
            </w:r>
          </w:p>
        </w:tc>
        <w:tc>
          <w:tcPr>
            <w:tcW w:w="8221" w:type="dxa"/>
            <w:gridSpan w:val="4"/>
            <w:tcBorders>
              <w:top w:val="nil"/>
              <w:bottom w:val="nil"/>
              <w:right w:val="nil"/>
            </w:tcBorders>
          </w:tcPr>
          <w:p w:rsidR="00E9008A" w:rsidRPr="008A6B03" w:rsidRDefault="00E9008A" w:rsidP="005B7D01">
            <w:pPr>
              <w:pStyle w:val="Rodap"/>
              <w:tabs>
                <w:tab w:val="clear" w:pos="4419"/>
                <w:tab w:val="clear" w:pos="8838"/>
              </w:tabs>
              <w:spacing w:beforeLines="60" w:before="144" w:afterLines="60" w:after="144"/>
              <w:rPr>
                <w:sz w:val="24"/>
                <w:szCs w:val="24"/>
              </w:rPr>
            </w:pPr>
            <w:r w:rsidRPr="008A6B03">
              <w:rPr>
                <w:sz w:val="24"/>
                <w:szCs w:val="24"/>
              </w:rPr>
              <w:t>Companhia Energética de Brasília - CEB</w:t>
            </w:r>
          </w:p>
        </w:tc>
      </w:tr>
      <w:tr w:rsidR="00E9008A" w:rsidRPr="008E2D2C" w:rsidTr="00E9008A">
        <w:tblPrEx>
          <w:tblBorders>
            <w:top w:val="single" w:sz="6" w:space="0" w:color="auto"/>
            <w:left w:val="single" w:sz="6" w:space="0" w:color="auto"/>
            <w:right w:val="single" w:sz="6" w:space="0" w:color="auto"/>
            <w:insideV w:val="none" w:sz="0" w:space="0" w:color="auto"/>
          </w:tblBorders>
          <w:tblCellMar>
            <w:left w:w="113" w:type="dxa"/>
            <w:right w:w="113" w:type="dxa"/>
          </w:tblCellMar>
        </w:tblPrEx>
        <w:trPr>
          <w:gridBefore w:val="1"/>
          <w:wBefore w:w="43" w:type="dxa"/>
          <w:trHeight w:val="667"/>
        </w:trPr>
        <w:tc>
          <w:tcPr>
            <w:tcW w:w="1985" w:type="dxa"/>
            <w:tcBorders>
              <w:top w:val="nil"/>
              <w:left w:val="nil"/>
              <w:bottom w:val="nil"/>
            </w:tcBorders>
          </w:tcPr>
          <w:p w:rsidR="00E9008A" w:rsidRPr="008E2D2C" w:rsidRDefault="00E9008A" w:rsidP="005B7D01">
            <w:pPr>
              <w:spacing w:beforeLines="60" w:before="144" w:afterLines="60" w:after="144" w:line="264" w:lineRule="auto"/>
              <w:rPr>
                <w:szCs w:val="22"/>
              </w:rPr>
            </w:pPr>
            <w:proofErr w:type="gramStart"/>
            <w:r w:rsidRPr="008E2D2C">
              <w:rPr>
                <w:szCs w:val="22"/>
              </w:rPr>
              <w:t>ASSUNTO :</w:t>
            </w:r>
            <w:proofErr w:type="gramEnd"/>
          </w:p>
        </w:tc>
        <w:tc>
          <w:tcPr>
            <w:tcW w:w="8221" w:type="dxa"/>
            <w:gridSpan w:val="4"/>
            <w:tcBorders>
              <w:top w:val="nil"/>
              <w:bottom w:val="nil"/>
              <w:right w:val="nil"/>
            </w:tcBorders>
          </w:tcPr>
          <w:p w:rsidR="00E9008A" w:rsidRPr="008A6B03" w:rsidRDefault="00E9008A" w:rsidP="005B7D01">
            <w:pPr>
              <w:spacing w:before="40" w:line="264" w:lineRule="auto"/>
              <w:rPr>
                <w:sz w:val="24"/>
                <w:szCs w:val="24"/>
              </w:rPr>
            </w:pPr>
            <w:r w:rsidRPr="008E6D6D">
              <w:rPr>
                <w:sz w:val="24"/>
                <w:szCs w:val="24"/>
              </w:rPr>
              <w:t>Relatório da Administração</w:t>
            </w:r>
            <w:r>
              <w:rPr>
                <w:sz w:val="24"/>
                <w:szCs w:val="24"/>
              </w:rPr>
              <w:t xml:space="preserve"> e</w:t>
            </w:r>
            <w:r w:rsidRPr="008E6D6D">
              <w:rPr>
                <w:sz w:val="24"/>
                <w:szCs w:val="24"/>
              </w:rPr>
              <w:t xml:space="preserve"> Demonstrações Financeiras referentes a</w:t>
            </w:r>
            <w:r>
              <w:rPr>
                <w:sz w:val="24"/>
                <w:szCs w:val="24"/>
              </w:rPr>
              <w:t>o exercício de</w:t>
            </w:r>
            <w:r w:rsidRPr="008E6D6D">
              <w:rPr>
                <w:sz w:val="24"/>
                <w:szCs w:val="24"/>
              </w:rPr>
              <w:t xml:space="preserve"> 201</w:t>
            </w:r>
            <w:r>
              <w:rPr>
                <w:sz w:val="24"/>
                <w:szCs w:val="24"/>
              </w:rPr>
              <w:t>6</w:t>
            </w:r>
            <w:r w:rsidRPr="008E6D6D">
              <w:rPr>
                <w:sz w:val="24"/>
                <w:szCs w:val="24"/>
              </w:rPr>
              <w:t>.</w:t>
            </w:r>
          </w:p>
        </w:tc>
      </w:tr>
      <w:tr w:rsidR="00E9008A" w:rsidTr="00E9008A">
        <w:tblPrEx>
          <w:tblBorders>
            <w:top w:val="single" w:sz="6" w:space="0" w:color="auto"/>
            <w:left w:val="single" w:sz="6" w:space="0" w:color="auto"/>
            <w:right w:val="single" w:sz="6" w:space="0" w:color="auto"/>
            <w:insideV w:val="none" w:sz="0" w:space="0" w:color="auto"/>
          </w:tblBorders>
          <w:tblCellMar>
            <w:left w:w="113" w:type="dxa"/>
            <w:right w:w="113" w:type="dxa"/>
          </w:tblCellMar>
        </w:tblPrEx>
        <w:trPr>
          <w:gridBefore w:val="1"/>
          <w:wBefore w:w="43" w:type="dxa"/>
          <w:trHeight w:val="3525"/>
        </w:trPr>
        <w:tc>
          <w:tcPr>
            <w:tcW w:w="1985" w:type="dxa"/>
            <w:tcBorders>
              <w:top w:val="nil"/>
              <w:left w:val="nil"/>
              <w:bottom w:val="nil"/>
            </w:tcBorders>
          </w:tcPr>
          <w:p w:rsidR="00E9008A" w:rsidRPr="008E2D2C" w:rsidRDefault="00E9008A" w:rsidP="005B7D01">
            <w:pPr>
              <w:pStyle w:val="Rodap"/>
              <w:tabs>
                <w:tab w:val="clear" w:pos="4419"/>
                <w:tab w:val="clear" w:pos="8838"/>
              </w:tabs>
              <w:spacing w:line="264" w:lineRule="auto"/>
              <w:rPr>
                <w:szCs w:val="22"/>
              </w:rPr>
            </w:pPr>
            <w:proofErr w:type="gramStart"/>
            <w:r w:rsidRPr="008E2D2C">
              <w:rPr>
                <w:szCs w:val="22"/>
              </w:rPr>
              <w:t>DECISÃO :</w:t>
            </w:r>
            <w:proofErr w:type="gramEnd"/>
          </w:p>
        </w:tc>
        <w:tc>
          <w:tcPr>
            <w:tcW w:w="8221" w:type="dxa"/>
            <w:gridSpan w:val="4"/>
            <w:tcBorders>
              <w:top w:val="nil"/>
              <w:bottom w:val="nil"/>
              <w:right w:val="nil"/>
            </w:tcBorders>
          </w:tcPr>
          <w:p w:rsidR="00E9008A" w:rsidRPr="00E9008A" w:rsidRDefault="00E9008A" w:rsidP="005B7D01">
            <w:pPr>
              <w:pStyle w:val="Recuodecorpodetexto"/>
              <w:spacing w:line="264" w:lineRule="auto"/>
              <w:rPr>
                <w:b w:val="0"/>
                <w:sz w:val="24"/>
                <w:szCs w:val="24"/>
              </w:rPr>
            </w:pPr>
            <w:r w:rsidRPr="00E9008A">
              <w:rPr>
                <w:b w:val="0"/>
                <w:sz w:val="24"/>
                <w:szCs w:val="24"/>
              </w:rPr>
              <w:t xml:space="preserve">O </w:t>
            </w:r>
            <w:smartTag w:uri="urn:schemas-microsoft-com:office:smarttags" w:element="PersonName">
              <w:smartTagPr>
                <w:attr w:name="ProductID" w:val="CONSELHO DE ADMINISTRAￇￃO"/>
              </w:smartTagPr>
              <w:r w:rsidRPr="00E9008A">
                <w:rPr>
                  <w:b w:val="0"/>
                  <w:sz w:val="24"/>
                  <w:szCs w:val="24"/>
                </w:rPr>
                <w:t>Conselho de Administração</w:t>
              </w:r>
            </w:smartTag>
            <w:r w:rsidRPr="00E9008A">
              <w:rPr>
                <w:b w:val="0"/>
                <w:sz w:val="24"/>
                <w:szCs w:val="24"/>
              </w:rPr>
              <w:t xml:space="preserve"> da Companhia Energética de Brasília - CEB, com amparo na Lei 6.404, de 15 de dezembro de 1976, e no Estatuto Social da Companhia, art. 20, inciso I, examinou o Relatório da Administração da Empresa e as Demonstrações Financeiras referentes ao exercício findo em 31 de dezembro de 2016, acompanhados das notas explicativas e da proposta de destinação do resultado do exercício; e tomou conhecimento do relatório da BDO Auditores Independentes, emitido sem ressalvas. O </w:t>
            </w:r>
            <w:smartTag w:uri="urn:schemas-microsoft-com:office:smarttags" w:element="PersonName">
              <w:smartTagPr>
                <w:attr w:name="ProductID" w:val="Conselho de Administra￧￣o"/>
              </w:smartTagPr>
              <w:r w:rsidRPr="00E9008A">
                <w:rPr>
                  <w:b w:val="0"/>
                  <w:sz w:val="24"/>
                  <w:szCs w:val="24"/>
                </w:rPr>
                <w:t>Conselho de Administração</w:t>
              </w:r>
            </w:smartTag>
            <w:r w:rsidRPr="00E9008A">
              <w:rPr>
                <w:b w:val="0"/>
                <w:sz w:val="24"/>
                <w:szCs w:val="24"/>
              </w:rPr>
              <w:t xml:space="preserve"> manifestou-se, por maioria, que as peças estão em ordem e adequadas, em seus aspectos relevantes, à exceção dos Conselheiros Marcello Joaquim Pacheco e Rafael </w:t>
            </w:r>
            <w:proofErr w:type="spellStart"/>
            <w:r w:rsidRPr="00E9008A">
              <w:rPr>
                <w:b w:val="0"/>
                <w:sz w:val="24"/>
                <w:szCs w:val="24"/>
              </w:rPr>
              <w:t>Guaragna</w:t>
            </w:r>
            <w:proofErr w:type="spellEnd"/>
            <w:r w:rsidRPr="00E9008A">
              <w:rPr>
                <w:b w:val="0"/>
                <w:sz w:val="24"/>
                <w:szCs w:val="24"/>
              </w:rPr>
              <w:t xml:space="preserve"> Souza, que apresentaram voto</w:t>
            </w:r>
            <w:r w:rsidRPr="00E9008A">
              <w:rPr>
                <w:b w:val="0"/>
                <w:szCs w:val="24"/>
              </w:rPr>
              <w:t xml:space="preserve"> conjunto e </w:t>
            </w:r>
            <w:r w:rsidRPr="00E9008A">
              <w:rPr>
                <w:b w:val="0"/>
                <w:sz w:val="24"/>
                <w:szCs w:val="24"/>
              </w:rPr>
              <w:t xml:space="preserve">apartado, e do Conselheiro Ari Joaquim da Silva que não exerceu o direito de voto, e </w:t>
            </w:r>
            <w:r w:rsidRPr="00E9008A">
              <w:rPr>
                <w:sz w:val="24"/>
                <w:szCs w:val="24"/>
              </w:rPr>
              <w:t>DECIDIU</w:t>
            </w:r>
            <w:r w:rsidRPr="00E9008A">
              <w:rPr>
                <w:b w:val="0"/>
                <w:sz w:val="24"/>
                <w:szCs w:val="24"/>
              </w:rPr>
              <w:t xml:space="preserve"> submetê-las à deliberação da Assembleia Geral Ordinária dos acionistas da Companhia.</w:t>
            </w:r>
          </w:p>
        </w:tc>
      </w:tr>
    </w:tbl>
    <w:p w:rsidR="00E9008A" w:rsidRDefault="00E9008A" w:rsidP="00E9008A">
      <w:pPr>
        <w:ind w:left="2268" w:hanging="2268"/>
        <w:rPr>
          <w:sz w:val="23"/>
        </w:rPr>
      </w:pPr>
    </w:p>
    <w:p w:rsidR="00E9008A" w:rsidRDefault="00E9008A" w:rsidP="00E9008A">
      <w:pPr>
        <w:ind w:right="-290"/>
        <w:jc w:val="center"/>
        <w:rPr>
          <w:rFonts w:cs="Arial"/>
          <w:bCs/>
          <w:iCs/>
          <w:sz w:val="18"/>
        </w:rPr>
      </w:pPr>
    </w:p>
    <w:p w:rsidR="00E9008A" w:rsidRDefault="00E9008A" w:rsidP="00E9008A">
      <w:pPr>
        <w:pStyle w:val="Corpodetexto"/>
        <w:rPr>
          <w:b w:val="0"/>
          <w:bCs w:val="0"/>
          <w:i/>
          <w:iCs/>
        </w:rPr>
      </w:pPr>
    </w:p>
    <w:tbl>
      <w:tblPr>
        <w:tblW w:w="10206" w:type="dxa"/>
        <w:tblInd w:w="-497" w:type="dxa"/>
        <w:tblCellMar>
          <w:left w:w="70" w:type="dxa"/>
          <w:right w:w="70" w:type="dxa"/>
        </w:tblCellMar>
        <w:tblLook w:val="0000" w:firstRow="0" w:lastRow="0" w:firstColumn="0" w:lastColumn="0" w:noHBand="0" w:noVBand="0"/>
      </w:tblPr>
      <w:tblGrid>
        <w:gridCol w:w="6096"/>
        <w:gridCol w:w="4110"/>
      </w:tblGrid>
      <w:tr w:rsidR="00E9008A" w:rsidRPr="00D4311C" w:rsidTr="005B7D01">
        <w:tc>
          <w:tcPr>
            <w:tcW w:w="6096" w:type="dxa"/>
          </w:tcPr>
          <w:p w:rsidR="00E9008A" w:rsidRPr="00E9008A" w:rsidRDefault="00E9008A" w:rsidP="00E9008A">
            <w:pPr>
              <w:ind w:left="2127" w:right="-285" w:hanging="2127"/>
              <w:rPr>
                <w:sz w:val="24"/>
                <w:szCs w:val="24"/>
              </w:rPr>
            </w:pPr>
            <w:r w:rsidRPr="00E9008A">
              <w:rPr>
                <w:sz w:val="24"/>
                <w:szCs w:val="24"/>
              </w:rPr>
              <w:t>FRANCISCO AURÉLIO SAMPAIO SANTIAGO</w:t>
            </w:r>
          </w:p>
        </w:tc>
        <w:tc>
          <w:tcPr>
            <w:tcW w:w="4110" w:type="dxa"/>
          </w:tcPr>
          <w:p w:rsidR="00E9008A" w:rsidRPr="00D4311C" w:rsidRDefault="00E9008A" w:rsidP="00E9008A">
            <w:pPr>
              <w:ind w:right="-285"/>
              <w:rPr>
                <w:sz w:val="24"/>
                <w:szCs w:val="24"/>
              </w:rPr>
            </w:pPr>
            <w:r w:rsidRPr="00E9008A">
              <w:rPr>
                <w:sz w:val="24"/>
                <w:szCs w:val="24"/>
              </w:rPr>
              <w:t>ARI JOAQUIM DA SILVA</w:t>
            </w:r>
          </w:p>
        </w:tc>
      </w:tr>
    </w:tbl>
    <w:p w:rsidR="00E9008A" w:rsidRPr="00D4311C" w:rsidRDefault="00E9008A" w:rsidP="00E9008A">
      <w:pPr>
        <w:ind w:left="2268" w:hanging="2268"/>
        <w:rPr>
          <w:sz w:val="24"/>
          <w:szCs w:val="24"/>
        </w:rPr>
      </w:pPr>
    </w:p>
    <w:p w:rsidR="00E9008A" w:rsidRPr="00D4311C" w:rsidRDefault="00E9008A" w:rsidP="00E9008A">
      <w:pPr>
        <w:ind w:left="2268" w:hanging="2268"/>
        <w:rPr>
          <w:sz w:val="24"/>
          <w:szCs w:val="24"/>
        </w:rPr>
      </w:pPr>
    </w:p>
    <w:p w:rsidR="00E9008A" w:rsidRPr="00D4311C" w:rsidRDefault="00E9008A" w:rsidP="00E9008A">
      <w:pPr>
        <w:ind w:left="2268" w:hanging="2268"/>
        <w:rPr>
          <w:sz w:val="24"/>
          <w:szCs w:val="24"/>
        </w:rPr>
      </w:pPr>
    </w:p>
    <w:tbl>
      <w:tblPr>
        <w:tblW w:w="10206" w:type="dxa"/>
        <w:tblInd w:w="-497" w:type="dxa"/>
        <w:tblCellMar>
          <w:left w:w="70" w:type="dxa"/>
          <w:right w:w="70" w:type="dxa"/>
        </w:tblCellMar>
        <w:tblLook w:val="0000" w:firstRow="0" w:lastRow="0" w:firstColumn="0" w:lastColumn="0" w:noHBand="0" w:noVBand="0"/>
      </w:tblPr>
      <w:tblGrid>
        <w:gridCol w:w="4820"/>
        <w:gridCol w:w="5386"/>
      </w:tblGrid>
      <w:tr w:rsidR="00E9008A" w:rsidRPr="00D4311C" w:rsidTr="005B7D01">
        <w:tc>
          <w:tcPr>
            <w:tcW w:w="4820" w:type="dxa"/>
          </w:tcPr>
          <w:p w:rsidR="00E9008A" w:rsidRPr="00D4311C" w:rsidRDefault="00E9008A" w:rsidP="005B7D01">
            <w:pPr>
              <w:ind w:left="2127" w:right="-285" w:hanging="2127"/>
              <w:rPr>
                <w:sz w:val="24"/>
                <w:szCs w:val="24"/>
              </w:rPr>
            </w:pPr>
            <w:r>
              <w:rPr>
                <w:sz w:val="24"/>
                <w:szCs w:val="24"/>
              </w:rPr>
              <w:t>EDUARDO LEVY CARDOSO MOREIRA</w:t>
            </w:r>
          </w:p>
        </w:tc>
        <w:tc>
          <w:tcPr>
            <w:tcW w:w="5386" w:type="dxa"/>
          </w:tcPr>
          <w:p w:rsidR="00E9008A" w:rsidRPr="00D4311C" w:rsidRDefault="00E9008A" w:rsidP="00E9008A">
            <w:pPr>
              <w:jc w:val="center"/>
              <w:rPr>
                <w:sz w:val="24"/>
                <w:szCs w:val="24"/>
              </w:rPr>
            </w:pPr>
            <w:r>
              <w:rPr>
                <w:sz w:val="24"/>
                <w:szCs w:val="24"/>
              </w:rPr>
              <w:t xml:space="preserve">               ENÉAS FERNANDES DE AGUIAR</w:t>
            </w:r>
          </w:p>
        </w:tc>
      </w:tr>
    </w:tbl>
    <w:p w:rsidR="00E9008A" w:rsidRPr="00D4311C" w:rsidRDefault="00E9008A" w:rsidP="00E9008A">
      <w:pPr>
        <w:ind w:left="2268" w:hanging="2268"/>
        <w:rPr>
          <w:sz w:val="24"/>
          <w:szCs w:val="24"/>
        </w:rPr>
      </w:pPr>
    </w:p>
    <w:p w:rsidR="00E9008A" w:rsidRPr="00D4311C" w:rsidRDefault="00E9008A" w:rsidP="00E9008A">
      <w:pPr>
        <w:ind w:left="2268" w:hanging="2268"/>
        <w:rPr>
          <w:sz w:val="24"/>
          <w:szCs w:val="24"/>
        </w:rPr>
      </w:pPr>
    </w:p>
    <w:p w:rsidR="00E9008A" w:rsidRPr="00D4311C" w:rsidRDefault="00E9008A" w:rsidP="00E9008A">
      <w:pPr>
        <w:ind w:left="2268" w:hanging="2268"/>
        <w:rPr>
          <w:sz w:val="24"/>
          <w:szCs w:val="24"/>
        </w:rPr>
      </w:pPr>
    </w:p>
    <w:tbl>
      <w:tblPr>
        <w:tblW w:w="10206" w:type="dxa"/>
        <w:tblInd w:w="-497" w:type="dxa"/>
        <w:tblCellMar>
          <w:left w:w="70" w:type="dxa"/>
          <w:right w:w="70" w:type="dxa"/>
        </w:tblCellMar>
        <w:tblLook w:val="0000" w:firstRow="0" w:lastRow="0" w:firstColumn="0" w:lastColumn="0" w:noHBand="0" w:noVBand="0"/>
      </w:tblPr>
      <w:tblGrid>
        <w:gridCol w:w="4962"/>
        <w:gridCol w:w="5244"/>
      </w:tblGrid>
      <w:tr w:rsidR="00E9008A" w:rsidRPr="00D4311C" w:rsidTr="005B7D01">
        <w:tc>
          <w:tcPr>
            <w:tcW w:w="4962" w:type="dxa"/>
          </w:tcPr>
          <w:p w:rsidR="00E9008A" w:rsidRPr="00D4311C" w:rsidRDefault="00E9008A" w:rsidP="005B7D01">
            <w:pPr>
              <w:ind w:left="2127" w:right="-285" w:hanging="2127"/>
              <w:rPr>
                <w:sz w:val="24"/>
                <w:szCs w:val="24"/>
              </w:rPr>
            </w:pPr>
            <w:r>
              <w:rPr>
                <w:rFonts w:cs="Arial"/>
                <w:bCs/>
                <w:iCs/>
                <w:sz w:val="24"/>
                <w:szCs w:val="24"/>
              </w:rPr>
              <w:t>JOSÉ JORGE DE VASCONCELOS LIMA</w:t>
            </w:r>
          </w:p>
        </w:tc>
        <w:tc>
          <w:tcPr>
            <w:tcW w:w="5244" w:type="dxa"/>
          </w:tcPr>
          <w:p w:rsidR="00E9008A" w:rsidRPr="00D4311C" w:rsidRDefault="00E9008A" w:rsidP="00E9008A">
            <w:pPr>
              <w:jc w:val="center"/>
              <w:rPr>
                <w:sz w:val="24"/>
                <w:szCs w:val="24"/>
              </w:rPr>
            </w:pPr>
            <w:r>
              <w:rPr>
                <w:sz w:val="24"/>
                <w:szCs w:val="24"/>
              </w:rPr>
              <w:t xml:space="preserve">            MARCELLO JOAQUIM PACHECO</w:t>
            </w:r>
          </w:p>
        </w:tc>
      </w:tr>
    </w:tbl>
    <w:p w:rsidR="00E9008A" w:rsidRPr="00D4311C" w:rsidRDefault="00E9008A" w:rsidP="00E9008A">
      <w:pPr>
        <w:ind w:left="2268" w:hanging="2268"/>
        <w:rPr>
          <w:b/>
          <w:sz w:val="24"/>
          <w:szCs w:val="24"/>
        </w:rPr>
      </w:pPr>
    </w:p>
    <w:p w:rsidR="00E9008A" w:rsidRDefault="00E9008A" w:rsidP="00E9008A">
      <w:pPr>
        <w:ind w:left="2268" w:hanging="2268"/>
        <w:rPr>
          <w:b/>
          <w:sz w:val="24"/>
          <w:szCs w:val="24"/>
        </w:rPr>
      </w:pPr>
    </w:p>
    <w:p w:rsidR="00E9008A" w:rsidRDefault="00E9008A" w:rsidP="00E9008A">
      <w:pPr>
        <w:ind w:left="2268" w:hanging="2268"/>
        <w:rPr>
          <w:b/>
          <w:sz w:val="24"/>
          <w:szCs w:val="24"/>
        </w:rPr>
      </w:pPr>
    </w:p>
    <w:tbl>
      <w:tblPr>
        <w:tblW w:w="10206" w:type="dxa"/>
        <w:tblInd w:w="-497" w:type="dxa"/>
        <w:tblCellMar>
          <w:left w:w="70" w:type="dxa"/>
          <w:right w:w="70" w:type="dxa"/>
        </w:tblCellMar>
        <w:tblLook w:val="0000" w:firstRow="0" w:lastRow="0" w:firstColumn="0" w:lastColumn="0" w:noHBand="0" w:noVBand="0"/>
      </w:tblPr>
      <w:tblGrid>
        <w:gridCol w:w="4962"/>
        <w:gridCol w:w="5244"/>
      </w:tblGrid>
      <w:tr w:rsidR="00E9008A" w:rsidRPr="00D4311C" w:rsidTr="005B7D01">
        <w:tc>
          <w:tcPr>
            <w:tcW w:w="4962" w:type="dxa"/>
          </w:tcPr>
          <w:p w:rsidR="00E9008A" w:rsidRPr="00D4311C" w:rsidRDefault="00E9008A" w:rsidP="005B7D01">
            <w:pPr>
              <w:ind w:left="2127" w:right="-285" w:hanging="2127"/>
              <w:rPr>
                <w:sz w:val="24"/>
                <w:szCs w:val="24"/>
              </w:rPr>
            </w:pPr>
            <w:r>
              <w:rPr>
                <w:rFonts w:cs="Arial"/>
                <w:bCs/>
                <w:iCs/>
                <w:sz w:val="24"/>
                <w:szCs w:val="24"/>
              </w:rPr>
              <w:t>RAFAEL GUARAGNA SOUZA</w:t>
            </w:r>
          </w:p>
        </w:tc>
        <w:tc>
          <w:tcPr>
            <w:tcW w:w="5244" w:type="dxa"/>
          </w:tcPr>
          <w:p w:rsidR="00E9008A" w:rsidRPr="00D4311C" w:rsidRDefault="00E9008A" w:rsidP="00E9008A">
            <w:pPr>
              <w:jc w:val="center"/>
              <w:rPr>
                <w:sz w:val="24"/>
                <w:szCs w:val="24"/>
              </w:rPr>
            </w:pPr>
            <w:r>
              <w:rPr>
                <w:sz w:val="24"/>
                <w:szCs w:val="24"/>
              </w:rPr>
              <w:t xml:space="preserve">           RICARDO BERNARDO DA SILVA</w:t>
            </w:r>
          </w:p>
        </w:tc>
      </w:tr>
    </w:tbl>
    <w:p w:rsidR="00E9008A" w:rsidRPr="00D4311C" w:rsidRDefault="00E9008A" w:rsidP="00E9008A">
      <w:pPr>
        <w:ind w:left="2268" w:hanging="2268"/>
        <w:rPr>
          <w:b/>
          <w:sz w:val="24"/>
          <w:szCs w:val="24"/>
        </w:rPr>
      </w:pPr>
    </w:p>
    <w:p w:rsidR="00E9008A" w:rsidRDefault="00E9008A" w:rsidP="00E9008A">
      <w:pPr>
        <w:ind w:left="2268" w:hanging="2268"/>
        <w:rPr>
          <w:b/>
          <w:sz w:val="24"/>
          <w:szCs w:val="24"/>
        </w:rPr>
      </w:pPr>
    </w:p>
    <w:p w:rsidR="00E9008A" w:rsidRPr="00D4311C" w:rsidRDefault="00E9008A" w:rsidP="00E9008A">
      <w:pPr>
        <w:ind w:left="2268" w:hanging="2268"/>
        <w:rPr>
          <w:b/>
          <w:sz w:val="24"/>
          <w:szCs w:val="24"/>
        </w:rPr>
      </w:pPr>
    </w:p>
    <w:tbl>
      <w:tblPr>
        <w:tblW w:w="5386" w:type="dxa"/>
        <w:jc w:val="center"/>
        <w:tblCellMar>
          <w:left w:w="70" w:type="dxa"/>
          <w:right w:w="70" w:type="dxa"/>
        </w:tblCellMar>
        <w:tblLook w:val="0000" w:firstRow="0" w:lastRow="0" w:firstColumn="0" w:lastColumn="0" w:noHBand="0" w:noVBand="0"/>
      </w:tblPr>
      <w:tblGrid>
        <w:gridCol w:w="5386"/>
      </w:tblGrid>
      <w:tr w:rsidR="00E9008A" w:rsidRPr="00D4311C" w:rsidTr="005B7D01">
        <w:trPr>
          <w:jc w:val="center"/>
        </w:trPr>
        <w:tc>
          <w:tcPr>
            <w:tcW w:w="5386" w:type="dxa"/>
          </w:tcPr>
          <w:p w:rsidR="00E9008A" w:rsidRPr="00D4311C" w:rsidRDefault="00E9008A" w:rsidP="005B7D01">
            <w:pPr>
              <w:jc w:val="center"/>
              <w:rPr>
                <w:sz w:val="24"/>
                <w:szCs w:val="24"/>
              </w:rPr>
            </w:pPr>
            <w:r>
              <w:rPr>
                <w:sz w:val="24"/>
                <w:szCs w:val="24"/>
              </w:rPr>
              <w:t>SAVIO DE FARIA CARAM ZUQUIM</w:t>
            </w:r>
          </w:p>
        </w:tc>
      </w:tr>
    </w:tbl>
    <w:p w:rsidR="00E9008A" w:rsidRDefault="00E9008A">
      <w:pPr>
        <w:rPr>
          <w:sz w:val="22"/>
          <w:szCs w:val="22"/>
        </w:rPr>
      </w:pPr>
    </w:p>
    <w:p w:rsidR="00E9008A" w:rsidRDefault="00E9008A">
      <w:pPr>
        <w:rPr>
          <w:sz w:val="22"/>
          <w:szCs w:val="22"/>
        </w:rPr>
      </w:pPr>
      <w:r>
        <w:rPr>
          <w:sz w:val="22"/>
          <w:szCs w:val="22"/>
        </w:rPr>
        <w:br w:type="page"/>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2"/>
        <w:gridCol w:w="7673"/>
      </w:tblGrid>
      <w:tr w:rsidR="00E9008A" w:rsidTr="00E9008A">
        <w:trPr>
          <w:cantSplit/>
          <w:trHeight w:val="997"/>
        </w:trPr>
        <w:tc>
          <w:tcPr>
            <w:tcW w:w="2392" w:type="dxa"/>
            <w:tcBorders>
              <w:top w:val="nil"/>
              <w:left w:val="nil"/>
              <w:bottom w:val="nil"/>
              <w:right w:val="nil"/>
            </w:tcBorders>
            <w:shd w:val="clear" w:color="auto" w:fill="F3F3F3"/>
            <w:vAlign w:val="center"/>
          </w:tcPr>
          <w:p w:rsidR="00E9008A" w:rsidRDefault="00E9008A" w:rsidP="005B7D01">
            <w:pPr>
              <w:pStyle w:val="Cabealho"/>
              <w:jc w:val="center"/>
            </w:pPr>
            <w:r>
              <w:object w:dxaOrig="5010" w:dyaOrig="2265">
                <v:shape id="_x0000_i1030" type="#_x0000_t75" style="width:95.85pt;height:44.9pt" o:ole="" fillcolor="window">
                  <v:imagedata r:id="rId70" o:title=""/>
                </v:shape>
                <o:OLEObject Type="Embed" ProgID="PBrush" ShapeID="_x0000_i1030" DrawAspect="Content" ObjectID="_1552223591" r:id="rId73"/>
              </w:object>
            </w:r>
          </w:p>
        </w:tc>
        <w:tc>
          <w:tcPr>
            <w:tcW w:w="7673" w:type="dxa"/>
            <w:tcBorders>
              <w:top w:val="nil"/>
              <w:left w:val="nil"/>
              <w:bottom w:val="nil"/>
              <w:right w:val="nil"/>
            </w:tcBorders>
            <w:shd w:val="clear" w:color="auto" w:fill="F3F3F3"/>
            <w:vAlign w:val="center"/>
          </w:tcPr>
          <w:p w:rsidR="00E9008A" w:rsidRPr="00E9008A" w:rsidRDefault="00E9008A" w:rsidP="005B7D01">
            <w:pPr>
              <w:pStyle w:val="Ttulo7"/>
              <w:spacing w:before="140" w:after="80"/>
              <w:ind w:left="170"/>
              <w:rPr>
                <w:rFonts w:ascii="Times New Roman" w:hAnsi="Times New Roman" w:cs="Times New Roman"/>
                <w:b w:val="0"/>
                <w:smallCaps/>
                <w:spacing w:val="40"/>
                <w:sz w:val="28"/>
                <w:szCs w:val="28"/>
              </w:rPr>
            </w:pPr>
            <w:r w:rsidRPr="00E9008A">
              <w:rPr>
                <w:rFonts w:ascii="Times New Roman" w:hAnsi="Times New Roman" w:cs="Times New Roman"/>
                <w:b w:val="0"/>
                <w:smallCaps/>
                <w:spacing w:val="40"/>
                <w:sz w:val="28"/>
                <w:szCs w:val="28"/>
              </w:rPr>
              <w:t>Companhia Energética de Brasília - CEB</w:t>
            </w:r>
          </w:p>
          <w:p w:rsidR="00E9008A" w:rsidRDefault="00E9008A" w:rsidP="005B7D01">
            <w:pPr>
              <w:pStyle w:val="Ttulo7"/>
              <w:spacing w:before="140" w:after="80"/>
              <w:ind w:left="170"/>
              <w:rPr>
                <w:b w:val="0"/>
                <w:smallCaps/>
                <w:sz w:val="44"/>
              </w:rPr>
            </w:pPr>
            <w:r w:rsidRPr="00E9008A">
              <w:rPr>
                <w:rFonts w:ascii="Times New Roman" w:hAnsi="Times New Roman" w:cs="Times New Roman"/>
                <w:b w:val="0"/>
                <w:smallCaps/>
                <w:spacing w:val="40"/>
                <w:sz w:val="44"/>
              </w:rPr>
              <w:t>Conselho Fiscal</w:t>
            </w:r>
          </w:p>
        </w:tc>
      </w:tr>
    </w:tbl>
    <w:p w:rsidR="00E9008A" w:rsidRPr="00E9008A" w:rsidRDefault="00E9008A" w:rsidP="00E9008A">
      <w:pPr>
        <w:jc w:val="center"/>
        <w:rPr>
          <w:b/>
          <w:sz w:val="28"/>
        </w:rPr>
      </w:pPr>
      <w:r w:rsidRPr="00E9008A">
        <w:rPr>
          <w:b/>
          <w:sz w:val="28"/>
        </w:rPr>
        <w:t xml:space="preserve">PARECER DO CONSELHO FISCAL </w:t>
      </w:r>
    </w:p>
    <w:p w:rsidR="00E9008A" w:rsidRPr="00E9008A" w:rsidRDefault="00E9008A" w:rsidP="00E9008A">
      <w:pPr>
        <w:rPr>
          <w:sz w:val="24"/>
        </w:rPr>
      </w:pPr>
    </w:p>
    <w:p w:rsidR="00E9008A" w:rsidRPr="00E9008A" w:rsidRDefault="00E9008A" w:rsidP="00E9008A">
      <w:pPr>
        <w:jc w:val="both"/>
        <w:rPr>
          <w:sz w:val="24"/>
        </w:rPr>
      </w:pPr>
    </w:p>
    <w:p w:rsidR="00E9008A" w:rsidRPr="00E9008A" w:rsidRDefault="00E9008A" w:rsidP="00E9008A">
      <w:pPr>
        <w:pStyle w:val="Textoembloco"/>
        <w:ind w:left="0" w:right="0" w:firstLine="1134"/>
        <w:rPr>
          <w:rFonts w:ascii="Times New Roman" w:hAnsi="Times New Roman" w:cs="Times New Roman"/>
        </w:rPr>
      </w:pPr>
      <w:r w:rsidRPr="00E9008A">
        <w:rPr>
          <w:rFonts w:ascii="Times New Roman" w:hAnsi="Times New Roman" w:cs="Times New Roman"/>
        </w:rPr>
        <w:t xml:space="preserve">O Conselho Fiscal da Companhia Energética de Brasília - CEB, no âmbito das suas atribuições legais e estatutárias, conheceu o Relatório Anual da Administração referente ao exercício de 2016, e examinou o Balanço Patrimonial Individual e Consolidado da Companhia Energética de Brasília - CEB, levantados em 31 de dezembro de 2016, as respectivas Demonstrações de Resultados, das mutações do patrimônio líquido e dos fluxos de caixa. As peças foram apresentadas de forma comparativa àquelas encerradas no exercício findo em 31 de dezembro de 2015, todas elaboradas de acordo com a Lei das Sociedades Anônimas, instruções da CVM, normas reguladoras do Tribunal de Contas do Distrito Federal e </w:t>
      </w:r>
      <w:r w:rsidRPr="00E9008A">
        <w:rPr>
          <w:rFonts w:ascii="Times New Roman" w:hAnsi="Times New Roman" w:cs="Times New Roman"/>
          <w:szCs w:val="24"/>
        </w:rPr>
        <w:t xml:space="preserve">Normas Internacionais de Relatório Financeiro (IFRS) emitidas pelo </w:t>
      </w:r>
      <w:proofErr w:type="spellStart"/>
      <w:r w:rsidRPr="00E9008A">
        <w:rPr>
          <w:rFonts w:ascii="Times New Roman" w:hAnsi="Times New Roman" w:cs="Times New Roman"/>
          <w:szCs w:val="24"/>
        </w:rPr>
        <w:t>International</w:t>
      </w:r>
      <w:proofErr w:type="spellEnd"/>
      <w:r w:rsidRPr="00E9008A">
        <w:rPr>
          <w:rFonts w:ascii="Times New Roman" w:hAnsi="Times New Roman" w:cs="Times New Roman"/>
          <w:szCs w:val="24"/>
        </w:rPr>
        <w:t xml:space="preserve"> </w:t>
      </w:r>
      <w:proofErr w:type="spellStart"/>
      <w:r w:rsidRPr="00E9008A">
        <w:rPr>
          <w:rFonts w:ascii="Times New Roman" w:hAnsi="Times New Roman" w:cs="Times New Roman"/>
          <w:szCs w:val="24"/>
        </w:rPr>
        <w:t>Accouting</w:t>
      </w:r>
      <w:proofErr w:type="spellEnd"/>
      <w:r w:rsidRPr="00E9008A">
        <w:rPr>
          <w:rFonts w:ascii="Times New Roman" w:hAnsi="Times New Roman" w:cs="Times New Roman"/>
          <w:szCs w:val="24"/>
        </w:rPr>
        <w:t xml:space="preserve"> Standards </w:t>
      </w:r>
      <w:proofErr w:type="spellStart"/>
      <w:r w:rsidRPr="00E9008A">
        <w:rPr>
          <w:rFonts w:ascii="Times New Roman" w:hAnsi="Times New Roman" w:cs="Times New Roman"/>
          <w:szCs w:val="24"/>
        </w:rPr>
        <w:t>Board</w:t>
      </w:r>
      <w:proofErr w:type="spellEnd"/>
      <w:r w:rsidRPr="00E9008A">
        <w:rPr>
          <w:rFonts w:ascii="Times New Roman" w:hAnsi="Times New Roman" w:cs="Times New Roman"/>
          <w:szCs w:val="24"/>
        </w:rPr>
        <w:t xml:space="preserve"> (IASB). O Colegiado tomou conhecimento do parecer da BDO Auditores Independentes, emitido sem ressalvas.  </w:t>
      </w:r>
    </w:p>
    <w:p w:rsidR="00E9008A" w:rsidRPr="00E9008A" w:rsidRDefault="00E9008A" w:rsidP="00E9008A">
      <w:pPr>
        <w:pStyle w:val="Textoembloco"/>
        <w:ind w:left="0" w:right="0"/>
        <w:rPr>
          <w:rFonts w:ascii="Times New Roman" w:hAnsi="Times New Roman" w:cs="Times New Roman"/>
          <w:szCs w:val="24"/>
        </w:rPr>
      </w:pPr>
    </w:p>
    <w:p w:rsidR="00E9008A" w:rsidRPr="00E9008A" w:rsidRDefault="00E9008A" w:rsidP="00E9008A">
      <w:pPr>
        <w:pStyle w:val="Textoembloco"/>
        <w:ind w:left="0" w:right="0" w:firstLine="1134"/>
        <w:rPr>
          <w:rFonts w:ascii="Times New Roman" w:hAnsi="Times New Roman" w:cs="Times New Roman"/>
          <w:szCs w:val="24"/>
        </w:rPr>
      </w:pPr>
      <w:r w:rsidRPr="00E9008A">
        <w:rPr>
          <w:rFonts w:ascii="Times New Roman" w:hAnsi="Times New Roman" w:cs="Times New Roman"/>
          <w:szCs w:val="24"/>
        </w:rPr>
        <w:t xml:space="preserve">Com base nos documentos apresentados e no relatório dos auditores independentes sobre as demonstrações financeiras, o Conselho Fiscal concluiu, por maioria, à exceção dos Conselheiros </w:t>
      </w:r>
      <w:proofErr w:type="spellStart"/>
      <w:r w:rsidRPr="00E9008A">
        <w:rPr>
          <w:rFonts w:ascii="Times New Roman" w:hAnsi="Times New Roman" w:cs="Times New Roman"/>
          <w:szCs w:val="24"/>
        </w:rPr>
        <w:t>Luis</w:t>
      </w:r>
      <w:proofErr w:type="spellEnd"/>
      <w:r w:rsidRPr="00E9008A">
        <w:rPr>
          <w:rFonts w:ascii="Times New Roman" w:hAnsi="Times New Roman" w:cs="Times New Roman"/>
          <w:szCs w:val="24"/>
        </w:rPr>
        <w:t xml:space="preserve"> </w:t>
      </w:r>
      <w:proofErr w:type="spellStart"/>
      <w:r w:rsidRPr="00E9008A">
        <w:rPr>
          <w:rFonts w:ascii="Times New Roman" w:hAnsi="Times New Roman" w:cs="Times New Roman"/>
          <w:szCs w:val="24"/>
        </w:rPr>
        <w:t>Antonio</w:t>
      </w:r>
      <w:proofErr w:type="spellEnd"/>
      <w:r w:rsidRPr="00E9008A">
        <w:rPr>
          <w:rFonts w:ascii="Times New Roman" w:hAnsi="Times New Roman" w:cs="Times New Roman"/>
          <w:szCs w:val="24"/>
        </w:rPr>
        <w:t xml:space="preserve"> Esteves Noel e </w:t>
      </w:r>
      <w:proofErr w:type="spellStart"/>
      <w:r w:rsidRPr="00E9008A">
        <w:rPr>
          <w:rFonts w:ascii="Times New Roman" w:hAnsi="Times New Roman" w:cs="Times New Roman"/>
          <w:szCs w:val="24"/>
        </w:rPr>
        <w:t>Oldair</w:t>
      </w:r>
      <w:proofErr w:type="spellEnd"/>
      <w:r w:rsidRPr="00E9008A">
        <w:rPr>
          <w:rFonts w:ascii="Times New Roman" w:hAnsi="Times New Roman" w:cs="Times New Roman"/>
          <w:szCs w:val="24"/>
        </w:rPr>
        <w:t xml:space="preserve"> Geraldo Gomes, que apresentaram votos apartados, que as peças estão em ordem e adequadas, em seus aspectos relevantes, sendo de opinião que se encontram em condições de serem submetidas à deliberação final da Assembleia Geral Ordinária da Companhia Energética de Brasília - CEB.</w:t>
      </w:r>
    </w:p>
    <w:p w:rsidR="00E9008A" w:rsidRPr="00E9008A" w:rsidRDefault="00E9008A" w:rsidP="00E9008A">
      <w:pPr>
        <w:pStyle w:val="Textoembloco"/>
        <w:ind w:left="0" w:right="0" w:firstLine="1418"/>
        <w:rPr>
          <w:rFonts w:ascii="Times New Roman" w:hAnsi="Times New Roman" w:cs="Times New Roman"/>
        </w:rPr>
      </w:pPr>
    </w:p>
    <w:p w:rsidR="00E9008A" w:rsidRPr="00E9008A" w:rsidRDefault="00E9008A" w:rsidP="00E9008A">
      <w:pPr>
        <w:pStyle w:val="Textoembloco"/>
        <w:ind w:left="0" w:right="0" w:firstLine="1134"/>
        <w:rPr>
          <w:rFonts w:ascii="Times New Roman" w:hAnsi="Times New Roman" w:cs="Times New Roman"/>
          <w:szCs w:val="24"/>
        </w:rPr>
      </w:pPr>
      <w:r w:rsidRPr="00E9008A">
        <w:rPr>
          <w:rFonts w:ascii="Times New Roman" w:hAnsi="Times New Roman" w:cs="Times New Roman"/>
          <w:szCs w:val="24"/>
        </w:rPr>
        <w:t xml:space="preserve">Em cumprimento ao disposto na Resolução nº 38/1990-TCDF, o Conselho Fiscal verificou não existirem nos registros contábeis da Companhia, irregularidades apuradas no exame realizado, encontrando-se normal a situação dos dirigentes responsáveis perante os cofres da empresa, até a presente data. </w:t>
      </w:r>
    </w:p>
    <w:p w:rsidR="00E9008A" w:rsidRPr="00E9008A" w:rsidRDefault="00E9008A" w:rsidP="00E9008A">
      <w:pPr>
        <w:jc w:val="center"/>
        <w:rPr>
          <w:sz w:val="24"/>
        </w:rPr>
      </w:pPr>
    </w:p>
    <w:p w:rsidR="00E9008A" w:rsidRPr="00E9008A" w:rsidRDefault="00E9008A" w:rsidP="00E9008A">
      <w:pPr>
        <w:jc w:val="center"/>
        <w:rPr>
          <w:sz w:val="24"/>
        </w:rPr>
      </w:pPr>
    </w:p>
    <w:p w:rsidR="00E9008A" w:rsidRPr="00E9008A" w:rsidRDefault="00E9008A" w:rsidP="00E9008A">
      <w:pPr>
        <w:jc w:val="center"/>
        <w:rPr>
          <w:sz w:val="24"/>
        </w:rPr>
      </w:pPr>
      <w:r w:rsidRPr="00E9008A">
        <w:rPr>
          <w:sz w:val="24"/>
        </w:rPr>
        <w:t>Brasília, 27 de março de 2017.</w:t>
      </w:r>
    </w:p>
    <w:p w:rsidR="00E9008A" w:rsidRPr="00E9008A" w:rsidRDefault="00E9008A" w:rsidP="00E9008A">
      <w:pPr>
        <w:jc w:val="center"/>
        <w:rPr>
          <w:sz w:val="24"/>
        </w:rPr>
      </w:pPr>
    </w:p>
    <w:p w:rsidR="00E9008A" w:rsidRPr="00E9008A" w:rsidRDefault="00E9008A" w:rsidP="00E9008A">
      <w:pPr>
        <w:jc w:val="center"/>
        <w:rPr>
          <w:sz w:val="24"/>
        </w:rPr>
      </w:pPr>
    </w:p>
    <w:p w:rsidR="00E9008A" w:rsidRPr="00E9008A" w:rsidRDefault="00E9008A" w:rsidP="00E9008A">
      <w:pPr>
        <w:jc w:val="center"/>
        <w:rPr>
          <w:sz w:val="24"/>
        </w:rPr>
      </w:pPr>
    </w:p>
    <w:p w:rsidR="00E9008A" w:rsidRPr="00E9008A" w:rsidRDefault="00E9008A" w:rsidP="00E9008A">
      <w:pPr>
        <w:jc w:val="center"/>
        <w:rPr>
          <w:sz w:val="24"/>
          <w:szCs w:val="24"/>
        </w:rPr>
      </w:pPr>
      <w:r w:rsidRPr="00E9008A">
        <w:rPr>
          <w:sz w:val="24"/>
          <w:szCs w:val="24"/>
        </w:rPr>
        <w:t>DELMAR CARNEIRO DE AGUIAR</w:t>
      </w:r>
    </w:p>
    <w:p w:rsidR="00E9008A" w:rsidRPr="00E9008A" w:rsidRDefault="00E9008A" w:rsidP="00E9008A">
      <w:pPr>
        <w:jc w:val="both"/>
        <w:rPr>
          <w:sz w:val="24"/>
          <w:szCs w:val="24"/>
        </w:rPr>
      </w:pPr>
    </w:p>
    <w:p w:rsidR="00E9008A" w:rsidRPr="00E9008A" w:rsidRDefault="00E9008A" w:rsidP="00E9008A">
      <w:pPr>
        <w:jc w:val="both"/>
        <w:rPr>
          <w:sz w:val="24"/>
          <w:szCs w:val="24"/>
        </w:rPr>
      </w:pPr>
    </w:p>
    <w:p w:rsidR="00E9008A" w:rsidRPr="00E9008A" w:rsidRDefault="00E9008A" w:rsidP="00E9008A">
      <w:pPr>
        <w:jc w:val="both"/>
        <w:rPr>
          <w:sz w:val="24"/>
          <w:szCs w:val="24"/>
        </w:rPr>
      </w:pPr>
    </w:p>
    <w:tbl>
      <w:tblPr>
        <w:tblW w:w="10065" w:type="dxa"/>
        <w:tblInd w:w="70" w:type="dxa"/>
        <w:tblCellMar>
          <w:left w:w="70" w:type="dxa"/>
          <w:right w:w="70" w:type="dxa"/>
        </w:tblCellMar>
        <w:tblLook w:val="0000" w:firstRow="0" w:lastRow="0" w:firstColumn="0" w:lastColumn="0" w:noHBand="0" w:noVBand="0"/>
      </w:tblPr>
      <w:tblGrid>
        <w:gridCol w:w="5139"/>
        <w:gridCol w:w="4926"/>
      </w:tblGrid>
      <w:tr w:rsidR="00E9008A" w:rsidRPr="00E9008A" w:rsidTr="005B7D01">
        <w:tc>
          <w:tcPr>
            <w:tcW w:w="5139" w:type="dxa"/>
          </w:tcPr>
          <w:p w:rsidR="00E9008A" w:rsidRPr="00E9008A" w:rsidRDefault="00E9008A" w:rsidP="005B7D01">
            <w:pPr>
              <w:rPr>
                <w:sz w:val="24"/>
                <w:szCs w:val="24"/>
              </w:rPr>
            </w:pPr>
            <w:r w:rsidRPr="00E9008A">
              <w:rPr>
                <w:sz w:val="24"/>
                <w:szCs w:val="24"/>
              </w:rPr>
              <w:t>CARLOS EDUARDO DE FREITAS</w:t>
            </w:r>
          </w:p>
        </w:tc>
        <w:tc>
          <w:tcPr>
            <w:tcW w:w="4926" w:type="dxa"/>
          </w:tcPr>
          <w:p w:rsidR="00E9008A" w:rsidRPr="00E9008A" w:rsidRDefault="00E9008A" w:rsidP="005B7D01">
            <w:pPr>
              <w:jc w:val="right"/>
              <w:rPr>
                <w:sz w:val="24"/>
                <w:szCs w:val="24"/>
              </w:rPr>
            </w:pPr>
            <w:r w:rsidRPr="00E9008A">
              <w:rPr>
                <w:sz w:val="24"/>
                <w:szCs w:val="24"/>
              </w:rPr>
              <w:t>JOSÉ AFONSO ZERBINI</w:t>
            </w:r>
          </w:p>
        </w:tc>
      </w:tr>
    </w:tbl>
    <w:p w:rsidR="00E9008A" w:rsidRPr="00E9008A" w:rsidRDefault="00E9008A" w:rsidP="00E9008A">
      <w:pPr>
        <w:jc w:val="both"/>
        <w:rPr>
          <w:sz w:val="24"/>
          <w:szCs w:val="24"/>
        </w:rPr>
      </w:pPr>
    </w:p>
    <w:p w:rsidR="00E9008A" w:rsidRPr="00E9008A" w:rsidRDefault="00E9008A" w:rsidP="00E9008A">
      <w:pPr>
        <w:jc w:val="both"/>
        <w:rPr>
          <w:sz w:val="24"/>
          <w:szCs w:val="24"/>
        </w:rPr>
      </w:pPr>
    </w:p>
    <w:p w:rsidR="00E9008A" w:rsidRPr="00E9008A" w:rsidRDefault="00E9008A" w:rsidP="00E9008A">
      <w:pPr>
        <w:jc w:val="both"/>
        <w:rPr>
          <w:sz w:val="24"/>
          <w:szCs w:val="24"/>
        </w:rPr>
      </w:pPr>
    </w:p>
    <w:tbl>
      <w:tblPr>
        <w:tblW w:w="10065" w:type="dxa"/>
        <w:tblInd w:w="70" w:type="dxa"/>
        <w:tblCellMar>
          <w:left w:w="70" w:type="dxa"/>
          <w:right w:w="70" w:type="dxa"/>
        </w:tblCellMar>
        <w:tblLook w:val="0000" w:firstRow="0" w:lastRow="0" w:firstColumn="0" w:lastColumn="0" w:noHBand="0" w:noVBand="0"/>
      </w:tblPr>
      <w:tblGrid>
        <w:gridCol w:w="5139"/>
        <w:gridCol w:w="4926"/>
      </w:tblGrid>
      <w:tr w:rsidR="00E9008A" w:rsidRPr="00E9008A" w:rsidTr="005B7D01">
        <w:tc>
          <w:tcPr>
            <w:tcW w:w="5139" w:type="dxa"/>
          </w:tcPr>
          <w:p w:rsidR="00E9008A" w:rsidRPr="00E9008A" w:rsidRDefault="00E9008A" w:rsidP="005B7D01">
            <w:pPr>
              <w:rPr>
                <w:sz w:val="24"/>
                <w:szCs w:val="24"/>
              </w:rPr>
            </w:pPr>
            <w:r w:rsidRPr="00E9008A">
              <w:rPr>
                <w:sz w:val="24"/>
                <w:szCs w:val="24"/>
              </w:rPr>
              <w:t>LUIS ANTONIO ESTEVES NOEL</w:t>
            </w:r>
          </w:p>
        </w:tc>
        <w:tc>
          <w:tcPr>
            <w:tcW w:w="4926" w:type="dxa"/>
          </w:tcPr>
          <w:p w:rsidR="00E9008A" w:rsidRPr="00E9008A" w:rsidRDefault="00E9008A" w:rsidP="005B7D01">
            <w:pPr>
              <w:jc w:val="right"/>
              <w:rPr>
                <w:sz w:val="24"/>
                <w:szCs w:val="24"/>
              </w:rPr>
            </w:pPr>
            <w:r w:rsidRPr="00E9008A">
              <w:rPr>
                <w:sz w:val="24"/>
                <w:szCs w:val="24"/>
              </w:rPr>
              <w:t>OLDAIR GERALDO GOMES</w:t>
            </w:r>
          </w:p>
        </w:tc>
      </w:tr>
    </w:tbl>
    <w:p w:rsidR="00FE3FCD" w:rsidRDefault="00FE3FCD" w:rsidP="00AD05E4">
      <w:pPr>
        <w:spacing w:before="240" w:after="240"/>
        <w:jc w:val="both"/>
        <w:rPr>
          <w:sz w:val="22"/>
          <w:szCs w:val="22"/>
        </w:rPr>
      </w:pPr>
    </w:p>
    <w:p w:rsidR="00FE3FCD" w:rsidRDefault="00FE3FCD">
      <w:pPr>
        <w:rPr>
          <w:sz w:val="22"/>
          <w:szCs w:val="22"/>
        </w:rPr>
      </w:pPr>
      <w:r>
        <w:rPr>
          <w:sz w:val="22"/>
          <w:szCs w:val="22"/>
        </w:rPr>
        <w:br w:type="page"/>
      </w:r>
    </w:p>
    <w:p w:rsidR="00490FAC" w:rsidRPr="00622F44" w:rsidRDefault="00490FAC" w:rsidP="00490FAC">
      <w:pPr>
        <w:keepNext/>
        <w:keepLines/>
        <w:rPr>
          <w:rFonts w:ascii="Trebuchet MS" w:hAnsi="Trebuchet MS"/>
          <w:b/>
          <w:color w:val="98002E"/>
          <w:sz w:val="28"/>
          <w:szCs w:val="28"/>
        </w:rPr>
      </w:pPr>
      <w:r w:rsidRPr="00622F44">
        <w:rPr>
          <w:rFonts w:ascii="Trebuchet MS" w:hAnsi="Trebuchet MS"/>
          <w:b/>
          <w:color w:val="98002E"/>
          <w:sz w:val="28"/>
          <w:szCs w:val="28"/>
        </w:rPr>
        <w:lastRenderedPageBreak/>
        <w:t>RELATÓRIO DO AUDITOR INDEPENDENTE SOBRE AS DEMONSTRAÇÕES CONTÁBEIS INDIVIDUAIS E CONSOLIDADAS</w:t>
      </w:r>
    </w:p>
    <w:p w:rsidR="00490FAC" w:rsidRPr="0013389E" w:rsidRDefault="00490FAC" w:rsidP="00490FAC">
      <w:pPr>
        <w:keepNext/>
        <w:keepLines/>
        <w:rPr>
          <w:rFonts w:ascii="Trebuchet MS" w:hAnsi="Trebuchet MS"/>
          <w:b/>
        </w:rPr>
      </w:pPr>
    </w:p>
    <w:p w:rsidR="00490FAC" w:rsidRPr="00AD4309" w:rsidRDefault="00490FAC" w:rsidP="00490FAC">
      <w:pPr>
        <w:keepNext/>
        <w:keepLines/>
        <w:jc w:val="both"/>
        <w:rPr>
          <w:rFonts w:ascii="Trebuchet MS" w:hAnsi="Trebuchet MS"/>
        </w:rPr>
      </w:pPr>
      <w:r w:rsidRPr="00AD4309">
        <w:rPr>
          <w:rFonts w:ascii="Trebuchet MS" w:hAnsi="Trebuchet MS"/>
        </w:rPr>
        <w:t>Aos</w:t>
      </w:r>
    </w:p>
    <w:p w:rsidR="00490FAC" w:rsidRPr="00AD4309" w:rsidRDefault="00490FAC" w:rsidP="00490FAC">
      <w:pPr>
        <w:keepNext/>
        <w:keepLines/>
        <w:jc w:val="both"/>
        <w:rPr>
          <w:rFonts w:ascii="Trebuchet MS" w:hAnsi="Trebuchet MS"/>
        </w:rPr>
      </w:pPr>
      <w:r w:rsidRPr="00AD4309">
        <w:rPr>
          <w:rFonts w:ascii="Trebuchet MS" w:hAnsi="Trebuchet MS"/>
        </w:rPr>
        <w:t>Acionistas, Conselheiros e Administradores da</w:t>
      </w:r>
    </w:p>
    <w:p w:rsidR="00490FAC" w:rsidRPr="005E5C7A" w:rsidRDefault="00490FAC" w:rsidP="00490FAC">
      <w:pPr>
        <w:pStyle w:val="Corpodetexto"/>
        <w:rPr>
          <w:rFonts w:ascii="Trebuchet MS" w:hAnsi="Trebuchet MS"/>
          <w:b w:val="0"/>
          <w:sz w:val="22"/>
          <w:szCs w:val="22"/>
        </w:rPr>
      </w:pPr>
      <w:r w:rsidRPr="005E5C7A">
        <w:rPr>
          <w:rFonts w:ascii="Trebuchet MS" w:hAnsi="Trebuchet MS"/>
          <w:sz w:val="22"/>
          <w:szCs w:val="22"/>
        </w:rPr>
        <w:t>Companhia Energética de Brasília - CEB</w:t>
      </w:r>
    </w:p>
    <w:p w:rsidR="00490FAC" w:rsidRPr="00AD4309" w:rsidRDefault="00490FAC" w:rsidP="00490FAC">
      <w:pPr>
        <w:keepNext/>
        <w:keepLines/>
        <w:jc w:val="both"/>
        <w:rPr>
          <w:rFonts w:ascii="Trebuchet MS" w:hAnsi="Trebuchet MS"/>
        </w:rPr>
      </w:pPr>
      <w:r>
        <w:rPr>
          <w:rFonts w:ascii="Trebuchet MS" w:hAnsi="Trebuchet MS"/>
        </w:rPr>
        <w:t>Brasília - DF</w:t>
      </w:r>
    </w:p>
    <w:p w:rsidR="00490FAC" w:rsidRPr="00C52B91" w:rsidRDefault="00490FAC" w:rsidP="00490FAC">
      <w:pPr>
        <w:keepNext/>
        <w:keepLines/>
        <w:jc w:val="both"/>
        <w:rPr>
          <w:rFonts w:ascii="Trebuchet MS" w:hAnsi="Trebuchet MS"/>
        </w:rPr>
      </w:pPr>
    </w:p>
    <w:p w:rsidR="00490FAC" w:rsidRPr="00622F44" w:rsidRDefault="00490FAC" w:rsidP="00490FAC">
      <w:pPr>
        <w:keepNext/>
        <w:keepLines/>
        <w:jc w:val="both"/>
        <w:rPr>
          <w:rFonts w:ascii="Trebuchet MS" w:hAnsi="Trebuchet MS"/>
          <w:b/>
          <w:color w:val="98002E"/>
        </w:rPr>
      </w:pPr>
      <w:r w:rsidRPr="00622F44">
        <w:rPr>
          <w:rFonts w:ascii="Trebuchet MS" w:hAnsi="Trebuchet MS"/>
          <w:b/>
          <w:color w:val="98002E"/>
        </w:rPr>
        <w:t>Opinião</w:t>
      </w:r>
    </w:p>
    <w:p w:rsidR="00490FAC" w:rsidRDefault="00490FAC" w:rsidP="00490FAC">
      <w:pPr>
        <w:keepNext/>
        <w:keepLines/>
        <w:jc w:val="both"/>
        <w:rPr>
          <w:rFonts w:ascii="Trebuchet MS" w:hAnsi="Trebuchet MS"/>
        </w:rPr>
      </w:pPr>
    </w:p>
    <w:p w:rsidR="00490FAC" w:rsidRPr="0071504C" w:rsidRDefault="00490FAC" w:rsidP="00490FAC">
      <w:pPr>
        <w:keepNext/>
        <w:keepLines/>
        <w:jc w:val="both"/>
        <w:rPr>
          <w:rFonts w:ascii="Trebuchet MS" w:hAnsi="Trebuchet MS"/>
        </w:rPr>
      </w:pPr>
      <w:r w:rsidRPr="0071504C">
        <w:rPr>
          <w:rFonts w:ascii="Trebuchet MS" w:hAnsi="Trebuchet MS"/>
        </w:rPr>
        <w:t>Examinamos as demonstrações contábeis individuais e consolidadas da Companhia Energética de Brasília</w:t>
      </w:r>
      <w:r>
        <w:rPr>
          <w:rFonts w:ascii="Trebuchet MS" w:hAnsi="Trebuchet MS"/>
        </w:rPr>
        <w:t xml:space="preserve"> - CEB</w:t>
      </w:r>
      <w:r w:rsidRPr="0071504C">
        <w:rPr>
          <w:rFonts w:ascii="Trebuchet MS" w:hAnsi="Trebuchet MS"/>
        </w:rPr>
        <w:t xml:space="preserve"> ("Companhia“), identificadas como Controladora e Consolidada, que compreendem o balanço patrimonial individual e consolidado em 31 de dezembro de 2016 e as respectivas demonstrações individuais e consolidadas do resultado, do resultado abrangente, das mutações do patrimônio líquido e dos fluxos de caixa para o exercício findo nessa data, assim como o resumo das principais políticas contábeis e as demais notas explicativas.</w:t>
      </w:r>
    </w:p>
    <w:p w:rsidR="00490FAC" w:rsidRPr="0071504C" w:rsidRDefault="00490FAC" w:rsidP="00490FAC">
      <w:pPr>
        <w:keepNext/>
        <w:keepLines/>
        <w:jc w:val="both"/>
        <w:rPr>
          <w:rFonts w:ascii="Trebuchet MS" w:hAnsi="Trebuchet MS"/>
        </w:rPr>
      </w:pPr>
    </w:p>
    <w:p w:rsidR="00490FAC" w:rsidRPr="00421E98" w:rsidRDefault="00490FAC" w:rsidP="00490FAC">
      <w:pPr>
        <w:keepNext/>
        <w:keepLines/>
        <w:jc w:val="both"/>
        <w:rPr>
          <w:rFonts w:ascii="Trebuchet MS" w:hAnsi="Trebuchet MS"/>
        </w:rPr>
      </w:pPr>
      <w:r w:rsidRPr="0071504C">
        <w:rPr>
          <w:rFonts w:ascii="Trebuchet MS" w:hAnsi="Trebuchet MS"/>
        </w:rPr>
        <w:t>Em nossa opinião, as demonstrações contábeis individuais e consolidadas acima referidas apresentam adequadamente, em todos os aspectos relevantes, a posição patrimonial e financeira individual e consolidada da Companhia Energética de Brasília</w:t>
      </w:r>
      <w:r>
        <w:rPr>
          <w:rFonts w:ascii="Trebuchet MS" w:hAnsi="Trebuchet MS"/>
        </w:rPr>
        <w:t xml:space="preserve"> - CEB</w:t>
      </w:r>
      <w:r w:rsidRPr="0071504C">
        <w:rPr>
          <w:rFonts w:ascii="Trebuchet MS" w:hAnsi="Trebuchet MS"/>
        </w:rPr>
        <w:t xml:space="preserve"> em 31 de dezembro de 2016, o desempenho individual e consolidado de suas operações e os seus fluxos de caixa individual e consolidado para o exercício findo nessa data, de acordo com as práticas contábeis adotadas no Brasil e as normas internacionais de relatório financeiro (IFRS) emitidas pelo </w:t>
      </w:r>
      <w:proofErr w:type="spellStart"/>
      <w:r w:rsidRPr="0071504C">
        <w:rPr>
          <w:rFonts w:ascii="Trebuchet MS" w:hAnsi="Trebuchet MS"/>
        </w:rPr>
        <w:t>International</w:t>
      </w:r>
      <w:proofErr w:type="spellEnd"/>
      <w:r w:rsidRPr="0071504C">
        <w:rPr>
          <w:rFonts w:ascii="Trebuchet MS" w:hAnsi="Trebuchet MS"/>
        </w:rPr>
        <w:t xml:space="preserve"> </w:t>
      </w:r>
      <w:proofErr w:type="spellStart"/>
      <w:r w:rsidRPr="0071504C">
        <w:rPr>
          <w:rFonts w:ascii="Trebuchet MS" w:hAnsi="Trebuchet MS"/>
        </w:rPr>
        <w:t>Accounting</w:t>
      </w:r>
      <w:proofErr w:type="spellEnd"/>
      <w:r w:rsidRPr="0071504C">
        <w:rPr>
          <w:rFonts w:ascii="Trebuchet MS" w:hAnsi="Trebuchet MS"/>
        </w:rPr>
        <w:t xml:space="preserve"> Standards </w:t>
      </w:r>
      <w:proofErr w:type="spellStart"/>
      <w:r w:rsidRPr="0071504C">
        <w:rPr>
          <w:rFonts w:ascii="Trebuchet MS" w:hAnsi="Trebuchet MS"/>
        </w:rPr>
        <w:t>Board</w:t>
      </w:r>
      <w:proofErr w:type="spellEnd"/>
      <w:r w:rsidRPr="0071504C">
        <w:rPr>
          <w:rFonts w:ascii="Trebuchet MS" w:hAnsi="Trebuchet MS"/>
        </w:rPr>
        <w:t xml:space="preserve"> (IASB).</w:t>
      </w:r>
      <w:r w:rsidRPr="00AD4309">
        <w:rPr>
          <w:rFonts w:ascii="Trebuchet MS" w:hAnsi="Trebuchet MS"/>
        </w:rPr>
        <w:t xml:space="preserve"> </w:t>
      </w:r>
    </w:p>
    <w:p w:rsidR="00490FAC" w:rsidRPr="00421E98" w:rsidRDefault="00490FAC" w:rsidP="00490FAC">
      <w:pPr>
        <w:keepNext/>
        <w:keepLines/>
        <w:tabs>
          <w:tab w:val="left" w:pos="5208"/>
        </w:tabs>
        <w:jc w:val="both"/>
        <w:rPr>
          <w:rFonts w:ascii="Trebuchet MS" w:hAnsi="Trebuchet MS"/>
        </w:rPr>
      </w:pPr>
      <w:r>
        <w:rPr>
          <w:rFonts w:ascii="Trebuchet MS" w:hAnsi="Trebuchet MS"/>
        </w:rPr>
        <w:tab/>
      </w:r>
    </w:p>
    <w:p w:rsidR="00490FAC" w:rsidRPr="00622F44" w:rsidRDefault="00490FAC" w:rsidP="00490FAC">
      <w:pPr>
        <w:keepNext/>
        <w:keepLines/>
        <w:jc w:val="both"/>
        <w:rPr>
          <w:rFonts w:ascii="Trebuchet MS" w:hAnsi="Trebuchet MS"/>
          <w:b/>
          <w:color w:val="98002E"/>
        </w:rPr>
      </w:pPr>
      <w:r>
        <w:rPr>
          <w:rFonts w:ascii="Trebuchet MS" w:hAnsi="Trebuchet MS"/>
          <w:b/>
          <w:color w:val="98002E"/>
        </w:rPr>
        <w:t>Base para opinião</w:t>
      </w:r>
    </w:p>
    <w:p w:rsidR="00490FAC" w:rsidRPr="00622F44" w:rsidRDefault="00490FAC" w:rsidP="00490FAC">
      <w:pPr>
        <w:keepNext/>
        <w:keepLines/>
        <w:jc w:val="both"/>
        <w:rPr>
          <w:rFonts w:ascii="Trebuchet MS" w:hAnsi="Trebuchet MS"/>
          <w:color w:val="98002E"/>
        </w:rPr>
      </w:pPr>
    </w:p>
    <w:p w:rsidR="00490FAC" w:rsidRDefault="00490FAC" w:rsidP="00490FAC">
      <w:pPr>
        <w:jc w:val="both"/>
        <w:rPr>
          <w:rFonts w:ascii="Trebuchet MS" w:eastAsia="Arial" w:hAnsi="Trebuchet MS"/>
        </w:rPr>
      </w:pPr>
      <w:r w:rsidRPr="005C021D">
        <w:rPr>
          <w:rFonts w:ascii="Trebuchet MS" w:eastAsia="Arial" w:hAnsi="Trebuchet MS"/>
        </w:rP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Somos independentes em relação à Companhia, de acordo com os princípios éticos relevantes previstos no Código de Ética Profissional do Contador e nas normas profissionais emitidas pelo Conselho Federal de Contabilidade, e cumprimos com as demais responsabilidades éti</w:t>
      </w:r>
      <w:r>
        <w:rPr>
          <w:rFonts w:ascii="Trebuchet MS" w:eastAsia="Arial" w:hAnsi="Trebuchet MS"/>
        </w:rPr>
        <w:t xml:space="preserve">cas de acordo com essas normas. </w:t>
      </w:r>
      <w:r w:rsidRPr="005C021D">
        <w:rPr>
          <w:rFonts w:ascii="Trebuchet MS" w:eastAsia="Arial" w:hAnsi="Trebuchet MS"/>
        </w:rPr>
        <w:t>Acreditamos que a evidência de auditoria obtida é suficiente e apropriada</w:t>
      </w:r>
      <w:r>
        <w:rPr>
          <w:rFonts w:ascii="Trebuchet MS" w:eastAsia="Arial" w:hAnsi="Trebuchet MS"/>
        </w:rPr>
        <w:t xml:space="preserve"> para fundamentar nossa opinião.</w:t>
      </w:r>
    </w:p>
    <w:p w:rsidR="00490FAC" w:rsidRDefault="00490FAC" w:rsidP="00490FAC">
      <w:pPr>
        <w:jc w:val="both"/>
        <w:rPr>
          <w:rFonts w:ascii="Trebuchet MS" w:eastAsia="Arial" w:hAnsi="Trebuchet MS"/>
        </w:rPr>
      </w:pPr>
    </w:p>
    <w:p w:rsidR="00490FAC" w:rsidRDefault="00490FAC" w:rsidP="00490FAC">
      <w:pPr>
        <w:jc w:val="both"/>
        <w:rPr>
          <w:rFonts w:ascii="Trebuchet MS" w:hAnsi="Trebuchet MS"/>
          <w:b/>
          <w:color w:val="98002E"/>
        </w:rPr>
      </w:pPr>
      <w:r>
        <w:rPr>
          <w:rFonts w:ascii="Trebuchet MS" w:hAnsi="Trebuchet MS"/>
          <w:b/>
          <w:color w:val="98002E"/>
        </w:rPr>
        <w:t>Incerteza relevante quanto à</w:t>
      </w:r>
      <w:r w:rsidRPr="005C021D">
        <w:rPr>
          <w:rFonts w:ascii="Trebuchet MS" w:hAnsi="Trebuchet MS"/>
          <w:b/>
          <w:color w:val="98002E"/>
        </w:rPr>
        <w:t xml:space="preserve"> continuidade operacional</w:t>
      </w:r>
    </w:p>
    <w:p w:rsidR="00490FAC" w:rsidRDefault="00490FAC" w:rsidP="00490FAC">
      <w:pPr>
        <w:jc w:val="both"/>
        <w:rPr>
          <w:rFonts w:ascii="Trebuchet MS" w:eastAsia="Arial" w:hAnsi="Trebuchet MS"/>
        </w:rPr>
      </w:pPr>
    </w:p>
    <w:p w:rsidR="00490FAC" w:rsidRDefault="00490FAC" w:rsidP="00490FAC">
      <w:pPr>
        <w:jc w:val="both"/>
        <w:rPr>
          <w:rFonts w:ascii="Trebuchet MS" w:eastAsia="Arial" w:hAnsi="Trebuchet MS"/>
        </w:rPr>
      </w:pPr>
      <w:r w:rsidRPr="005C021D">
        <w:rPr>
          <w:rFonts w:ascii="Trebuchet MS" w:eastAsia="Arial" w:hAnsi="Trebuchet MS"/>
        </w:rPr>
        <w:t>Chamamos a atenção para o fato de que a controlada direta CEB Distribuição S.A. apresenta histórico de deficiência de capital de giro e alto índice de endividamento. Adicionalmente, em razão das características inerentes à sua atividade operacional e por exigência dos órgãos concedente e regulador, existe a necessidade de constantes investimentos para manutenção e desenvolvimento das suas atividades. Esses fatos indicam possível a existência de incerteza que pode levantar dúvida quanto à capacidade de continuidade operacional da Companhia. Os planos da Administração para manutenção das atividades estão descritos na Nota Explicativa nº 2 i). As demonstrações contábeis mencionadas no primeiro parágrafo foram elaboradas no pressuposto de continuidade normal dos negócios e, assim, não incluem nenhum ajuste relativo à realização e à classificação dos ativos ou quanto aos valores e à classificação dos passivos, que seriam requeridos na impossibilidade de a Companhia continuar operando. Nossa opinião não contém modificação relacionada a esse assunto.</w:t>
      </w:r>
    </w:p>
    <w:p w:rsidR="00490FAC" w:rsidRDefault="00490FAC" w:rsidP="00490FAC">
      <w:pPr>
        <w:keepNext/>
        <w:keepLines/>
        <w:jc w:val="both"/>
        <w:rPr>
          <w:rFonts w:ascii="Trebuchet MS" w:hAnsi="Trebuchet MS"/>
          <w:b/>
          <w:color w:val="98002E"/>
        </w:rPr>
      </w:pPr>
      <w:r>
        <w:rPr>
          <w:rFonts w:ascii="Trebuchet MS" w:hAnsi="Trebuchet MS"/>
          <w:b/>
          <w:color w:val="98002E"/>
        </w:rPr>
        <w:lastRenderedPageBreak/>
        <w:t>Ênfase</w:t>
      </w:r>
    </w:p>
    <w:p w:rsidR="00490FAC" w:rsidRPr="00622F44" w:rsidRDefault="00490FAC" w:rsidP="00490FAC">
      <w:pPr>
        <w:keepNext/>
        <w:keepLines/>
        <w:jc w:val="both"/>
        <w:rPr>
          <w:rFonts w:ascii="Trebuchet MS" w:hAnsi="Trebuchet MS"/>
          <w:b/>
          <w:color w:val="98002E"/>
        </w:rPr>
      </w:pPr>
    </w:p>
    <w:p w:rsidR="00490FAC" w:rsidRPr="00274D29" w:rsidRDefault="00490FAC" w:rsidP="00490FAC">
      <w:pPr>
        <w:keepNext/>
        <w:keepLines/>
        <w:jc w:val="both"/>
        <w:rPr>
          <w:rFonts w:ascii="Trebuchet MS" w:hAnsi="Trebuchet MS"/>
        </w:rPr>
      </w:pPr>
      <w:r w:rsidRPr="00274D29">
        <w:rPr>
          <w:rFonts w:ascii="Trebuchet MS" w:hAnsi="Trebuchet MS"/>
        </w:rPr>
        <w:t xml:space="preserve">Chamamos a atenção para o fato descrito na nota explicativa n°20 a), que </w:t>
      </w:r>
      <w:proofErr w:type="gramStart"/>
      <w:r w:rsidRPr="00274D29">
        <w:rPr>
          <w:rFonts w:ascii="Trebuchet MS" w:hAnsi="Trebuchet MS"/>
        </w:rPr>
        <w:t>indica  que</w:t>
      </w:r>
      <w:proofErr w:type="gramEnd"/>
      <w:r w:rsidRPr="00274D29">
        <w:rPr>
          <w:rFonts w:ascii="Trebuchet MS" w:hAnsi="Trebuchet MS"/>
        </w:rPr>
        <w:t xml:space="preserve"> a Controlada direta CEB Distribuição S.A., possui registrado no passivo não circulante o montante de R$ 140.322 mil, referente aos valores a serem ressarcidos aos consumidores em decorrência do processo de migração de determinados consumidores residenciais, anteriormente enquadrados na subclasse de baixa renda, para consumidores normais. O assunto encontra-se em discussão entre a Distribuidora e o Órgão Regulador e apesar da Administração defender que o direito ao ressarcimento alcançou a decadência legal, a ANEEL, para concluir quanto à exigibilidade ou não do referido montante, solicitou instrução de processo específico para apurar a conduta da CEB Distribuição </w:t>
      </w:r>
      <w:proofErr w:type="gramStart"/>
      <w:r w:rsidRPr="00274D29">
        <w:rPr>
          <w:rFonts w:ascii="Trebuchet MS" w:hAnsi="Trebuchet MS"/>
        </w:rPr>
        <w:t>S.A..</w:t>
      </w:r>
      <w:proofErr w:type="gramEnd"/>
      <w:r w:rsidRPr="00274D29">
        <w:rPr>
          <w:rFonts w:ascii="Trebuchet MS" w:hAnsi="Trebuchet MS"/>
        </w:rPr>
        <w:t xml:space="preserve"> Até o encerramento de nossos exames o tema não havia sido concluído em todas as instâncias da ANEEL. A Superintendência de Fiscalização Econômica e Financeira - SFF encaminhou o processo à Superintendência de Fiscalização dos Serviços de Eletricidade – SFE e à Superintendência de Regulação dos Serviços de Distribuição – SRD, a fim de se manifestarem quanto aos argumentos da CEB. Nossa opinião não contém modificação relacionada a esse assunto.</w:t>
      </w:r>
    </w:p>
    <w:p w:rsidR="00490FAC" w:rsidRPr="000742E4" w:rsidRDefault="00490FAC" w:rsidP="00490FAC">
      <w:pPr>
        <w:keepNext/>
        <w:keepLines/>
        <w:jc w:val="both"/>
        <w:rPr>
          <w:rFonts w:ascii="Trebuchet MS" w:hAnsi="Trebuchet MS"/>
          <w:b/>
        </w:rPr>
      </w:pPr>
    </w:p>
    <w:p w:rsidR="00490FAC" w:rsidRPr="00622F44" w:rsidRDefault="00490FAC" w:rsidP="00490FAC">
      <w:pPr>
        <w:keepNext/>
        <w:keepLines/>
        <w:jc w:val="both"/>
        <w:rPr>
          <w:rFonts w:ascii="Trebuchet MS" w:hAnsi="Trebuchet MS"/>
          <w:b/>
          <w:color w:val="98002E"/>
        </w:rPr>
      </w:pPr>
      <w:r w:rsidRPr="00622F44">
        <w:rPr>
          <w:rFonts w:ascii="Trebuchet MS" w:hAnsi="Trebuchet MS"/>
          <w:b/>
          <w:color w:val="98002E"/>
        </w:rPr>
        <w:t>Principais assuntos de auditoria</w:t>
      </w:r>
    </w:p>
    <w:p w:rsidR="00490FAC" w:rsidRPr="0000388A"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r w:rsidRPr="0000388A">
        <w:rPr>
          <w:rFonts w:ascii="Trebuchet MS" w:hAnsi="Trebuchet MS"/>
        </w:rPr>
        <w:t>Principais assuntos de auditoria são aqueles que, em nosso julgamento profissional, foram os mais significativos em nossa auditoria do exercício corrente. Esses assuntos foram tratados no contexto de nossa auditoria das demonstrações contábeis</w:t>
      </w:r>
      <w:r>
        <w:rPr>
          <w:rFonts w:ascii="Trebuchet MS" w:hAnsi="Trebuchet MS"/>
        </w:rPr>
        <w:t>,</w:t>
      </w:r>
      <w:r w:rsidRPr="0000388A">
        <w:rPr>
          <w:rFonts w:ascii="Trebuchet MS" w:hAnsi="Trebuchet MS"/>
        </w:rPr>
        <w:t xml:space="preserve"> individuais e consolidadas</w:t>
      </w:r>
      <w:r>
        <w:rPr>
          <w:rFonts w:ascii="Trebuchet MS" w:hAnsi="Trebuchet MS"/>
        </w:rPr>
        <w:t>,</w:t>
      </w:r>
      <w:r w:rsidRPr="0000388A">
        <w:rPr>
          <w:rFonts w:ascii="Trebuchet MS" w:hAnsi="Trebuchet MS"/>
        </w:rPr>
        <w:t xml:space="preserve"> como um todo e na formação de nossa opinião sobre essas demonstrações contábeis</w:t>
      </w:r>
      <w:r>
        <w:rPr>
          <w:rFonts w:ascii="Trebuchet MS" w:hAnsi="Trebuchet MS"/>
        </w:rPr>
        <w:t>,</w:t>
      </w:r>
      <w:r w:rsidRPr="0000388A">
        <w:rPr>
          <w:rFonts w:ascii="Trebuchet MS" w:hAnsi="Trebuchet MS"/>
        </w:rPr>
        <w:t xml:space="preserve"> individuais e consolidadas</w:t>
      </w:r>
      <w:r>
        <w:rPr>
          <w:rFonts w:ascii="Trebuchet MS" w:hAnsi="Trebuchet MS"/>
        </w:rPr>
        <w:t>,</w:t>
      </w:r>
      <w:r w:rsidRPr="0000388A">
        <w:rPr>
          <w:rFonts w:ascii="Trebuchet MS" w:hAnsi="Trebuchet MS"/>
        </w:rPr>
        <w:t xml:space="preserve"> e, portanto, não expressamos uma opinião separada sobre esses assuntos. </w:t>
      </w:r>
    </w:p>
    <w:p w:rsidR="00490FAC" w:rsidRDefault="00490FAC" w:rsidP="00490FAC">
      <w:pPr>
        <w:rPr>
          <w:rFonts w:ascii="Trebuchet MS" w:hAnsi="Trebuchet MS"/>
          <w:b/>
        </w:rPr>
      </w:pPr>
    </w:p>
    <w:p w:rsidR="00490FAC" w:rsidRDefault="00490FAC" w:rsidP="00490FAC">
      <w:pPr>
        <w:keepNext/>
        <w:keepLines/>
        <w:pBdr>
          <w:bottom w:val="single" w:sz="4" w:space="1" w:color="auto"/>
        </w:pBdr>
        <w:jc w:val="both"/>
        <w:rPr>
          <w:rFonts w:ascii="Trebuchet MS" w:hAnsi="Trebuchet MS"/>
          <w:b/>
        </w:rPr>
        <w:sectPr w:rsidR="00490FAC" w:rsidSect="00490FAC">
          <w:headerReference w:type="even" r:id="rId74"/>
          <w:headerReference w:type="default" r:id="rId75"/>
          <w:headerReference w:type="first" r:id="rId76"/>
          <w:pgSz w:w="11906" w:h="16838"/>
          <w:pgMar w:top="2552" w:right="1134" w:bottom="1134" w:left="1701" w:header="709" w:footer="709" w:gutter="0"/>
          <w:cols w:space="708"/>
          <w:titlePg/>
          <w:docGrid w:linePitch="360"/>
        </w:sectPr>
      </w:pPr>
    </w:p>
    <w:p w:rsidR="00490FAC" w:rsidRDefault="00490FAC" w:rsidP="00490FAC">
      <w:pPr>
        <w:keepNext/>
        <w:keepLines/>
        <w:pBdr>
          <w:bottom w:val="single" w:sz="4" w:space="0" w:color="auto"/>
        </w:pBdr>
        <w:jc w:val="both"/>
        <w:rPr>
          <w:rFonts w:ascii="Trebuchet MS" w:hAnsi="Trebuchet MS"/>
          <w:b/>
        </w:rPr>
      </w:pPr>
    </w:p>
    <w:p w:rsidR="00490FAC" w:rsidRDefault="00490FAC" w:rsidP="00490FAC">
      <w:pPr>
        <w:keepNext/>
        <w:keepLines/>
        <w:pBdr>
          <w:bottom w:val="single" w:sz="4" w:space="0" w:color="auto"/>
        </w:pBdr>
        <w:jc w:val="both"/>
        <w:rPr>
          <w:rFonts w:ascii="Trebuchet MS" w:hAnsi="Trebuchet MS"/>
          <w:b/>
        </w:rPr>
      </w:pPr>
      <w:r>
        <w:rPr>
          <w:rFonts w:ascii="Trebuchet MS" w:hAnsi="Trebuchet MS"/>
          <w:b/>
        </w:rPr>
        <w:t>Reconhecimento de receita e ambiente de tecnologia da informação</w:t>
      </w:r>
    </w:p>
    <w:p w:rsidR="00490FAC" w:rsidRDefault="00490FAC" w:rsidP="00490FAC">
      <w:pPr>
        <w:jc w:val="both"/>
        <w:rPr>
          <w:rFonts w:ascii="Trebuchet MS" w:hAnsi="Trebuchet MS"/>
        </w:rPr>
      </w:pPr>
      <w:r w:rsidRPr="005C021D">
        <w:rPr>
          <w:rFonts w:ascii="Trebuchet MS" w:hAnsi="Trebuchet MS"/>
        </w:rPr>
        <w:t>Conforme nota explicativa n° 2.23.2, as receitas da controlada direta CEB Distribuição são oriundas do fornecimento de energia elétrica e atividades associadas ao serviço, sendo reconhecidas quando os riscos e benefícios são substancialmente transferidos ao consumidor por meio do fornecimento de energia elétrica. O processo de reconhecimento da receita é relevante para o desempenho da Companhia e para atingimento de metas de performance na data base das demonstrações contábeis, o que de forma inerente adiciona componentes de risco de fraude. Observa-se ainda, que as transações de fornecimento de energia elétrica são processadas substancialmente por meio de rotinas e controles automatizados. Tendo em vista o risco de fraude sobre o processo de reconhecimento da receita e a elevada dependência sistêmica e os potenciais efeitos sobre o registro contábil da receita das contas a receber, o ambiente de tecnologia, incluindo o sistema de informação, assim como os controles sobre o acesso e gerenciamento de mudanças nos seus sistemas, consideramos esse assunto significativo para a nossa auditoria.</w:t>
      </w:r>
    </w:p>
    <w:p w:rsidR="00490FAC" w:rsidRDefault="00490FAC" w:rsidP="00490FAC">
      <w:pPr>
        <w:keepNext/>
        <w:keepLines/>
        <w:pBdr>
          <w:bottom w:val="single" w:sz="4" w:space="0" w:color="auto"/>
        </w:pBdr>
        <w:jc w:val="both"/>
        <w:rPr>
          <w:rFonts w:ascii="Trebuchet MS" w:hAnsi="Trebuchet MS"/>
          <w:b/>
        </w:rPr>
      </w:pPr>
    </w:p>
    <w:p w:rsidR="00490FAC" w:rsidRDefault="00490FAC" w:rsidP="00490FAC">
      <w:pPr>
        <w:keepNext/>
        <w:keepLines/>
        <w:pBdr>
          <w:bottom w:val="single" w:sz="4" w:space="0" w:color="auto"/>
        </w:pBdr>
        <w:jc w:val="both"/>
        <w:rPr>
          <w:rFonts w:ascii="Trebuchet MS" w:hAnsi="Trebuchet MS"/>
          <w:b/>
        </w:rPr>
      </w:pPr>
    </w:p>
    <w:p w:rsidR="00490FAC" w:rsidRPr="003A0CC6" w:rsidRDefault="00490FAC" w:rsidP="00490FAC">
      <w:pPr>
        <w:keepNext/>
        <w:keepLines/>
        <w:pBdr>
          <w:bottom w:val="single" w:sz="4" w:space="0" w:color="auto"/>
        </w:pBdr>
        <w:jc w:val="both"/>
        <w:rPr>
          <w:rFonts w:ascii="Trebuchet MS" w:hAnsi="Trebuchet MS"/>
          <w:b/>
        </w:rPr>
      </w:pPr>
      <w:r w:rsidRPr="003A0CC6">
        <w:rPr>
          <w:rFonts w:ascii="Trebuchet MS" w:hAnsi="Trebuchet MS"/>
          <w:b/>
        </w:rPr>
        <w:t>Resposta da auditoria ao assunto</w:t>
      </w:r>
    </w:p>
    <w:p w:rsidR="00490FAC" w:rsidRPr="005C021D" w:rsidRDefault="00490FAC" w:rsidP="0049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000000" w:themeColor="text1"/>
        </w:rPr>
      </w:pPr>
      <w:r w:rsidRPr="005C021D">
        <w:rPr>
          <w:rFonts w:ascii="Trebuchet MS" w:hAnsi="Trebuchet MS" w:cs="Courier New"/>
          <w:color w:val="000000" w:themeColor="text1"/>
        </w:rPr>
        <w:t>Nossos procedimentos de auditoria incluíram, entre outros, a realização de testes por meio de amostragem e com o auxílio de nossos especialistas em tecnologia da informação, para avaliar o desenho, implementação e a efetividade operacional dos controles internos chave sobre mudanças, alterações e acessos apropriados aos sistemas de operações de fornecimento de energia elétrica. Analisamos ainda, também com o auxílio de nossos especialistas em tecnologia da informação, a interface e a integridade das informações entre os principais sistemas utilizados para o registro da receita de fornecimento de energia elétrica e a respectiva geração das informações financeiras.</w:t>
      </w:r>
    </w:p>
    <w:p w:rsidR="00490FAC" w:rsidRPr="005C021D" w:rsidRDefault="00490FAC" w:rsidP="0049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000000" w:themeColor="text1"/>
        </w:rPr>
      </w:pPr>
      <w:r w:rsidRPr="005C021D">
        <w:rPr>
          <w:rFonts w:ascii="Trebuchet MS" w:hAnsi="Trebuchet MS" w:cs="Courier New"/>
          <w:color w:val="000000" w:themeColor="text1"/>
        </w:rPr>
        <w:t xml:space="preserve">Para as transações de fornecimento de energia elétrica da Companhia, analisamos a conciliação da receita com os saldos contábeis. Nossos procedimentos incluíram ainda a correlação entre as entradas de caixa e as receitas registradas pela Companhia durante o exercício com a finalidade de avaliar o reconhecimento da receita, além da análise da liquidação subsequente do saldo das contas a receber em aberto na data base da auditoria. </w:t>
      </w:r>
    </w:p>
    <w:p w:rsidR="00490FAC" w:rsidRPr="004B3F7B" w:rsidRDefault="00490FAC" w:rsidP="0049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FFFFFF" w:themeColor="background1"/>
        </w:rPr>
      </w:pPr>
      <w:r w:rsidRPr="004B3F7B">
        <w:rPr>
          <w:rFonts w:ascii="Trebuchet MS" w:hAnsi="Trebuchet MS" w:cs="Courier New"/>
          <w:color w:val="FFFFFF" w:themeColor="background1"/>
        </w:rPr>
        <w:t xml:space="preserve">Realizamos procedimentos analíticos sobre a receita do ano, comparando os montantes </w:t>
      </w:r>
      <w:r w:rsidRPr="004B3F7B">
        <w:rPr>
          <w:rFonts w:ascii="Trebuchet MS" w:hAnsi="Trebuchet MS" w:cs="Courier New"/>
          <w:color w:val="FFFFFF" w:themeColor="background1"/>
        </w:rPr>
        <w:lastRenderedPageBreak/>
        <w:t>reconhecidos com as informações de consumo de energia e a quantidade de unidades consumidoras da Companhia durante o exercício, bem como analisamos se o crescimento da receita, está de acordo com os reajustes tarifários aprovados pelo Órgão Regulador.</w:t>
      </w:r>
    </w:p>
    <w:p w:rsidR="00490FAC" w:rsidRDefault="00490FAC" w:rsidP="00490FAC">
      <w:pPr>
        <w:keepNext/>
        <w:keepLines/>
        <w:jc w:val="both"/>
        <w:rPr>
          <w:rFonts w:ascii="Trebuchet MS" w:hAnsi="Trebuchet MS"/>
          <w:color w:val="000000" w:themeColor="text1"/>
        </w:rPr>
      </w:pPr>
    </w:p>
    <w:p w:rsidR="00490FAC" w:rsidRDefault="00490FAC" w:rsidP="00490FAC">
      <w:pPr>
        <w:keepNext/>
        <w:keepLines/>
        <w:jc w:val="both"/>
        <w:rPr>
          <w:rFonts w:ascii="Trebuchet MS" w:hAnsi="Trebuchet MS"/>
          <w:color w:val="000000" w:themeColor="text1"/>
        </w:rPr>
      </w:pPr>
    </w:p>
    <w:p w:rsidR="00490FAC" w:rsidRDefault="00490FAC" w:rsidP="00490FAC">
      <w:pPr>
        <w:keepNext/>
        <w:keepLines/>
        <w:jc w:val="both"/>
        <w:rPr>
          <w:rFonts w:ascii="Trebuchet MS" w:hAnsi="Trebuchet MS"/>
        </w:rPr>
      </w:pPr>
      <w:r w:rsidRPr="005C021D">
        <w:rPr>
          <w:rFonts w:ascii="Trebuchet MS" w:hAnsi="Trebuchet MS"/>
          <w:color w:val="000000" w:themeColor="text1"/>
        </w:rPr>
        <w:t xml:space="preserve">Realizamos testes para obtermos segurança razoável sobre o “corte” de receita da Companhia realizado no final do exercício, que reconhece nos registros contábeis, medições ainda não faturadas em função do período de leitura dos medidores dos consumidores da Companhia. Avaliamos também a adequada divulgação em notas explicativas em conformidade com as práticas contábeis adotadas no Brasil e </w:t>
      </w:r>
      <w:r w:rsidRPr="005C021D">
        <w:rPr>
          <w:rFonts w:ascii="Trebuchet MS" w:hAnsi="Trebuchet MS"/>
        </w:rPr>
        <w:t xml:space="preserve">as normas internacionais de relatório financeiro (IFRS) emitidas pelo </w:t>
      </w:r>
      <w:proofErr w:type="spellStart"/>
      <w:r w:rsidRPr="005C021D">
        <w:rPr>
          <w:rFonts w:ascii="Trebuchet MS" w:hAnsi="Trebuchet MS"/>
          <w:i/>
        </w:rPr>
        <w:t>International</w:t>
      </w:r>
      <w:proofErr w:type="spellEnd"/>
      <w:r w:rsidRPr="005C021D">
        <w:rPr>
          <w:rFonts w:ascii="Trebuchet MS" w:hAnsi="Trebuchet MS"/>
          <w:i/>
        </w:rPr>
        <w:t xml:space="preserve"> </w:t>
      </w:r>
      <w:proofErr w:type="spellStart"/>
      <w:r w:rsidRPr="005C021D">
        <w:rPr>
          <w:rFonts w:ascii="Trebuchet MS" w:hAnsi="Trebuchet MS"/>
          <w:i/>
        </w:rPr>
        <w:t>Accounting</w:t>
      </w:r>
      <w:proofErr w:type="spellEnd"/>
      <w:r w:rsidRPr="005C021D">
        <w:rPr>
          <w:rFonts w:ascii="Trebuchet MS" w:hAnsi="Trebuchet MS"/>
          <w:i/>
        </w:rPr>
        <w:t xml:space="preserve"> Standards </w:t>
      </w:r>
      <w:proofErr w:type="spellStart"/>
      <w:r w:rsidRPr="005C021D">
        <w:rPr>
          <w:rFonts w:ascii="Trebuchet MS" w:hAnsi="Trebuchet MS"/>
          <w:i/>
        </w:rPr>
        <w:t>Board</w:t>
      </w:r>
      <w:proofErr w:type="spellEnd"/>
      <w:r w:rsidRPr="005C021D">
        <w:rPr>
          <w:rFonts w:ascii="Trebuchet MS" w:hAnsi="Trebuchet MS"/>
        </w:rPr>
        <w:t xml:space="preserve"> (IASB).</w:t>
      </w:r>
    </w:p>
    <w:p w:rsidR="00490FAC" w:rsidRDefault="00490FAC" w:rsidP="00490FAC">
      <w:pPr>
        <w:keepNext/>
        <w:keepLines/>
        <w:jc w:val="both"/>
        <w:rPr>
          <w:rFonts w:ascii="Trebuchet MS" w:hAnsi="Trebuchet MS"/>
        </w:rPr>
      </w:pPr>
    </w:p>
    <w:p w:rsidR="00490FAC" w:rsidRPr="005C021D" w:rsidRDefault="00490FAC" w:rsidP="0049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color w:val="000000" w:themeColor="text1"/>
        </w:rPr>
      </w:pPr>
      <w:r w:rsidRPr="005C021D">
        <w:rPr>
          <w:rFonts w:ascii="Trebuchet MS" w:hAnsi="Trebuchet MS" w:cs="Courier New"/>
          <w:color w:val="000000" w:themeColor="text1"/>
        </w:rPr>
        <w:t xml:space="preserve">Realizamos procedimentos analíticos sobre a receita do ano, comparando os montantes </w:t>
      </w:r>
      <w:r w:rsidRPr="005C021D">
        <w:rPr>
          <w:rFonts w:ascii="Trebuchet MS" w:hAnsi="Trebuchet MS" w:cs="Courier New"/>
          <w:color w:val="000000" w:themeColor="text1"/>
        </w:rPr>
        <w:lastRenderedPageBreak/>
        <w:t>reconhecidos com as informações de consumo de energia e a quantidade de unidades consumidoras da Companhia durante o exercício, bem como analisamos se o crescimento da receita, está de acordo com os reajustes tarifários aprovados pelo Órgão Regulador.</w:t>
      </w:r>
    </w:p>
    <w:p w:rsidR="00490FAC" w:rsidRPr="003A0CC6" w:rsidRDefault="00490FAC" w:rsidP="00490FAC">
      <w:pPr>
        <w:keepNext/>
        <w:keepLines/>
        <w:jc w:val="both"/>
        <w:rPr>
          <w:rFonts w:ascii="Trebuchet MS" w:hAnsi="Trebuchet MS"/>
        </w:rPr>
      </w:pPr>
    </w:p>
    <w:p w:rsidR="00490FAC" w:rsidRPr="003A0CC6" w:rsidRDefault="00490FAC" w:rsidP="00490FAC">
      <w:pPr>
        <w:keepNext/>
        <w:keepLines/>
        <w:jc w:val="both"/>
        <w:rPr>
          <w:rFonts w:ascii="Trebuchet MS" w:hAnsi="Trebuchet MS"/>
        </w:rPr>
        <w:sectPr w:rsidR="00490FAC" w:rsidRPr="003A0CC6" w:rsidSect="005B2075">
          <w:type w:val="continuous"/>
          <w:pgSz w:w="11906" w:h="16838" w:code="9"/>
          <w:pgMar w:top="2268" w:right="1134" w:bottom="1134" w:left="1701" w:header="567" w:footer="567" w:gutter="0"/>
          <w:cols w:num="2" w:space="281"/>
          <w:titlePg/>
          <w:docGrid w:linePitch="360"/>
        </w:sectPr>
      </w:pPr>
    </w:p>
    <w:p w:rsidR="00490FAC" w:rsidRPr="003A0CC6" w:rsidRDefault="00490FAC" w:rsidP="00490FAC">
      <w:pPr>
        <w:keepNext/>
        <w:keepLines/>
        <w:jc w:val="both"/>
        <w:rPr>
          <w:rFonts w:ascii="Trebuchet MS" w:hAnsi="Trebuchet MS"/>
          <w:b/>
        </w:rPr>
        <w:sectPr w:rsidR="00490FAC" w:rsidRPr="003A0CC6" w:rsidSect="00AC310D">
          <w:type w:val="continuous"/>
          <w:pgSz w:w="11906" w:h="16838" w:code="9"/>
          <w:pgMar w:top="2268" w:right="1134" w:bottom="1134" w:left="1701" w:header="567" w:footer="567" w:gutter="0"/>
          <w:cols w:space="281"/>
          <w:titlePg/>
          <w:docGrid w:linePitch="360"/>
        </w:sectPr>
      </w:pPr>
    </w:p>
    <w:p w:rsidR="00490FAC" w:rsidRPr="003A0CC6" w:rsidRDefault="00490FAC" w:rsidP="00490FAC">
      <w:pPr>
        <w:keepNext/>
        <w:keepLines/>
        <w:pBdr>
          <w:bottom w:val="single" w:sz="4" w:space="1" w:color="auto"/>
        </w:pBdr>
        <w:jc w:val="both"/>
        <w:rPr>
          <w:rFonts w:ascii="Trebuchet MS" w:hAnsi="Trebuchet MS"/>
          <w:b/>
        </w:rPr>
      </w:pPr>
      <w:r>
        <w:rPr>
          <w:rFonts w:ascii="Trebuchet MS" w:hAnsi="Trebuchet MS"/>
          <w:b/>
        </w:rPr>
        <w:lastRenderedPageBreak/>
        <w:t>Provisão estimada de créditos de liquidação duvidosa</w:t>
      </w:r>
    </w:p>
    <w:p w:rsidR="00490FAC" w:rsidRDefault="00490FAC" w:rsidP="00490FAC">
      <w:pPr>
        <w:jc w:val="both"/>
        <w:rPr>
          <w:rFonts w:ascii="Trebuchet MS" w:hAnsi="Trebuchet MS"/>
          <w:bCs/>
        </w:rPr>
      </w:pPr>
      <w:r w:rsidRPr="005C021D">
        <w:rPr>
          <w:rFonts w:ascii="Trebuchet MS" w:hAnsi="Trebuchet MS"/>
        </w:rPr>
        <w:t xml:space="preserve">Conforme nota explicativa n° 2.71, </w:t>
      </w:r>
      <w:r w:rsidRPr="005C021D">
        <w:rPr>
          <w:rFonts w:ascii="Trebuchet MS" w:hAnsi="Trebuchet MS"/>
          <w:bCs/>
        </w:rPr>
        <w:t xml:space="preserve">a controlada direta CEB Distribuição possui uma estimativa da provisão para créditos de liquidação duvidosa que envolve um elevado nível de julgamento por parte da Administração. A determinação da provisão para créditos de liquidação duvidosa envolve a avaliação de várias premissas e fatores internos e externos, incluindo nível de inadimplência, política de renegociação e parcelamentos e cenário econômico atual e prospectivo. </w:t>
      </w:r>
    </w:p>
    <w:p w:rsidR="00490FAC" w:rsidRPr="005C021D" w:rsidRDefault="00490FAC" w:rsidP="00490FAC">
      <w:pPr>
        <w:jc w:val="both"/>
        <w:rPr>
          <w:rFonts w:ascii="Trebuchet MS" w:hAnsi="Trebuchet MS"/>
          <w:bCs/>
        </w:rPr>
      </w:pPr>
    </w:p>
    <w:p w:rsidR="00490FAC" w:rsidRPr="003A0CC6" w:rsidRDefault="00490FAC" w:rsidP="00490FAC">
      <w:pPr>
        <w:keepNext/>
        <w:keepLines/>
        <w:jc w:val="both"/>
        <w:rPr>
          <w:rFonts w:ascii="Trebuchet MS" w:hAnsi="Trebuchet MS"/>
        </w:rPr>
      </w:pPr>
      <w:r w:rsidRPr="005C021D">
        <w:rPr>
          <w:rFonts w:ascii="Trebuchet MS" w:hAnsi="Trebuchet MS"/>
          <w:bCs/>
        </w:rPr>
        <w:t>Esse julgamento considera diversas premissas na determinação das provisões. As provisões para crédito de liquidação duvidosa são constituídas levando em consideração as normas regulamentares estabelecidas pela Agência Nacional de Energia Elétrica – ANEEL e são fundamentadas de acordo com política interna da Companhia.</w:t>
      </w:r>
    </w:p>
    <w:p w:rsidR="00490FAC" w:rsidRDefault="00490FAC" w:rsidP="00490FAC">
      <w:pPr>
        <w:keepNext/>
        <w:keepLines/>
        <w:pBdr>
          <w:bottom w:val="single" w:sz="4" w:space="1" w:color="auto"/>
        </w:pBdr>
        <w:jc w:val="both"/>
        <w:rPr>
          <w:rFonts w:ascii="Trebuchet MS" w:hAnsi="Trebuchet MS"/>
          <w:b/>
        </w:rPr>
      </w:pPr>
      <w:r w:rsidRPr="003A0CC6">
        <w:rPr>
          <w:rFonts w:ascii="Trebuchet MS" w:hAnsi="Trebuchet MS"/>
          <w:b/>
        </w:rPr>
        <w:br w:type="column"/>
      </w:r>
    </w:p>
    <w:p w:rsidR="00490FAC" w:rsidRPr="003A0CC6" w:rsidRDefault="00490FAC" w:rsidP="00490FAC">
      <w:pPr>
        <w:keepNext/>
        <w:keepLines/>
        <w:pBdr>
          <w:bottom w:val="single" w:sz="4" w:space="1" w:color="auto"/>
        </w:pBdr>
        <w:jc w:val="both"/>
        <w:rPr>
          <w:rFonts w:ascii="Trebuchet MS" w:hAnsi="Trebuchet MS"/>
          <w:b/>
        </w:rPr>
      </w:pPr>
      <w:r w:rsidRPr="003A0CC6">
        <w:rPr>
          <w:rFonts w:ascii="Trebuchet MS" w:hAnsi="Trebuchet MS"/>
          <w:b/>
        </w:rPr>
        <w:t>Resposta da auditoria ao assunto</w:t>
      </w:r>
    </w:p>
    <w:p w:rsidR="00490FAC" w:rsidRDefault="00490FAC" w:rsidP="00490FAC">
      <w:pPr>
        <w:keepNext/>
        <w:keepLines/>
        <w:jc w:val="both"/>
        <w:rPr>
          <w:rFonts w:ascii="Trebuchet MS" w:hAnsi="Trebuchet MS"/>
        </w:rPr>
      </w:pPr>
      <w:r w:rsidRPr="0089379F">
        <w:rPr>
          <w:rFonts w:ascii="Trebuchet MS" w:hAnsi="Trebuchet MS"/>
        </w:rPr>
        <w:t>Os nossos procedimentos de auditoria incluíram a avaliação da estimativa definida pela Administração para constituição de provisão para créditos de liquidação duvidosa, realização de recalculo matemático da referida provisão e desafiamos o julgamento da Administração decorrente a estimativa definida onde totalizamos todos os créditos, independente se vencidos ou a vencer, dos consumidores com faturas registradas como provisão para crédito de liquidação duvidosa (“efeito arrasto”). Avaliamos esse total como parte de nossa avaliação de risco de distorções significativas nas demonstrações contábeis. Assim como a revisão da adequada divulgação da nota explicativa nº2.7</w:t>
      </w:r>
      <w:r>
        <w:rPr>
          <w:rFonts w:ascii="Trebuchet MS" w:hAnsi="Trebuchet MS"/>
        </w:rPr>
        <w:t>.</w:t>
      </w:r>
      <w:r w:rsidRPr="0089379F">
        <w:rPr>
          <w:rFonts w:ascii="Trebuchet MS" w:hAnsi="Trebuchet MS"/>
        </w:rPr>
        <w:t xml:space="preserve">1 às demonstrações contábeis em conformidade com as práticas contábeis adotadas no Brasil e as normas internacionais de relatório financeiro (IFRS) emitidas pelo </w:t>
      </w:r>
      <w:proofErr w:type="spellStart"/>
      <w:r w:rsidRPr="0089379F">
        <w:rPr>
          <w:rFonts w:ascii="Trebuchet MS" w:hAnsi="Trebuchet MS"/>
        </w:rPr>
        <w:t>International</w:t>
      </w:r>
      <w:proofErr w:type="spellEnd"/>
      <w:r w:rsidRPr="0089379F">
        <w:rPr>
          <w:rFonts w:ascii="Trebuchet MS" w:hAnsi="Trebuchet MS"/>
        </w:rPr>
        <w:t xml:space="preserve"> </w:t>
      </w:r>
      <w:proofErr w:type="spellStart"/>
      <w:r w:rsidRPr="0089379F">
        <w:rPr>
          <w:rFonts w:ascii="Trebuchet MS" w:hAnsi="Trebuchet MS"/>
        </w:rPr>
        <w:t>Accounting</w:t>
      </w:r>
      <w:proofErr w:type="spellEnd"/>
      <w:r w:rsidRPr="0089379F">
        <w:rPr>
          <w:rFonts w:ascii="Trebuchet MS" w:hAnsi="Trebuchet MS"/>
        </w:rPr>
        <w:t xml:space="preserve"> Standards </w:t>
      </w:r>
      <w:proofErr w:type="spellStart"/>
      <w:r w:rsidRPr="0089379F">
        <w:rPr>
          <w:rFonts w:ascii="Trebuchet MS" w:hAnsi="Trebuchet MS"/>
        </w:rPr>
        <w:t>Board</w:t>
      </w:r>
      <w:proofErr w:type="spellEnd"/>
      <w:r w:rsidRPr="0089379F">
        <w:rPr>
          <w:rFonts w:ascii="Trebuchet MS" w:hAnsi="Trebuchet MS"/>
        </w:rPr>
        <w:t xml:space="preserve"> (IASB).</w:t>
      </w:r>
    </w:p>
    <w:p w:rsidR="00490FAC"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p>
    <w:p w:rsidR="00490FAC" w:rsidRPr="00370377" w:rsidRDefault="00490FAC" w:rsidP="00490FAC">
      <w:pPr>
        <w:keepNext/>
        <w:keepLines/>
        <w:jc w:val="both"/>
        <w:rPr>
          <w:rFonts w:ascii="Trebuchet MS" w:hAnsi="Trebuchet MS"/>
        </w:rPr>
        <w:sectPr w:rsidR="00490FAC" w:rsidRPr="00370377" w:rsidSect="00600E86">
          <w:type w:val="continuous"/>
          <w:pgSz w:w="11906" w:h="16838" w:code="9"/>
          <w:pgMar w:top="2268" w:right="1134" w:bottom="1134" w:left="1701" w:header="567" w:footer="567" w:gutter="0"/>
          <w:cols w:num="2" w:space="281"/>
          <w:titlePg/>
          <w:docGrid w:linePitch="360"/>
        </w:sectPr>
      </w:pPr>
    </w:p>
    <w:p w:rsidR="00490FAC" w:rsidRPr="003A0CC6" w:rsidRDefault="00490FAC" w:rsidP="00490FAC">
      <w:pPr>
        <w:keepNext/>
        <w:keepLines/>
        <w:pBdr>
          <w:bottom w:val="single" w:sz="4" w:space="1" w:color="auto"/>
        </w:pBdr>
        <w:jc w:val="both"/>
        <w:rPr>
          <w:rFonts w:ascii="Trebuchet MS" w:hAnsi="Trebuchet MS"/>
          <w:b/>
        </w:rPr>
      </w:pPr>
      <w:r>
        <w:rPr>
          <w:rFonts w:ascii="Trebuchet MS" w:hAnsi="Trebuchet MS"/>
          <w:b/>
        </w:rPr>
        <w:lastRenderedPageBreak/>
        <w:t>Reconhecimento de Ativos e Passivos Regulatórios</w:t>
      </w:r>
    </w:p>
    <w:p w:rsidR="00490FAC" w:rsidRPr="003A0CC6" w:rsidRDefault="00490FAC" w:rsidP="00490FAC">
      <w:pPr>
        <w:keepNext/>
        <w:keepLines/>
        <w:jc w:val="both"/>
        <w:rPr>
          <w:rFonts w:ascii="Trebuchet MS" w:hAnsi="Trebuchet MS"/>
          <w:b/>
        </w:rPr>
      </w:pPr>
      <w:r w:rsidRPr="00B22228">
        <w:rPr>
          <w:rFonts w:ascii="Trebuchet MS" w:hAnsi="Trebuchet MS"/>
        </w:rPr>
        <w:t>Conforme nota explicativa n° 2.9, a controlada direta CEB Distribuição S.A., possui ativos e passivos setoriais nos montantes de R$392.433 mil e R$297.091 mil, respectivamente, em 31 de dezembro de 2016, decorrentes das diferenças temporárias entre os custos homologados que são incluídos na tarifa no início do período tarifário, e aqueles que são efetivamente incorridos ao longo do período de vigência da tarifa, os quais serão efetivamente liquidados por ocasião do próximo período tarifário. Os saldos a serem recebidos ou devolvidos via tarifa quando da revisão tarifária anual são determinados com base em um volume significativo de critérios definidos pelo Regulador, com alto grau de complexidade e que podem sofrer alterações. O assunto foi considerado significativo para a nossa auditoria, tendo em vista a complexidade de controle e, em alguns casos, na determinação do valor desses ativos e passivos, assim como quanto às incertezas inerentes à realização integral dos mesmos.</w:t>
      </w:r>
      <w:r w:rsidRPr="003A0CC6">
        <w:rPr>
          <w:rFonts w:ascii="Trebuchet MS" w:hAnsi="Trebuchet MS"/>
          <w:b/>
        </w:rPr>
        <w:br w:type="column"/>
      </w:r>
    </w:p>
    <w:p w:rsidR="00490FAC" w:rsidRPr="003A0CC6" w:rsidRDefault="00490FAC" w:rsidP="00490FAC">
      <w:pPr>
        <w:keepNext/>
        <w:keepLines/>
        <w:pBdr>
          <w:bottom w:val="single" w:sz="4" w:space="1" w:color="auto"/>
        </w:pBdr>
        <w:jc w:val="both"/>
        <w:rPr>
          <w:rFonts w:ascii="Trebuchet MS" w:hAnsi="Trebuchet MS"/>
          <w:b/>
        </w:rPr>
      </w:pPr>
      <w:r w:rsidRPr="003A0CC6">
        <w:rPr>
          <w:rFonts w:ascii="Trebuchet MS" w:hAnsi="Trebuchet MS"/>
          <w:b/>
        </w:rPr>
        <w:t>Resposta da auditoria ao assunto</w:t>
      </w:r>
    </w:p>
    <w:p w:rsidR="00490FAC" w:rsidRPr="003A0CC6" w:rsidRDefault="00490FAC" w:rsidP="00490FAC">
      <w:pPr>
        <w:keepNext/>
        <w:keepLines/>
        <w:jc w:val="both"/>
        <w:rPr>
          <w:rFonts w:ascii="Trebuchet MS" w:hAnsi="Trebuchet MS"/>
        </w:rPr>
      </w:pPr>
      <w:r w:rsidRPr="0008664C">
        <w:rPr>
          <w:rFonts w:ascii="Trebuchet MS" w:hAnsi="Trebuchet MS"/>
        </w:rPr>
        <w:t xml:space="preserve">Nossos procedimentos de auditoria incluíram, entre outros, a análise dos cálculos da determinação e atualização dos ativos e passivos setoriais contabilizados pela Companhia, a discussão sobre as premissas utilizadas pela Administração para seu reconhecimento e mensuração, o confronto com informações externas do mercado e estabelecidas pelo Regulador, assim como a análise das variações ocorridas nas últimas revisões tarifárias anuais. Assim como a revisão da adequada divulgação da nota explicativa nº 2.9 às demonstrações contábeis em conformidade com as práticas contábeis adotadas no Brasil e as normas internacionais de relatório financeiro (IFRS) emitidas pelo </w:t>
      </w:r>
      <w:proofErr w:type="spellStart"/>
      <w:r w:rsidRPr="0008664C">
        <w:rPr>
          <w:rFonts w:ascii="Trebuchet MS" w:hAnsi="Trebuchet MS"/>
        </w:rPr>
        <w:t>International</w:t>
      </w:r>
      <w:proofErr w:type="spellEnd"/>
      <w:r w:rsidRPr="0008664C">
        <w:rPr>
          <w:rFonts w:ascii="Trebuchet MS" w:hAnsi="Trebuchet MS"/>
        </w:rPr>
        <w:t xml:space="preserve"> </w:t>
      </w:r>
      <w:proofErr w:type="spellStart"/>
      <w:r w:rsidRPr="0008664C">
        <w:rPr>
          <w:rFonts w:ascii="Trebuchet MS" w:hAnsi="Trebuchet MS"/>
        </w:rPr>
        <w:t>Accounting</w:t>
      </w:r>
      <w:proofErr w:type="spellEnd"/>
      <w:r w:rsidRPr="0008664C">
        <w:rPr>
          <w:rFonts w:ascii="Trebuchet MS" w:hAnsi="Trebuchet MS"/>
        </w:rPr>
        <w:t xml:space="preserve"> Standards </w:t>
      </w:r>
      <w:proofErr w:type="spellStart"/>
      <w:r w:rsidRPr="0008664C">
        <w:rPr>
          <w:rFonts w:ascii="Trebuchet MS" w:hAnsi="Trebuchet MS"/>
        </w:rPr>
        <w:t>Board</w:t>
      </w:r>
      <w:proofErr w:type="spellEnd"/>
      <w:r w:rsidRPr="0008664C">
        <w:rPr>
          <w:rFonts w:ascii="Trebuchet MS" w:hAnsi="Trebuchet MS"/>
        </w:rPr>
        <w:t xml:space="preserve"> (IASB).</w:t>
      </w:r>
    </w:p>
    <w:p w:rsidR="00490FAC"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p>
    <w:p w:rsidR="00490FAC" w:rsidRPr="003A0CC6" w:rsidRDefault="00490FAC" w:rsidP="00490FAC">
      <w:pPr>
        <w:keepNext/>
        <w:keepLines/>
        <w:jc w:val="both"/>
        <w:rPr>
          <w:rFonts w:ascii="Trebuchet MS" w:hAnsi="Trebuchet MS"/>
        </w:rPr>
        <w:sectPr w:rsidR="00490FAC" w:rsidRPr="003A0CC6" w:rsidSect="005B2075">
          <w:type w:val="continuous"/>
          <w:pgSz w:w="11906" w:h="16838"/>
          <w:pgMar w:top="2552" w:right="1134" w:bottom="1134" w:left="1701" w:header="709" w:footer="709" w:gutter="0"/>
          <w:cols w:num="2" w:space="281"/>
          <w:titlePg/>
          <w:docGrid w:linePitch="360"/>
        </w:sectPr>
      </w:pPr>
    </w:p>
    <w:p w:rsidR="00490FAC" w:rsidRPr="003A0CC6" w:rsidRDefault="00490FAC" w:rsidP="00490FAC">
      <w:pPr>
        <w:keepNext/>
        <w:keepLines/>
        <w:jc w:val="both"/>
        <w:rPr>
          <w:rFonts w:ascii="Trebuchet MS" w:hAnsi="Trebuchet MS"/>
        </w:rPr>
        <w:sectPr w:rsidR="00490FAC" w:rsidRPr="003A0CC6" w:rsidSect="005B2075">
          <w:type w:val="continuous"/>
          <w:pgSz w:w="11906" w:h="16838"/>
          <w:pgMar w:top="2552" w:right="1134" w:bottom="1134" w:left="1701" w:header="709" w:footer="709" w:gutter="0"/>
          <w:cols w:space="281"/>
          <w:titlePg/>
          <w:docGrid w:linePitch="360"/>
        </w:sectPr>
      </w:pPr>
    </w:p>
    <w:p w:rsidR="00490FAC" w:rsidRPr="003A0CC6" w:rsidRDefault="00490FAC" w:rsidP="00490FAC">
      <w:pPr>
        <w:keepNext/>
        <w:keepLines/>
        <w:pBdr>
          <w:bottom w:val="single" w:sz="4" w:space="1" w:color="auto"/>
        </w:pBdr>
        <w:jc w:val="both"/>
        <w:rPr>
          <w:rFonts w:ascii="Trebuchet MS" w:hAnsi="Trebuchet MS"/>
          <w:b/>
        </w:rPr>
      </w:pPr>
      <w:r>
        <w:rPr>
          <w:rFonts w:ascii="Trebuchet MS" w:hAnsi="Trebuchet MS"/>
          <w:b/>
        </w:rPr>
        <w:lastRenderedPageBreak/>
        <w:t xml:space="preserve">Avaliação de </w:t>
      </w:r>
      <w:proofErr w:type="spellStart"/>
      <w:r>
        <w:rPr>
          <w:rFonts w:ascii="Trebuchet MS" w:hAnsi="Trebuchet MS"/>
          <w:b/>
        </w:rPr>
        <w:t>Impairment</w:t>
      </w:r>
      <w:proofErr w:type="spellEnd"/>
      <w:r>
        <w:rPr>
          <w:rFonts w:ascii="Trebuchet MS" w:hAnsi="Trebuchet MS"/>
          <w:b/>
        </w:rPr>
        <w:t xml:space="preserve"> (Imobilizado e Intangível)</w:t>
      </w:r>
    </w:p>
    <w:p w:rsidR="00490FAC" w:rsidRDefault="00490FAC" w:rsidP="00490FAC">
      <w:pPr>
        <w:keepNext/>
        <w:keepLines/>
        <w:jc w:val="both"/>
        <w:rPr>
          <w:rFonts w:ascii="Trebuchet MS" w:hAnsi="Trebuchet MS"/>
        </w:rPr>
      </w:pPr>
      <w:r w:rsidRPr="003A0CC6">
        <w:rPr>
          <w:rFonts w:ascii="Trebuchet MS" w:hAnsi="Trebuchet MS"/>
        </w:rPr>
        <w:t xml:space="preserve">A Companhia </w:t>
      </w:r>
      <w:r w:rsidRPr="005F33CA">
        <w:rPr>
          <w:rFonts w:ascii="Trebuchet MS" w:hAnsi="Trebuchet MS"/>
        </w:rPr>
        <w:t>Conforme nota explicativa n° 2.5.3, a controlada direta CEB Distribuição S.A. possui a parcela dos investimentos realizados e não amortizados até o final da concessão classificada como ativo financeiro da concessão, por ser um direito incondicional de receber caixa ou outro ativo financeiro diretamente do poder concedente. Os saldos compostos pelos direitos de uso dos bens vinculados ao contrato de serviço de concessão amortizáveis até o prazo final da concessão são reconhecidos como ativo intangível na Companhia. Em função desta orientação, existe o risco de que a bifurcação entre ativo financeiro e ativo intangível apresente distorções atribuídas a erros nas estimativas preparadas pela Companhia. Adicionalmente, observa-se que o ativo financeiro, que representa a indenização a ser paga pelo Poder Concedente ao final da concessão para o concessionário, por investimentos de bens não reversíveis e não amortizados, deve ser atualizado conforme orientações do Órgão Regulador. Devido a relevância, complexidade e julgamento envolvido que pode impactar o valor desses ativos nas demonstrações contábeis, consideramos esse assunto significativo para a nossa auditoria.</w:t>
      </w:r>
    </w:p>
    <w:p w:rsidR="00490FAC" w:rsidRDefault="00490FAC" w:rsidP="00490FAC">
      <w:pPr>
        <w:keepNext/>
        <w:keepLines/>
        <w:jc w:val="both"/>
        <w:rPr>
          <w:rFonts w:ascii="Trebuchet MS" w:hAnsi="Trebuchet MS"/>
        </w:rPr>
      </w:pPr>
    </w:p>
    <w:p w:rsidR="00490FAC" w:rsidRPr="003A0CC6" w:rsidRDefault="00490FAC" w:rsidP="00490FAC">
      <w:pPr>
        <w:keepNext/>
        <w:keepLines/>
        <w:jc w:val="both"/>
        <w:rPr>
          <w:rFonts w:ascii="Trebuchet MS" w:hAnsi="Trebuchet MS"/>
        </w:rPr>
      </w:pPr>
    </w:p>
    <w:p w:rsidR="00490FAC" w:rsidRDefault="00490FAC" w:rsidP="00490FAC">
      <w:pPr>
        <w:keepNext/>
        <w:keepLines/>
        <w:pBdr>
          <w:bottom w:val="single" w:sz="4" w:space="1" w:color="auto"/>
        </w:pBdr>
        <w:jc w:val="both"/>
        <w:rPr>
          <w:rFonts w:ascii="Trebuchet MS" w:hAnsi="Trebuchet MS"/>
          <w:b/>
        </w:rPr>
      </w:pPr>
      <w:r w:rsidRPr="003A0CC6">
        <w:rPr>
          <w:rFonts w:ascii="Trebuchet MS" w:hAnsi="Trebuchet MS"/>
          <w:b/>
        </w:rPr>
        <w:br w:type="column"/>
      </w:r>
    </w:p>
    <w:p w:rsidR="00490FAC" w:rsidRPr="003A0CC6" w:rsidRDefault="00490FAC" w:rsidP="00490FAC">
      <w:pPr>
        <w:keepNext/>
        <w:keepLines/>
        <w:pBdr>
          <w:bottom w:val="single" w:sz="4" w:space="1" w:color="auto"/>
        </w:pBdr>
        <w:jc w:val="both"/>
        <w:rPr>
          <w:rFonts w:ascii="Trebuchet MS" w:hAnsi="Trebuchet MS"/>
          <w:b/>
        </w:rPr>
      </w:pPr>
      <w:r w:rsidRPr="003A0CC6">
        <w:rPr>
          <w:rFonts w:ascii="Trebuchet MS" w:hAnsi="Trebuchet MS"/>
          <w:b/>
        </w:rPr>
        <w:t>Resposta da auditoria ao assunto</w:t>
      </w:r>
    </w:p>
    <w:p w:rsidR="00490FAC" w:rsidRPr="003A0CC6" w:rsidRDefault="00490FAC" w:rsidP="00490FAC">
      <w:pPr>
        <w:keepNext/>
        <w:keepLines/>
        <w:jc w:val="both"/>
        <w:rPr>
          <w:rFonts w:ascii="Trebuchet MS" w:hAnsi="Trebuchet MS"/>
        </w:rPr>
      </w:pPr>
      <w:r w:rsidRPr="0043339D">
        <w:rPr>
          <w:rFonts w:ascii="Trebuchet MS" w:hAnsi="Trebuchet MS"/>
        </w:rPr>
        <w:t xml:space="preserve">Nossos procedimentos de auditoria incluíram a avaliação do desenho, implementação e efetividade operacional dos controles internos chave relacionados à parcela dos investimentos realizados e o montante destes ativos que não serão amortizados até o final do prazo da concessão. Avaliamos se a parcela remanescente à determinação do ativo financeiro (valor residual) da Companhia está classificada como ativo intangível em virtude da sua recuperação estar condicional à utilização do serviço público, dentro do período da concessão estabelecido. Adicionalmente, avaliamos os critérios e metodologia de bifurcação do ativo da Companhia e analisamos os cálculos efetuados da atualização da base de remuneração associada aos ativos existentes em operação de acordo com o último ciclo tarifário da Companhia, em linha com o Manual de Procedimentos de Regulação Tarifária aprovado pela ANEEL, além de revisarmos a conciliação da base de remuneração regulatória (BRR) homologada pela ANEEL com respectivos saldos contábeis. Assim como a revisão da adequada divulgação da nota explicativa nº2.5.3 às demonstrações contábeis em conformidade com as práticas contábeis adotadas no Brasil e as normas internacionais de relatório financeiro (IFRS) emitidas pelo </w:t>
      </w:r>
      <w:proofErr w:type="spellStart"/>
      <w:r w:rsidRPr="0043339D">
        <w:rPr>
          <w:rFonts w:ascii="Trebuchet MS" w:hAnsi="Trebuchet MS"/>
        </w:rPr>
        <w:t>International</w:t>
      </w:r>
      <w:proofErr w:type="spellEnd"/>
      <w:r w:rsidRPr="0043339D">
        <w:rPr>
          <w:rFonts w:ascii="Trebuchet MS" w:hAnsi="Trebuchet MS"/>
        </w:rPr>
        <w:t xml:space="preserve"> </w:t>
      </w:r>
      <w:proofErr w:type="spellStart"/>
      <w:r w:rsidRPr="0043339D">
        <w:rPr>
          <w:rFonts w:ascii="Trebuchet MS" w:hAnsi="Trebuchet MS"/>
        </w:rPr>
        <w:t>Accounting</w:t>
      </w:r>
      <w:proofErr w:type="spellEnd"/>
      <w:r w:rsidRPr="0043339D">
        <w:rPr>
          <w:rFonts w:ascii="Trebuchet MS" w:hAnsi="Trebuchet MS"/>
        </w:rPr>
        <w:t xml:space="preserve"> Standards </w:t>
      </w:r>
      <w:proofErr w:type="spellStart"/>
      <w:r w:rsidRPr="0043339D">
        <w:rPr>
          <w:rFonts w:ascii="Trebuchet MS" w:hAnsi="Trebuchet MS"/>
        </w:rPr>
        <w:t>Board</w:t>
      </w:r>
      <w:proofErr w:type="spellEnd"/>
      <w:r w:rsidRPr="0043339D">
        <w:rPr>
          <w:rFonts w:ascii="Trebuchet MS" w:hAnsi="Trebuchet MS"/>
        </w:rPr>
        <w:t xml:space="preserve"> (IASB).</w:t>
      </w:r>
    </w:p>
    <w:p w:rsidR="00490FAC" w:rsidRPr="00490FAC" w:rsidRDefault="00490FAC" w:rsidP="00490FAC">
      <w:pPr>
        <w:pStyle w:val="PargrafodaLista"/>
        <w:keepNext/>
        <w:keepLines/>
        <w:spacing w:after="0" w:line="240" w:lineRule="auto"/>
        <w:ind w:left="284"/>
        <w:jc w:val="both"/>
        <w:rPr>
          <w:rFonts w:ascii="Trebuchet MS" w:hAnsi="Trebuchet MS"/>
          <w:sz w:val="20"/>
          <w:szCs w:val="20"/>
          <w:lang w:val="pt-BR"/>
        </w:rPr>
      </w:pPr>
    </w:p>
    <w:p w:rsidR="00490FAC" w:rsidRPr="003A0CC6" w:rsidRDefault="00490FAC" w:rsidP="00490FAC">
      <w:pPr>
        <w:rPr>
          <w:rFonts w:ascii="Trebuchet MS" w:hAnsi="Trebuchet MS"/>
          <w:b/>
        </w:rPr>
        <w:sectPr w:rsidR="00490FAC" w:rsidRPr="003A0CC6" w:rsidSect="00FC3661">
          <w:type w:val="continuous"/>
          <w:pgSz w:w="11906" w:h="16838"/>
          <w:pgMar w:top="1985" w:right="1134" w:bottom="1134" w:left="1701" w:header="709" w:footer="709" w:gutter="0"/>
          <w:cols w:num="2" w:space="281"/>
          <w:titlePg/>
          <w:docGrid w:linePitch="360"/>
        </w:sectPr>
      </w:pPr>
    </w:p>
    <w:p w:rsidR="00490FAC" w:rsidRPr="003A0CC6" w:rsidRDefault="00490FAC" w:rsidP="00490FAC">
      <w:pPr>
        <w:rPr>
          <w:rFonts w:ascii="Trebuchet MS" w:hAnsi="Trebuchet MS"/>
          <w:b/>
        </w:rPr>
      </w:pPr>
    </w:p>
    <w:p w:rsidR="00490FAC" w:rsidRPr="00FC3661" w:rsidRDefault="00490FAC" w:rsidP="00490FAC">
      <w:pPr>
        <w:keepNext/>
        <w:keepLines/>
        <w:pBdr>
          <w:bottom w:val="single" w:sz="4" w:space="1" w:color="auto"/>
        </w:pBdr>
        <w:jc w:val="both"/>
        <w:rPr>
          <w:rFonts w:ascii="Trebuchet MS" w:hAnsi="Trebuchet MS"/>
          <w:b/>
        </w:rPr>
        <w:sectPr w:rsidR="00490FAC" w:rsidRPr="00FC3661" w:rsidSect="00AC310D">
          <w:type w:val="continuous"/>
          <w:pgSz w:w="11906" w:h="16838"/>
          <w:pgMar w:top="2552" w:right="1134" w:bottom="1134" w:left="1701" w:header="709" w:footer="709" w:gutter="0"/>
          <w:cols w:space="281"/>
          <w:titlePg/>
          <w:docGrid w:linePitch="360"/>
        </w:sectPr>
      </w:pPr>
    </w:p>
    <w:p w:rsidR="00490FAC" w:rsidRPr="00FC3661" w:rsidRDefault="00490FAC" w:rsidP="00490FAC">
      <w:pPr>
        <w:pBdr>
          <w:bottom w:val="single" w:sz="4" w:space="1" w:color="auto"/>
        </w:pBdr>
        <w:shd w:val="clear" w:color="auto" w:fill="FFFFFF"/>
        <w:rPr>
          <w:rFonts w:ascii="Trebuchet MS" w:hAnsi="Trebuchet MS" w:cs="Arial"/>
          <w:b/>
          <w:color w:val="222222"/>
          <w:sz w:val="19"/>
          <w:szCs w:val="19"/>
        </w:rPr>
      </w:pPr>
      <w:r>
        <w:rPr>
          <w:rFonts w:ascii="Trebuchet MS" w:hAnsi="Trebuchet MS" w:cs="Arial"/>
          <w:b/>
          <w:color w:val="222222"/>
          <w:sz w:val="19"/>
          <w:szCs w:val="19"/>
        </w:rPr>
        <w:lastRenderedPageBreak/>
        <w:t>Reconhecimento de Benefícios Pós Emprego</w:t>
      </w:r>
    </w:p>
    <w:p w:rsidR="00490FAC" w:rsidRPr="00B400BB" w:rsidRDefault="00490FAC" w:rsidP="00490FAC">
      <w:pPr>
        <w:shd w:val="clear" w:color="auto" w:fill="FFFFFF"/>
        <w:rPr>
          <w:rFonts w:ascii="Trebuchet MS" w:hAnsi="Trebuchet MS" w:cs="Arial"/>
          <w:color w:val="222222"/>
          <w:sz w:val="2"/>
          <w:szCs w:val="2"/>
        </w:rPr>
      </w:pPr>
    </w:p>
    <w:p w:rsidR="00490FAC" w:rsidRPr="00FC3661" w:rsidRDefault="00490FAC" w:rsidP="00490FAC">
      <w:pPr>
        <w:shd w:val="clear" w:color="auto" w:fill="FFFFFF"/>
        <w:jc w:val="both"/>
        <w:rPr>
          <w:rFonts w:ascii="Trebuchet MS" w:hAnsi="Trebuchet MS" w:cs="Arial"/>
          <w:b/>
          <w:color w:val="222222"/>
          <w:sz w:val="19"/>
          <w:szCs w:val="19"/>
        </w:rPr>
      </w:pPr>
      <w:r w:rsidRPr="00B400BB">
        <w:rPr>
          <w:rFonts w:ascii="Trebuchet MS" w:hAnsi="Trebuchet MS" w:cs="Arial"/>
          <w:color w:val="222222"/>
          <w:sz w:val="19"/>
          <w:szCs w:val="19"/>
        </w:rPr>
        <w:t>Conforme nota explicativa n° 25, a controlada direta CEB Distribuição S.A. possui benefícios pós-emprego no qual a obrigação é calculada com base na estimativa do valor do benefício futuro que os empregados receberão como retorno pelos serviços prestados. Em virtude da complexidade e subjetividade na estimativa decorrente da avaliação atuarial dos planos de saúde e benefício, conforme requerido pelo CPC 33 – Benefício pós–emprego, a Companhia possui risco quanto a adequada mensuração e contabilização dos ativos e passivos decorrente a benefícios pós-emprego, além do alto grau de julgamento associado ao processo de mensuração da obrigação atuarial da Companhia, que inclui a utilização de premissas altamente subjetivas e complexas tais como taxas de juros de longo prazo, taxas de rendimento dos ativos dos planos, índice de aumento salarial, rotatividade, mortalidade, taxas de desconto e inflação. Variações nestas premissas podem ter um impacto relevante sobre os montantes reconhecidos nas demonstrações contábeis.</w:t>
      </w:r>
      <w:r w:rsidRPr="003A0CC6">
        <w:rPr>
          <w:rFonts w:ascii="Trebuchet MS" w:hAnsi="Trebuchet MS" w:cs="Arial"/>
          <w:b/>
          <w:color w:val="222222"/>
          <w:sz w:val="19"/>
          <w:szCs w:val="19"/>
        </w:rPr>
        <w:br w:type="column"/>
      </w:r>
      <w:r w:rsidRPr="00FC3661">
        <w:rPr>
          <w:rFonts w:ascii="Trebuchet MS" w:hAnsi="Trebuchet MS" w:cs="Arial"/>
          <w:b/>
          <w:color w:val="222222"/>
          <w:sz w:val="19"/>
          <w:szCs w:val="19"/>
        </w:rPr>
        <w:lastRenderedPageBreak/>
        <w:t>Resposta da auditoria ao assunto</w:t>
      </w:r>
    </w:p>
    <w:p w:rsidR="00490FAC" w:rsidRPr="00420518" w:rsidRDefault="00490FAC" w:rsidP="00490FAC">
      <w:pPr>
        <w:pBdr>
          <w:top w:val="single" w:sz="4" w:space="1" w:color="auto"/>
        </w:pBdr>
        <w:shd w:val="clear" w:color="auto" w:fill="FFFFFF"/>
        <w:jc w:val="both"/>
        <w:rPr>
          <w:rFonts w:ascii="Trebuchet MS" w:hAnsi="Trebuchet MS" w:cs="Arial"/>
          <w:color w:val="222222"/>
          <w:sz w:val="19"/>
          <w:szCs w:val="19"/>
        </w:rPr>
      </w:pPr>
      <w:r w:rsidRPr="00420518">
        <w:rPr>
          <w:rFonts w:ascii="Trebuchet MS" w:hAnsi="Trebuchet MS" w:cs="Arial"/>
          <w:color w:val="222222"/>
          <w:sz w:val="19"/>
          <w:szCs w:val="19"/>
        </w:rPr>
        <w:t>Nossos procedimentos de auditoria incluíram, entre outros, o envolvimento de especialistas da área atuarial para nos auxiliar na avaliação das premissas utilizadas no cálculo dos passivos atuariais dos planos de benefícios pós emprego, comparando as mesmas com dados de mercado comparáveis e parâmetros de referência desenvolvidos internamente a partir de cálculos independentes efetuados como parte de nossos procedimentos. Adicionalmente, nossos especialistas nos auxiliaram na avaliação da adequação das divulgações realizadas pela Companhia em relação ao assunto. Relativamente aos ativos do Plano, nossos procedimentos de auditoria incluíram testes de confirmação de existência e avaliação em conjunto com especialistas sobre a avaliação efetuada desses ativos. Assim como a revisão da adequada divulgação da nota explicativa nº</w:t>
      </w:r>
      <w:r>
        <w:rPr>
          <w:rFonts w:ascii="Trebuchet MS" w:hAnsi="Trebuchet MS" w:cs="Arial"/>
          <w:color w:val="222222"/>
          <w:sz w:val="19"/>
          <w:szCs w:val="19"/>
        </w:rPr>
        <w:t xml:space="preserve"> 25</w:t>
      </w:r>
      <w:r w:rsidRPr="00420518">
        <w:rPr>
          <w:rFonts w:ascii="Trebuchet MS" w:hAnsi="Trebuchet MS" w:cs="Arial"/>
          <w:color w:val="222222"/>
          <w:sz w:val="19"/>
          <w:szCs w:val="19"/>
        </w:rPr>
        <w:t xml:space="preserve"> às demonstrações contábeis em conformidade com as práticas contábeis adotadas no Brasil e as normas internacionais de relatório financeiro (IFRS) emitidas pelo </w:t>
      </w:r>
      <w:proofErr w:type="spellStart"/>
      <w:r w:rsidRPr="00420518">
        <w:rPr>
          <w:rFonts w:ascii="Trebuchet MS" w:hAnsi="Trebuchet MS" w:cs="Arial"/>
          <w:color w:val="222222"/>
          <w:sz w:val="19"/>
          <w:szCs w:val="19"/>
        </w:rPr>
        <w:t>International</w:t>
      </w:r>
      <w:proofErr w:type="spellEnd"/>
      <w:r w:rsidRPr="00420518">
        <w:rPr>
          <w:rFonts w:ascii="Trebuchet MS" w:hAnsi="Trebuchet MS" w:cs="Arial"/>
          <w:color w:val="222222"/>
          <w:sz w:val="19"/>
          <w:szCs w:val="19"/>
        </w:rPr>
        <w:t xml:space="preserve"> </w:t>
      </w:r>
      <w:proofErr w:type="spellStart"/>
      <w:r w:rsidRPr="00420518">
        <w:rPr>
          <w:rFonts w:ascii="Trebuchet MS" w:hAnsi="Trebuchet MS" w:cs="Arial"/>
          <w:color w:val="222222"/>
          <w:sz w:val="19"/>
          <w:szCs w:val="19"/>
        </w:rPr>
        <w:t>Accounting</w:t>
      </w:r>
      <w:proofErr w:type="spellEnd"/>
      <w:r w:rsidRPr="00420518">
        <w:rPr>
          <w:rFonts w:ascii="Trebuchet MS" w:hAnsi="Trebuchet MS" w:cs="Arial"/>
          <w:color w:val="222222"/>
          <w:sz w:val="19"/>
          <w:szCs w:val="19"/>
        </w:rPr>
        <w:t xml:space="preserve"> Standards </w:t>
      </w:r>
      <w:proofErr w:type="spellStart"/>
      <w:r w:rsidRPr="00420518">
        <w:rPr>
          <w:rFonts w:ascii="Trebuchet MS" w:hAnsi="Trebuchet MS" w:cs="Arial"/>
          <w:color w:val="222222"/>
          <w:sz w:val="19"/>
          <w:szCs w:val="19"/>
        </w:rPr>
        <w:t>Board</w:t>
      </w:r>
      <w:proofErr w:type="spellEnd"/>
      <w:r w:rsidRPr="00420518">
        <w:rPr>
          <w:rFonts w:ascii="Trebuchet MS" w:hAnsi="Trebuchet MS" w:cs="Arial"/>
          <w:color w:val="222222"/>
          <w:sz w:val="19"/>
          <w:szCs w:val="19"/>
        </w:rPr>
        <w:t xml:space="preserve"> (IASB).</w:t>
      </w:r>
    </w:p>
    <w:p w:rsidR="00490FAC" w:rsidRPr="00490FAC" w:rsidRDefault="00490FAC" w:rsidP="00490FAC">
      <w:pPr>
        <w:pStyle w:val="PargrafodaLista"/>
        <w:shd w:val="clear" w:color="auto" w:fill="FFFFFF"/>
        <w:spacing w:after="0" w:line="240" w:lineRule="auto"/>
        <w:ind w:left="142"/>
        <w:jc w:val="both"/>
        <w:rPr>
          <w:rFonts w:ascii="Trebuchet MS" w:hAnsi="Trebuchet MS" w:cs="Arial"/>
          <w:color w:val="222222"/>
          <w:sz w:val="19"/>
          <w:szCs w:val="19"/>
          <w:lang w:val="pt-BR" w:eastAsia="pt-BR"/>
        </w:rPr>
      </w:pPr>
    </w:p>
    <w:p w:rsidR="00490FAC" w:rsidRPr="003A0CC6" w:rsidRDefault="00490FAC" w:rsidP="00490FAC">
      <w:pPr>
        <w:keepNext/>
        <w:keepLines/>
        <w:pBdr>
          <w:bottom w:val="single" w:sz="4" w:space="1" w:color="auto"/>
        </w:pBdr>
        <w:jc w:val="both"/>
        <w:rPr>
          <w:rFonts w:ascii="Trebuchet MS" w:hAnsi="Trebuchet MS"/>
          <w:b/>
        </w:rPr>
      </w:pPr>
      <w:proofErr w:type="spellStart"/>
      <w:r>
        <w:rPr>
          <w:rFonts w:ascii="Trebuchet MS" w:hAnsi="Trebuchet MS"/>
          <w:b/>
        </w:rPr>
        <w:lastRenderedPageBreak/>
        <w:t>Covenants</w:t>
      </w:r>
      <w:proofErr w:type="spellEnd"/>
      <w:r>
        <w:rPr>
          <w:rFonts w:ascii="Trebuchet MS" w:hAnsi="Trebuchet MS"/>
          <w:b/>
        </w:rPr>
        <w:t xml:space="preserve"> – Contrato de Concessão</w:t>
      </w:r>
    </w:p>
    <w:p w:rsidR="00490FAC" w:rsidRPr="003A0CC6" w:rsidRDefault="00490FAC" w:rsidP="00490FAC">
      <w:pPr>
        <w:keepNext/>
        <w:keepLines/>
        <w:jc w:val="both"/>
        <w:rPr>
          <w:rFonts w:ascii="Trebuchet MS" w:hAnsi="Trebuchet MS"/>
        </w:rPr>
      </w:pPr>
      <w:r w:rsidRPr="00DE6437">
        <w:rPr>
          <w:rFonts w:ascii="Trebuchet MS" w:hAnsi="Trebuchet MS"/>
        </w:rPr>
        <w:t xml:space="preserve">Conforme nota explicativa n° 2.1.1, a controlada direta CEB Distribuição S.A. assinou em 09 de dezembro de 2015, novo contrato de Concessão que prevê cláusulas restritivas, a saber: </w:t>
      </w:r>
      <w:proofErr w:type="gramStart"/>
      <w:r w:rsidRPr="00DE6437">
        <w:rPr>
          <w:rFonts w:ascii="Trebuchet MS" w:hAnsi="Trebuchet MS"/>
        </w:rPr>
        <w:t>i)cumprimento</w:t>
      </w:r>
      <w:proofErr w:type="gramEnd"/>
      <w:r w:rsidRPr="00DE6437">
        <w:rPr>
          <w:rFonts w:ascii="Trebuchet MS" w:hAnsi="Trebuchet MS"/>
        </w:rPr>
        <w:t xml:space="preserve"> de limites anuais globais de Indicadores de Continuidade coletivos por 2 anos consecutivos ou no ano de 2020 e </w:t>
      </w:r>
      <w:proofErr w:type="spellStart"/>
      <w:r w:rsidRPr="00DE6437">
        <w:rPr>
          <w:rFonts w:ascii="Trebuchet MS" w:hAnsi="Trebuchet MS"/>
        </w:rPr>
        <w:t>ii</w:t>
      </w:r>
      <w:proofErr w:type="spellEnd"/>
      <w:r w:rsidRPr="00DE6437">
        <w:rPr>
          <w:rFonts w:ascii="Trebuchet MS" w:hAnsi="Trebuchet MS"/>
        </w:rPr>
        <w:t>) condição de Sustentabilidade Econômica e Financeira, podendo acarretar a extinção da Concessão caso as cláusulas não sejam cumpridas.</w:t>
      </w:r>
    </w:p>
    <w:p w:rsidR="00490FAC" w:rsidRPr="003A0CC6" w:rsidRDefault="00490FAC" w:rsidP="00490FAC">
      <w:pPr>
        <w:keepNext/>
        <w:keepLines/>
        <w:jc w:val="both"/>
        <w:rPr>
          <w:rFonts w:ascii="Trebuchet MS" w:hAnsi="Trebuchet MS"/>
          <w:b/>
        </w:rPr>
      </w:pPr>
    </w:p>
    <w:p w:rsidR="00490FAC" w:rsidRPr="003A0CC6" w:rsidRDefault="00490FAC" w:rsidP="00490FAC">
      <w:pPr>
        <w:keepNext/>
        <w:keepLines/>
        <w:pBdr>
          <w:bottom w:val="single" w:sz="4" w:space="1" w:color="auto"/>
        </w:pBdr>
        <w:jc w:val="both"/>
        <w:rPr>
          <w:rFonts w:ascii="Trebuchet MS" w:hAnsi="Trebuchet MS"/>
          <w:b/>
        </w:rPr>
      </w:pPr>
      <w:r w:rsidRPr="003A0CC6">
        <w:rPr>
          <w:rFonts w:ascii="Trebuchet MS" w:hAnsi="Trebuchet MS"/>
          <w:b/>
        </w:rPr>
        <w:br w:type="column"/>
      </w:r>
      <w:r w:rsidRPr="003A0CC6">
        <w:rPr>
          <w:rFonts w:ascii="Trebuchet MS" w:hAnsi="Trebuchet MS"/>
          <w:b/>
        </w:rPr>
        <w:lastRenderedPageBreak/>
        <w:t>Resposta da auditoria ao assunto</w:t>
      </w:r>
    </w:p>
    <w:p w:rsidR="00490FAC" w:rsidRDefault="00490FAC" w:rsidP="00490FAC">
      <w:pPr>
        <w:keepNext/>
        <w:keepLines/>
        <w:jc w:val="both"/>
        <w:rPr>
          <w:rFonts w:ascii="Trebuchet MS" w:hAnsi="Trebuchet MS"/>
        </w:rPr>
      </w:pPr>
      <w:r w:rsidRPr="00DE6437">
        <w:rPr>
          <w:rFonts w:ascii="Trebuchet MS" w:hAnsi="Trebuchet MS"/>
        </w:rPr>
        <w:t>Os nossos procedimentos de auditoria incluíram a revisão dos indicadores de continuidade, bem como o confronto dos mesmos com o limite estabelecido no contrato de Concessão, revisão das condições econômica e financeira da Companhia, questionando as principais premissas da Administração para as taxas de crescimento de longo prazo nas previsões, por meio da comparação com previsões econômicas e setoriais. Revisamos a adequada divulgação realizada na Nota Explicativa nº</w:t>
      </w:r>
      <w:r>
        <w:rPr>
          <w:rFonts w:ascii="Trebuchet MS" w:hAnsi="Trebuchet MS"/>
        </w:rPr>
        <w:t xml:space="preserve"> 22</w:t>
      </w:r>
      <w:r w:rsidRPr="00DE6437">
        <w:rPr>
          <w:rFonts w:ascii="Trebuchet MS" w:hAnsi="Trebuchet MS"/>
        </w:rPr>
        <w:t xml:space="preserve"> às demonstrações contábeis em conformidade com as práticas contábeis adotadas no Brasil e as normas internacionais de relatório financeiro (IFRS) emitidas pelo </w:t>
      </w:r>
      <w:proofErr w:type="spellStart"/>
      <w:r w:rsidRPr="00DE6437">
        <w:rPr>
          <w:rFonts w:ascii="Trebuchet MS" w:hAnsi="Trebuchet MS"/>
        </w:rPr>
        <w:t>International</w:t>
      </w:r>
      <w:proofErr w:type="spellEnd"/>
      <w:r w:rsidRPr="00DE6437">
        <w:rPr>
          <w:rFonts w:ascii="Trebuchet MS" w:hAnsi="Trebuchet MS"/>
        </w:rPr>
        <w:t xml:space="preserve"> </w:t>
      </w:r>
      <w:proofErr w:type="spellStart"/>
      <w:r w:rsidRPr="00DE6437">
        <w:rPr>
          <w:rFonts w:ascii="Trebuchet MS" w:hAnsi="Trebuchet MS"/>
        </w:rPr>
        <w:t>Accounting</w:t>
      </w:r>
      <w:proofErr w:type="spellEnd"/>
      <w:r w:rsidRPr="00DE6437">
        <w:rPr>
          <w:rFonts w:ascii="Trebuchet MS" w:hAnsi="Trebuchet MS"/>
        </w:rPr>
        <w:t xml:space="preserve"> Standards </w:t>
      </w:r>
      <w:proofErr w:type="spellStart"/>
      <w:r w:rsidRPr="00DE6437">
        <w:rPr>
          <w:rFonts w:ascii="Trebuchet MS" w:hAnsi="Trebuchet MS"/>
        </w:rPr>
        <w:t>Board</w:t>
      </w:r>
      <w:proofErr w:type="spellEnd"/>
      <w:r w:rsidRPr="00DE6437">
        <w:rPr>
          <w:rFonts w:ascii="Trebuchet MS" w:hAnsi="Trebuchet MS"/>
        </w:rPr>
        <w:t xml:space="preserve"> (IASB).</w:t>
      </w:r>
    </w:p>
    <w:p w:rsidR="00490FAC" w:rsidRPr="00FC3661" w:rsidRDefault="00490FAC" w:rsidP="00490FAC">
      <w:pPr>
        <w:keepNext/>
        <w:keepLines/>
        <w:spacing w:line="228" w:lineRule="auto"/>
        <w:jc w:val="both"/>
        <w:rPr>
          <w:rFonts w:ascii="Trebuchet MS" w:hAnsi="Trebuchet MS"/>
        </w:rPr>
        <w:sectPr w:rsidR="00490FAC" w:rsidRPr="00FC3661" w:rsidSect="00AC310D">
          <w:type w:val="continuous"/>
          <w:pgSz w:w="11906" w:h="16838" w:code="9"/>
          <w:pgMar w:top="2268" w:right="1134" w:bottom="1134" w:left="1701" w:header="567" w:footer="567" w:gutter="0"/>
          <w:cols w:num="2" w:space="281"/>
          <w:titlePg/>
          <w:docGrid w:linePitch="360"/>
        </w:sectPr>
      </w:pPr>
    </w:p>
    <w:p w:rsidR="00490FAC" w:rsidRPr="00297FC5" w:rsidRDefault="00490FAC" w:rsidP="00490FAC">
      <w:pPr>
        <w:keepNext/>
        <w:keepLines/>
        <w:jc w:val="both"/>
        <w:rPr>
          <w:rFonts w:ascii="Trebuchet MS" w:hAnsi="Trebuchet MS"/>
          <w:b/>
          <w:color w:val="98002E"/>
        </w:rPr>
      </w:pPr>
      <w:r w:rsidRPr="00297FC5">
        <w:rPr>
          <w:rFonts w:ascii="Trebuchet MS" w:hAnsi="Trebuchet MS"/>
          <w:b/>
          <w:color w:val="98002E"/>
        </w:rPr>
        <w:lastRenderedPageBreak/>
        <w:t>Outros assuntos</w:t>
      </w:r>
    </w:p>
    <w:p w:rsidR="00490FAC" w:rsidRPr="0000388A" w:rsidRDefault="00490FAC" w:rsidP="00490FAC">
      <w:pPr>
        <w:keepNext/>
        <w:keepLines/>
        <w:jc w:val="both"/>
        <w:rPr>
          <w:rFonts w:ascii="Trebuchet MS" w:hAnsi="Trebuchet MS"/>
          <w:b/>
        </w:rPr>
      </w:pPr>
    </w:p>
    <w:p w:rsidR="00490FAC" w:rsidRPr="0000388A" w:rsidRDefault="00490FAC" w:rsidP="00490FAC">
      <w:pPr>
        <w:keepNext/>
        <w:keepLines/>
        <w:jc w:val="both"/>
        <w:rPr>
          <w:rFonts w:ascii="Trebuchet MS" w:hAnsi="Trebuchet MS"/>
          <w:b/>
        </w:rPr>
      </w:pPr>
      <w:r w:rsidRPr="0000388A">
        <w:rPr>
          <w:rFonts w:ascii="Trebuchet MS" w:hAnsi="Trebuchet MS"/>
          <w:b/>
        </w:rPr>
        <w:t>De</w:t>
      </w:r>
      <w:r>
        <w:rPr>
          <w:rFonts w:ascii="Trebuchet MS" w:hAnsi="Trebuchet MS"/>
          <w:b/>
        </w:rPr>
        <w:t>monstrações do valor adicionado</w:t>
      </w:r>
    </w:p>
    <w:p w:rsidR="00490FAC" w:rsidRPr="0000388A"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r w:rsidRPr="003E748B">
        <w:rPr>
          <w:rFonts w:ascii="Trebuchet MS" w:hAnsi="Trebuchet MS"/>
        </w:rPr>
        <w:t>As demonstrações do valor adicionado (DVA) referentes ao exercício findo em 31 de dezembro de 2016, elaboradas sob a responsabilidade da administração da Companhia, e apresentadas como informação suplementar para fins de IFRS, foram submetidas a procedimentos de auditoria executados em conjunto com a auditoria das demonstrações contábeis da Companhia. Para a formação de nossa opinião, avaliamos se essas demonstrações estão conciliadas com as demonstrações contábeis e registros contábeis, conforme aplicável, e se a sua forma e conteúdo estão de acordo com os critérios definidos no Pronunciamento Técnico CPC 09 - Demonstração do Valor Adicionado. Em nossa opinião,</w:t>
      </w:r>
      <w:r>
        <w:rPr>
          <w:rFonts w:ascii="Trebuchet MS" w:hAnsi="Trebuchet MS"/>
        </w:rPr>
        <w:t xml:space="preserve"> </w:t>
      </w:r>
      <w:r w:rsidRPr="003E748B">
        <w:rPr>
          <w:rFonts w:ascii="Trebuchet MS" w:hAnsi="Trebuchet MS"/>
        </w:rPr>
        <w:t>essas demonstrações dos valores adicionados foram adequadamente elaboradas, em todos os aspectos relevantes, segundo os critérios definidos nesse Pronunciamento Técnico e são consistentes em relação às demonstrações contábeis tomadas em conjunto.</w:t>
      </w:r>
    </w:p>
    <w:p w:rsidR="00490FAC"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cs="Arial"/>
          <w:b/>
          <w:color w:val="000000" w:themeColor="text1"/>
        </w:rPr>
      </w:pPr>
      <w:r w:rsidRPr="000742E4">
        <w:rPr>
          <w:rFonts w:ascii="Trebuchet MS" w:hAnsi="Trebuchet MS" w:cs="Arial"/>
          <w:b/>
          <w:color w:val="000000" w:themeColor="text1"/>
        </w:rPr>
        <w:t>Reapresentação dos saldos comparativos</w:t>
      </w:r>
    </w:p>
    <w:p w:rsidR="00490FAC" w:rsidRDefault="00490FAC" w:rsidP="00490FAC">
      <w:pPr>
        <w:keepNext/>
        <w:keepLines/>
        <w:jc w:val="both"/>
        <w:rPr>
          <w:rFonts w:ascii="Trebuchet MS" w:hAnsi="Trebuchet MS" w:cs="Arial"/>
          <w:b/>
          <w:color w:val="000000" w:themeColor="text1"/>
        </w:rPr>
      </w:pPr>
    </w:p>
    <w:p w:rsidR="00490FAC" w:rsidRPr="000742E4" w:rsidRDefault="00490FAC" w:rsidP="00490FAC">
      <w:pPr>
        <w:keepNext/>
        <w:keepLines/>
        <w:jc w:val="both"/>
        <w:rPr>
          <w:rFonts w:ascii="Trebuchet MS" w:hAnsi="Trebuchet MS"/>
          <w:b/>
        </w:rPr>
      </w:pPr>
      <w:r w:rsidRPr="00437259">
        <w:rPr>
          <w:rFonts w:ascii="Trebuchet MS" w:hAnsi="Trebuchet MS"/>
          <w:color w:val="000000"/>
          <w:shd w:val="clear" w:color="auto" w:fill="FFFFFF"/>
        </w:rPr>
        <w:t xml:space="preserve">Conforme mencionado na nota explicativa </w:t>
      </w:r>
      <w:r w:rsidRPr="005C021D">
        <w:rPr>
          <w:rFonts w:ascii="Trebuchet MS" w:hAnsi="Trebuchet MS" w:cs="Arial"/>
          <w:iCs/>
        </w:rPr>
        <w:t>n°</w:t>
      </w:r>
      <w:r>
        <w:rPr>
          <w:rFonts w:ascii="Trebuchet MS" w:hAnsi="Trebuchet MS" w:cs="Arial"/>
          <w:iCs/>
        </w:rPr>
        <w:t xml:space="preserve"> </w:t>
      </w:r>
      <w:r w:rsidRPr="00437259">
        <w:rPr>
          <w:rFonts w:ascii="Trebuchet MS" w:hAnsi="Trebuchet MS"/>
          <w:color w:val="000000"/>
          <w:shd w:val="clear" w:color="auto" w:fill="FFFFFF"/>
        </w:rPr>
        <w:t>3, em decorrência de erros de períodos anteriores as demonstrações contábeis individuais e consolidadas referente ao exercício findo em 31 de dezembro de 2015, apresentados para fins de comparação, foram ajustadas e estão sendo reapresentadas como previsto no CPC 23 - Políticas Contábeis, Mudança de Estimativa e Retificação de Erro e CPC 26(R1) - Apresentação das Demonstrações financeiras. Nossa opinião não contém modificação relacionada a esse assunto.</w:t>
      </w:r>
    </w:p>
    <w:p w:rsidR="00490FAC" w:rsidRDefault="00490FAC" w:rsidP="00490FAC">
      <w:pPr>
        <w:keepNext/>
        <w:keepLines/>
        <w:jc w:val="both"/>
        <w:rPr>
          <w:rFonts w:ascii="Trebuchet MS" w:hAnsi="Trebuchet MS"/>
        </w:rPr>
      </w:pPr>
    </w:p>
    <w:p w:rsidR="00490FAC" w:rsidRPr="00622F44" w:rsidRDefault="00490FAC" w:rsidP="00490FAC">
      <w:pPr>
        <w:keepNext/>
        <w:keepLines/>
        <w:jc w:val="both"/>
        <w:rPr>
          <w:rFonts w:ascii="Trebuchet MS" w:hAnsi="Trebuchet MS"/>
          <w:b/>
          <w:color w:val="98002E"/>
        </w:rPr>
      </w:pPr>
      <w:r w:rsidRPr="00622F44">
        <w:rPr>
          <w:rFonts w:ascii="Trebuchet MS" w:hAnsi="Trebuchet MS"/>
          <w:b/>
          <w:color w:val="98002E"/>
        </w:rPr>
        <w:t>Outras informações que acompanham as demonstrações contábeis individuais e consolidadas e o relatório do auditor</w:t>
      </w:r>
    </w:p>
    <w:p w:rsidR="00490FAC" w:rsidRPr="00C52B91"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r>
        <w:rPr>
          <w:rFonts w:ascii="Trebuchet MS" w:hAnsi="Trebuchet MS"/>
        </w:rPr>
        <w:t>A A</w:t>
      </w:r>
      <w:r w:rsidRPr="00B46AB4">
        <w:rPr>
          <w:rFonts w:ascii="Trebuchet MS" w:hAnsi="Trebuchet MS"/>
        </w:rPr>
        <w:t>dministração da Companhia é responsável por essas outras informações que compreendem o Relatório da Administração.</w:t>
      </w:r>
    </w:p>
    <w:p w:rsidR="00490FAC" w:rsidRDefault="00490FAC" w:rsidP="00490FAC">
      <w:pPr>
        <w:keepNext/>
        <w:keepLines/>
        <w:jc w:val="both"/>
        <w:rPr>
          <w:rFonts w:ascii="Trebuchet MS" w:hAnsi="Trebuchet MS"/>
        </w:rPr>
      </w:pPr>
    </w:p>
    <w:p w:rsidR="00490FAC" w:rsidRPr="00B46AB4" w:rsidRDefault="00490FAC" w:rsidP="00490FAC">
      <w:pPr>
        <w:keepNext/>
        <w:keepLines/>
        <w:jc w:val="both"/>
        <w:rPr>
          <w:rFonts w:ascii="Trebuchet MS" w:hAnsi="Trebuchet MS"/>
        </w:rPr>
      </w:pPr>
      <w:r w:rsidRPr="00B46AB4">
        <w:rPr>
          <w:rFonts w:ascii="Trebuchet MS" w:hAnsi="Trebuchet MS"/>
        </w:rPr>
        <w:t>Nossa opinião sobre as demonstrações contábeis</w:t>
      </w:r>
      <w:r>
        <w:rPr>
          <w:rFonts w:ascii="Trebuchet MS" w:hAnsi="Trebuchet MS"/>
        </w:rPr>
        <w:t>,</w:t>
      </w:r>
      <w:r w:rsidRPr="00B46AB4">
        <w:rPr>
          <w:rFonts w:ascii="Trebuchet MS" w:hAnsi="Trebuchet MS"/>
        </w:rPr>
        <w:t xml:space="preserve"> individuais e consolidadas</w:t>
      </w:r>
      <w:r>
        <w:rPr>
          <w:rFonts w:ascii="Trebuchet MS" w:hAnsi="Trebuchet MS"/>
        </w:rPr>
        <w:t>,</w:t>
      </w:r>
      <w:r w:rsidRPr="00B46AB4">
        <w:rPr>
          <w:rFonts w:ascii="Trebuchet MS" w:hAnsi="Trebuchet MS"/>
        </w:rPr>
        <w:t xml:space="preserve"> não abrange o Relatório da Administração e não expressamos qualquer forma de conclusão de auditoria sobre esse relatóri</w:t>
      </w:r>
      <w:r>
        <w:rPr>
          <w:rFonts w:ascii="Trebuchet MS" w:hAnsi="Trebuchet MS"/>
        </w:rPr>
        <w:t>o.</w:t>
      </w:r>
    </w:p>
    <w:p w:rsidR="00490FAC" w:rsidRPr="00B46AB4" w:rsidRDefault="00490FAC" w:rsidP="00490FAC">
      <w:pPr>
        <w:keepNext/>
        <w:keepLines/>
        <w:jc w:val="both"/>
        <w:rPr>
          <w:rFonts w:ascii="Trebuchet MS" w:hAnsi="Trebuchet MS"/>
        </w:rPr>
      </w:pPr>
    </w:p>
    <w:p w:rsidR="00490FAC" w:rsidRPr="00B46AB4" w:rsidRDefault="00490FAC" w:rsidP="00490FAC">
      <w:pPr>
        <w:keepNext/>
        <w:keepLines/>
        <w:jc w:val="both"/>
        <w:rPr>
          <w:rFonts w:ascii="Trebuchet MS" w:hAnsi="Trebuchet MS"/>
        </w:rPr>
      </w:pPr>
      <w:r w:rsidRPr="00B46AB4">
        <w:rPr>
          <w:rFonts w:ascii="Trebuchet MS" w:hAnsi="Trebuchet MS"/>
        </w:rPr>
        <w:t>Em conexão com a auditoria das demonstrações contábeis</w:t>
      </w:r>
      <w:r>
        <w:rPr>
          <w:rFonts w:ascii="Trebuchet MS" w:hAnsi="Trebuchet MS"/>
        </w:rPr>
        <w:t>,</w:t>
      </w:r>
      <w:r w:rsidRPr="00B46AB4">
        <w:rPr>
          <w:rFonts w:ascii="Trebuchet MS" w:hAnsi="Trebuchet MS"/>
        </w:rPr>
        <w:t xml:space="preserve"> individuais e consolidadas,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rsidR="00490FAC" w:rsidRPr="00B46AB4" w:rsidRDefault="00490FAC" w:rsidP="00490FAC">
      <w:pPr>
        <w:keepNext/>
        <w:keepLines/>
        <w:jc w:val="both"/>
        <w:rPr>
          <w:rFonts w:ascii="Trebuchet MS" w:hAnsi="Trebuchet MS"/>
        </w:rPr>
      </w:pPr>
    </w:p>
    <w:p w:rsidR="00490FAC" w:rsidRPr="00622F44" w:rsidRDefault="00490FAC" w:rsidP="00490FAC">
      <w:pPr>
        <w:keepNext/>
        <w:keepLines/>
        <w:jc w:val="both"/>
        <w:rPr>
          <w:rFonts w:ascii="Trebuchet MS" w:hAnsi="Trebuchet MS"/>
          <w:b/>
          <w:color w:val="98002E"/>
        </w:rPr>
      </w:pPr>
      <w:r w:rsidRPr="00622F44">
        <w:rPr>
          <w:rFonts w:ascii="Trebuchet MS" w:hAnsi="Trebuchet MS"/>
          <w:b/>
          <w:color w:val="98002E"/>
        </w:rPr>
        <w:t>Responsabilidades da administração e da governança pelas demonstrações contábeis individuais e consolidadas</w:t>
      </w:r>
    </w:p>
    <w:p w:rsidR="00490FAC" w:rsidRPr="00C52B91" w:rsidRDefault="00490FAC" w:rsidP="00490FAC">
      <w:pPr>
        <w:keepNext/>
        <w:keepLines/>
        <w:jc w:val="both"/>
        <w:rPr>
          <w:rFonts w:ascii="Trebuchet MS" w:hAnsi="Trebuchet MS"/>
        </w:rPr>
      </w:pPr>
    </w:p>
    <w:p w:rsidR="00490FAC" w:rsidRPr="00C52B91" w:rsidRDefault="00490FAC" w:rsidP="00490FAC">
      <w:pPr>
        <w:keepNext/>
        <w:keepLines/>
        <w:jc w:val="both"/>
        <w:rPr>
          <w:rFonts w:ascii="Trebuchet MS" w:hAnsi="Trebuchet MS"/>
        </w:rPr>
      </w:pPr>
      <w:r>
        <w:rPr>
          <w:rFonts w:ascii="Trebuchet MS" w:hAnsi="Trebuchet MS"/>
        </w:rPr>
        <w:t>A A</w:t>
      </w:r>
      <w:r w:rsidRPr="00C52B91">
        <w:rPr>
          <w:rFonts w:ascii="Trebuchet MS" w:hAnsi="Trebuchet MS"/>
        </w:rPr>
        <w:t>dministração é responsável pela elaboração e adequada apresentação das demonstrações contábeis</w:t>
      </w:r>
      <w:r>
        <w:rPr>
          <w:rFonts w:ascii="Trebuchet MS" w:hAnsi="Trebuchet MS"/>
        </w:rPr>
        <w:t>,</w:t>
      </w:r>
      <w:r w:rsidRPr="00C52B91">
        <w:rPr>
          <w:rFonts w:ascii="Trebuchet MS" w:hAnsi="Trebuchet MS"/>
        </w:rPr>
        <w:t xml:space="preserve"> </w:t>
      </w:r>
      <w:r>
        <w:rPr>
          <w:rFonts w:ascii="Trebuchet MS" w:hAnsi="Trebuchet MS"/>
        </w:rPr>
        <w:t xml:space="preserve">individuais e consolidadas, </w:t>
      </w:r>
      <w:r w:rsidRPr="00C52B91">
        <w:rPr>
          <w:rFonts w:ascii="Trebuchet MS" w:hAnsi="Trebuchet MS"/>
        </w:rPr>
        <w:t xml:space="preserve">de acordo com as práticas contábeis adotadas no Brasil </w:t>
      </w:r>
      <w:r>
        <w:rPr>
          <w:rFonts w:ascii="Trebuchet MS" w:hAnsi="Trebuchet MS"/>
        </w:rPr>
        <w:t xml:space="preserve">e com as normas internacionais de relatório financeiro (IFRS), emitidas pelo </w:t>
      </w:r>
      <w:proofErr w:type="spellStart"/>
      <w:r w:rsidRPr="002E08D5">
        <w:rPr>
          <w:rFonts w:ascii="Trebuchet MS" w:hAnsi="Trebuchet MS"/>
          <w:i/>
        </w:rPr>
        <w:t>International</w:t>
      </w:r>
      <w:proofErr w:type="spellEnd"/>
      <w:r w:rsidRPr="002E08D5">
        <w:rPr>
          <w:rFonts w:ascii="Trebuchet MS" w:hAnsi="Trebuchet MS"/>
          <w:i/>
        </w:rPr>
        <w:t xml:space="preserve"> </w:t>
      </w:r>
      <w:proofErr w:type="spellStart"/>
      <w:r w:rsidRPr="002E08D5">
        <w:rPr>
          <w:rFonts w:ascii="Trebuchet MS" w:hAnsi="Trebuchet MS"/>
          <w:i/>
        </w:rPr>
        <w:t>Accouting</w:t>
      </w:r>
      <w:proofErr w:type="spellEnd"/>
      <w:r w:rsidRPr="002E08D5">
        <w:rPr>
          <w:rFonts w:ascii="Trebuchet MS" w:hAnsi="Trebuchet MS"/>
          <w:i/>
        </w:rPr>
        <w:t xml:space="preserve"> Standards </w:t>
      </w:r>
      <w:proofErr w:type="spellStart"/>
      <w:r w:rsidRPr="002E08D5">
        <w:rPr>
          <w:rFonts w:ascii="Trebuchet MS" w:hAnsi="Trebuchet MS"/>
          <w:i/>
        </w:rPr>
        <w:t>Board</w:t>
      </w:r>
      <w:proofErr w:type="spellEnd"/>
      <w:r w:rsidRPr="002E08D5">
        <w:rPr>
          <w:rFonts w:ascii="Trebuchet MS" w:hAnsi="Trebuchet MS"/>
          <w:i/>
        </w:rPr>
        <w:t xml:space="preserve"> (IASB)</w:t>
      </w:r>
      <w:r>
        <w:rPr>
          <w:rFonts w:ascii="Trebuchet MS" w:hAnsi="Trebuchet MS"/>
        </w:rPr>
        <w:t xml:space="preserve"> </w:t>
      </w:r>
      <w:r w:rsidRPr="00C52B91">
        <w:rPr>
          <w:rFonts w:ascii="Trebuchet MS" w:hAnsi="Trebuchet MS"/>
        </w:rPr>
        <w:t xml:space="preserve">e pelos controles internos que ela determinou como necessários para permitir a elaboração de demonstrações contábeis livres de distorção relevante, independentemente se causada por fraude ou erro. </w:t>
      </w:r>
    </w:p>
    <w:p w:rsidR="00490FAC" w:rsidRPr="00C52B91" w:rsidRDefault="00490FAC" w:rsidP="00490FAC">
      <w:pPr>
        <w:keepNext/>
        <w:keepLines/>
        <w:jc w:val="both"/>
        <w:rPr>
          <w:rFonts w:ascii="Trebuchet MS" w:hAnsi="Trebuchet MS"/>
        </w:rPr>
      </w:pPr>
    </w:p>
    <w:p w:rsidR="00490FAC" w:rsidRPr="00B46AB4" w:rsidRDefault="00490FAC" w:rsidP="00490FAC">
      <w:pPr>
        <w:keepNext/>
        <w:keepLines/>
        <w:jc w:val="both"/>
        <w:rPr>
          <w:rFonts w:ascii="Trebuchet MS" w:hAnsi="Trebuchet MS"/>
        </w:rPr>
      </w:pPr>
      <w:r w:rsidRPr="00C52B91">
        <w:rPr>
          <w:rFonts w:ascii="Trebuchet MS" w:hAnsi="Trebuchet MS"/>
        </w:rPr>
        <w:t>Na elaboração das demonstrações contábeis</w:t>
      </w:r>
      <w:r>
        <w:rPr>
          <w:rFonts w:ascii="Trebuchet MS" w:hAnsi="Trebuchet MS"/>
        </w:rPr>
        <w:t>, individuais e consolidadas</w:t>
      </w:r>
      <w:r w:rsidRPr="00C52B91">
        <w:rPr>
          <w:rFonts w:ascii="Trebuchet MS" w:hAnsi="Trebuchet MS"/>
        </w:rPr>
        <w:t xml:space="preserve">, a administração é responsável pela avaliação da </w:t>
      </w:r>
      <w:r w:rsidRPr="00B46AB4">
        <w:rPr>
          <w:rFonts w:ascii="Trebuchet MS" w:hAnsi="Trebuchet MS"/>
        </w:rPr>
        <w:t>capacidade d</w:t>
      </w:r>
      <w:r>
        <w:rPr>
          <w:rFonts w:ascii="Trebuchet MS" w:hAnsi="Trebuchet MS"/>
        </w:rPr>
        <w:t>a</w:t>
      </w:r>
      <w:r w:rsidRPr="00B46AB4">
        <w:rPr>
          <w:rFonts w:ascii="Trebuchet MS" w:hAnsi="Trebuchet MS"/>
        </w:rPr>
        <w:t xml:space="preserve"> Companhia continuar operando, divulgando, quando aplicável, os assuntos relacionados com a sua continuidade operacional e o uso dessa base contábil na elaboração das demonstrações contábeis, a não ser que a administração pretenda liquidar a Companhia e suas controladas ou cessar suas operações, ou não tenha nenhuma alternativa realista para evitar o encerramento das operações. </w:t>
      </w:r>
    </w:p>
    <w:p w:rsidR="00490FAC" w:rsidRPr="00C52B91" w:rsidRDefault="00490FAC" w:rsidP="00490FAC">
      <w:pPr>
        <w:keepNext/>
        <w:keepLines/>
        <w:jc w:val="both"/>
        <w:rPr>
          <w:rFonts w:ascii="Trebuchet MS" w:hAnsi="Trebuchet MS"/>
        </w:rPr>
      </w:pPr>
      <w:r w:rsidRPr="00B46AB4">
        <w:rPr>
          <w:rFonts w:ascii="Trebuchet MS" w:hAnsi="Trebuchet MS"/>
        </w:rPr>
        <w:t>Os responsáveis pela governança da Companhia e suas</w:t>
      </w:r>
      <w:r>
        <w:rPr>
          <w:rFonts w:ascii="Trebuchet MS" w:hAnsi="Trebuchet MS"/>
        </w:rPr>
        <w:t xml:space="preserve"> controladas </w:t>
      </w:r>
      <w:r w:rsidRPr="00C52B91">
        <w:rPr>
          <w:rFonts w:ascii="Trebuchet MS" w:hAnsi="Trebuchet MS"/>
        </w:rPr>
        <w:t>são aqueles com responsabilidade pela supervisão do processo de elaboração</w:t>
      </w:r>
      <w:r>
        <w:rPr>
          <w:rFonts w:ascii="Trebuchet MS" w:hAnsi="Trebuchet MS"/>
        </w:rPr>
        <w:t xml:space="preserve"> das demonstrações contábeis.</w:t>
      </w:r>
      <w:r w:rsidRPr="00C52B91">
        <w:rPr>
          <w:rFonts w:ascii="Trebuchet MS" w:hAnsi="Trebuchet MS"/>
        </w:rPr>
        <w:t xml:space="preserve"> </w:t>
      </w:r>
    </w:p>
    <w:p w:rsidR="00490FAC" w:rsidRDefault="00490FAC" w:rsidP="00490FAC">
      <w:pPr>
        <w:keepNext/>
        <w:keepLines/>
        <w:jc w:val="both"/>
        <w:rPr>
          <w:rFonts w:ascii="Trebuchet MS" w:hAnsi="Trebuchet MS"/>
        </w:rPr>
      </w:pPr>
    </w:p>
    <w:p w:rsidR="00490FAC" w:rsidRDefault="00490FAC">
      <w:pPr>
        <w:rPr>
          <w:rFonts w:ascii="Trebuchet MS" w:hAnsi="Trebuchet MS"/>
          <w:b/>
          <w:color w:val="98002E"/>
        </w:rPr>
      </w:pPr>
      <w:r>
        <w:rPr>
          <w:rFonts w:ascii="Trebuchet MS" w:hAnsi="Trebuchet MS"/>
          <w:b/>
          <w:color w:val="98002E"/>
        </w:rPr>
        <w:br w:type="page"/>
      </w:r>
    </w:p>
    <w:p w:rsidR="00490FAC" w:rsidRPr="004B3F7B" w:rsidRDefault="00490FAC" w:rsidP="00490FAC">
      <w:pPr>
        <w:keepNext/>
        <w:keepLines/>
        <w:jc w:val="both"/>
        <w:rPr>
          <w:rFonts w:ascii="Trebuchet MS" w:hAnsi="Trebuchet MS"/>
          <w:b/>
          <w:color w:val="98002E"/>
        </w:rPr>
      </w:pPr>
      <w:r w:rsidRPr="004B3F7B">
        <w:rPr>
          <w:rFonts w:ascii="Trebuchet MS" w:hAnsi="Trebuchet MS"/>
          <w:b/>
          <w:color w:val="98002E"/>
        </w:rPr>
        <w:lastRenderedPageBreak/>
        <w:t>Responsabilidades do auditor pela auditoria das demonstrações contábeis individuais e consolidadas</w:t>
      </w:r>
    </w:p>
    <w:p w:rsidR="00490FAC" w:rsidRDefault="00490FAC" w:rsidP="00490FAC">
      <w:pPr>
        <w:keepNext/>
        <w:keepLines/>
        <w:jc w:val="both"/>
        <w:rPr>
          <w:rFonts w:ascii="Trebuchet MS" w:hAnsi="Trebuchet MS"/>
        </w:rPr>
      </w:pPr>
    </w:p>
    <w:p w:rsidR="00490FAC" w:rsidRPr="002E08D5" w:rsidRDefault="00490FAC" w:rsidP="00490FAC">
      <w:pPr>
        <w:keepNext/>
        <w:keepLines/>
        <w:jc w:val="both"/>
        <w:rPr>
          <w:rFonts w:ascii="Trebuchet MS" w:hAnsi="Trebuchet MS"/>
        </w:rPr>
      </w:pPr>
      <w:r w:rsidRPr="002E08D5">
        <w:rPr>
          <w:rFonts w:ascii="Trebuchet MS" w:hAnsi="Trebuchet MS"/>
        </w:rPr>
        <w:t>Nossos objetivos são obter segurança razoável de que as demonstrações contábeis</w:t>
      </w:r>
      <w:r>
        <w:rPr>
          <w:rFonts w:ascii="Trebuchet MS" w:hAnsi="Trebuchet MS"/>
        </w:rPr>
        <w:t>,</w:t>
      </w:r>
      <w:r w:rsidRPr="002E08D5">
        <w:rPr>
          <w:rFonts w:ascii="Trebuchet MS" w:hAnsi="Trebuchet MS"/>
        </w:rPr>
        <w:t xml:space="preserve"> individuais e</w:t>
      </w:r>
      <w:r>
        <w:rPr>
          <w:rFonts w:ascii="Trebuchet MS" w:hAnsi="Trebuchet MS"/>
        </w:rPr>
        <w:t xml:space="preserve"> </w:t>
      </w:r>
      <w:r w:rsidRPr="002E08D5">
        <w:rPr>
          <w:rFonts w:ascii="Trebuchet MS" w:hAnsi="Trebuchet MS"/>
        </w:rPr>
        <w:t xml:space="preserve">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 </w:t>
      </w:r>
    </w:p>
    <w:p w:rsidR="00490FAC" w:rsidRPr="002E08D5" w:rsidRDefault="00490FAC" w:rsidP="00490FAC">
      <w:pPr>
        <w:keepNext/>
        <w:keepLines/>
        <w:jc w:val="both"/>
        <w:rPr>
          <w:rFonts w:ascii="Trebuchet MS" w:hAnsi="Trebuchet MS"/>
        </w:rPr>
      </w:pPr>
    </w:p>
    <w:p w:rsidR="00490FAC" w:rsidRPr="00C52B91" w:rsidRDefault="00490FAC" w:rsidP="00490FAC">
      <w:pPr>
        <w:keepNext/>
        <w:keepLines/>
        <w:jc w:val="both"/>
        <w:rPr>
          <w:rFonts w:ascii="Trebuchet MS" w:hAnsi="Trebuchet MS"/>
        </w:rPr>
      </w:pPr>
      <w:r w:rsidRPr="002E08D5">
        <w:rPr>
          <w:rFonts w:ascii="Trebuchet MS" w:hAnsi="Trebuchet MS"/>
        </w:rPr>
        <w:t>Como parte da auditoria realizada de acordo com as normas brasileiras e internacionais de auditoria, exercemos julgamento profissional e mantemos ceticismo profissional ao longo da auditoria. Além disso:</w:t>
      </w:r>
    </w:p>
    <w:p w:rsidR="00490FAC" w:rsidRPr="00490FAC" w:rsidRDefault="00490FAC" w:rsidP="00490FAC">
      <w:pPr>
        <w:pStyle w:val="PargrafodaLista"/>
        <w:keepNext/>
        <w:keepLines/>
        <w:numPr>
          <w:ilvl w:val="0"/>
          <w:numId w:val="44"/>
        </w:numPr>
        <w:spacing w:before="120" w:after="120" w:line="240" w:lineRule="auto"/>
        <w:ind w:left="284" w:hanging="284"/>
        <w:jc w:val="both"/>
        <w:rPr>
          <w:rFonts w:ascii="Trebuchet MS" w:hAnsi="Trebuchet MS"/>
          <w:sz w:val="20"/>
          <w:szCs w:val="20"/>
          <w:lang w:val="pt-BR"/>
        </w:rPr>
      </w:pPr>
      <w:r w:rsidRPr="00490FAC">
        <w:rPr>
          <w:rFonts w:ascii="Trebuchet MS" w:hAnsi="Trebuchet MS"/>
          <w:sz w:val="20"/>
          <w:szCs w:val="20"/>
          <w:lang w:val="pt-BR"/>
        </w:rPr>
        <w:t>Identificamos e avaliamos os riscos de distorção relevante nas demonstrações contábeis,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rsidR="00490FAC" w:rsidRPr="00490FAC" w:rsidRDefault="00490FAC" w:rsidP="00490FAC">
      <w:pPr>
        <w:pStyle w:val="PargrafodaLista"/>
        <w:keepNext/>
        <w:keepLines/>
        <w:numPr>
          <w:ilvl w:val="0"/>
          <w:numId w:val="44"/>
        </w:numPr>
        <w:spacing w:before="120" w:after="120" w:line="240" w:lineRule="auto"/>
        <w:ind w:left="284" w:hanging="284"/>
        <w:jc w:val="both"/>
        <w:rPr>
          <w:rFonts w:ascii="Trebuchet MS" w:hAnsi="Trebuchet MS"/>
          <w:sz w:val="20"/>
          <w:szCs w:val="20"/>
          <w:lang w:val="pt-BR"/>
        </w:rPr>
      </w:pPr>
      <w:r w:rsidRPr="00490FAC">
        <w:rPr>
          <w:rFonts w:ascii="Trebuchet MS" w:hAnsi="Trebuchet MS"/>
          <w:sz w:val="20"/>
          <w:szCs w:val="20"/>
          <w:lang w:val="pt-BR"/>
        </w:rPr>
        <w:t>Obtemos entendimento dos controles internos relevantes para a auditoria para planejarmos procedimentos de auditoria apropriados às circunstâncias, mas, não, com o objetivo de expressarmos opinião sobre a eficácia dos controles internos da Companhia e suas controladas.</w:t>
      </w:r>
    </w:p>
    <w:p w:rsidR="00490FAC" w:rsidRPr="00490FAC" w:rsidRDefault="00490FAC" w:rsidP="00490FAC">
      <w:pPr>
        <w:pStyle w:val="PargrafodaLista"/>
        <w:keepNext/>
        <w:keepLines/>
        <w:numPr>
          <w:ilvl w:val="0"/>
          <w:numId w:val="44"/>
        </w:numPr>
        <w:spacing w:before="120" w:after="120" w:line="240" w:lineRule="auto"/>
        <w:ind w:left="284" w:hanging="284"/>
        <w:jc w:val="both"/>
        <w:rPr>
          <w:rFonts w:ascii="Trebuchet MS" w:hAnsi="Trebuchet MS"/>
          <w:sz w:val="20"/>
          <w:szCs w:val="20"/>
          <w:lang w:val="pt-BR"/>
        </w:rPr>
      </w:pPr>
      <w:r w:rsidRPr="00490FAC">
        <w:rPr>
          <w:rFonts w:ascii="Trebuchet MS" w:hAnsi="Trebuchet MS"/>
          <w:sz w:val="20"/>
          <w:szCs w:val="20"/>
          <w:lang w:val="pt-BR"/>
        </w:rPr>
        <w:t>Avaliamos a adequação das políticas contábeis utilizadas e a razoabilidade das estimativas contábeis e respectivas divulgações feitas pela administração.</w:t>
      </w:r>
    </w:p>
    <w:p w:rsidR="00490FAC" w:rsidRPr="00490FAC" w:rsidRDefault="00490FAC" w:rsidP="00490FAC">
      <w:pPr>
        <w:pStyle w:val="PargrafodaLista"/>
        <w:keepNext/>
        <w:keepLines/>
        <w:numPr>
          <w:ilvl w:val="0"/>
          <w:numId w:val="44"/>
        </w:numPr>
        <w:spacing w:before="120" w:after="120" w:line="240" w:lineRule="auto"/>
        <w:ind w:left="284" w:hanging="284"/>
        <w:jc w:val="both"/>
        <w:rPr>
          <w:rFonts w:ascii="Trebuchet MS" w:hAnsi="Trebuchet MS"/>
          <w:sz w:val="20"/>
          <w:szCs w:val="20"/>
          <w:lang w:val="pt-BR"/>
        </w:rPr>
      </w:pPr>
      <w:r w:rsidRPr="00490FAC">
        <w:rPr>
          <w:rFonts w:ascii="Trebuchet MS" w:hAnsi="Trebuchet MS"/>
          <w:sz w:val="20"/>
          <w:szCs w:val="20"/>
          <w:lang w:val="pt-BR"/>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Companhia e suas controladas. Se concluirmos que existe incerteza relevante, devemos chamar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a Companhia e suas controladas a não mais se manter em continuidade operacional.</w:t>
      </w:r>
    </w:p>
    <w:p w:rsidR="00490FAC" w:rsidRPr="00490FAC" w:rsidRDefault="00490FAC" w:rsidP="00490FAC">
      <w:pPr>
        <w:pStyle w:val="PargrafodaLista"/>
        <w:keepNext/>
        <w:keepLines/>
        <w:numPr>
          <w:ilvl w:val="0"/>
          <w:numId w:val="44"/>
        </w:numPr>
        <w:spacing w:before="120" w:after="120" w:line="240" w:lineRule="auto"/>
        <w:ind w:left="284" w:hanging="284"/>
        <w:jc w:val="both"/>
        <w:rPr>
          <w:rFonts w:ascii="Trebuchet MS" w:hAnsi="Trebuchet MS"/>
          <w:sz w:val="20"/>
          <w:szCs w:val="20"/>
          <w:lang w:val="pt-BR"/>
        </w:rPr>
      </w:pPr>
      <w:r w:rsidRPr="00490FAC">
        <w:rPr>
          <w:rFonts w:ascii="Trebuchet MS" w:hAnsi="Trebuchet MS"/>
          <w:sz w:val="20"/>
          <w:szCs w:val="20"/>
          <w:lang w:val="pt-BR"/>
        </w:rPr>
        <w:t>Avaliamos a apresentação geral, a estrutura e o conteúdo das demonstrações contábeis, inclusive as divulgações e se as demonstrações contábeis, individuais e consolidadas, representam as correspondentes transações e os eventos de maneira compatível com o objetivo de apresentação adequada.</w:t>
      </w:r>
    </w:p>
    <w:p w:rsidR="00490FAC" w:rsidRPr="00490FAC" w:rsidRDefault="00490FAC" w:rsidP="00490FAC">
      <w:pPr>
        <w:pStyle w:val="PargrafodaLista"/>
        <w:keepNext/>
        <w:keepLines/>
        <w:numPr>
          <w:ilvl w:val="0"/>
          <w:numId w:val="44"/>
        </w:numPr>
        <w:spacing w:before="120" w:after="120" w:line="240" w:lineRule="auto"/>
        <w:ind w:left="284" w:hanging="284"/>
        <w:jc w:val="both"/>
        <w:rPr>
          <w:rFonts w:ascii="Trebuchet MS" w:hAnsi="Trebuchet MS"/>
          <w:sz w:val="20"/>
          <w:szCs w:val="20"/>
          <w:lang w:val="pt-BR"/>
        </w:rPr>
      </w:pPr>
      <w:r w:rsidRPr="00490FAC">
        <w:rPr>
          <w:rFonts w:ascii="Trebuchet MS" w:hAnsi="Trebuchet MS"/>
          <w:sz w:val="20"/>
          <w:szCs w:val="20"/>
          <w:lang w:val="pt-BR"/>
        </w:rPr>
        <w:t>Obtemos evidência de auditoria apropriada e suficiente referente às informações financeiras das entidades ou atividades de negócio do grupo para expressar uma opinião sobre as demonstrações contábeis consolidadas. Somos responsáveis pela direção, supervisão e desempenho da auditoria do grupo e, consequentemente, pela opinião de auditoria.</w:t>
      </w:r>
    </w:p>
    <w:p w:rsidR="00490FAC" w:rsidRPr="00C52B91"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r w:rsidRPr="00C52B91">
        <w:rPr>
          <w:rFonts w:ascii="Trebuchet MS" w:hAnsi="Trebuchet MS"/>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rsidR="00490FAC" w:rsidRDefault="00490FAC" w:rsidP="00490FAC">
      <w:pPr>
        <w:keepNext/>
        <w:keepLines/>
        <w:jc w:val="both"/>
        <w:rPr>
          <w:rFonts w:ascii="Trebuchet MS" w:hAnsi="Trebuchet MS"/>
        </w:rPr>
      </w:pPr>
    </w:p>
    <w:p w:rsidR="00490FAC" w:rsidRDefault="00490FAC" w:rsidP="00490FAC">
      <w:pPr>
        <w:keepNext/>
        <w:keepLines/>
        <w:jc w:val="both"/>
        <w:rPr>
          <w:rFonts w:ascii="Trebuchet MS" w:hAnsi="Trebuchet MS"/>
        </w:rPr>
      </w:pPr>
      <w:r w:rsidRPr="00566F8B">
        <w:rPr>
          <w:rFonts w:ascii="Trebuchet MS" w:hAnsi="Trebuchet MS"/>
        </w:rPr>
        <w:t>Fornecemos também aos responsáveis pela governança declaração de que cumprimos com as</w:t>
      </w:r>
      <w:r>
        <w:rPr>
          <w:rFonts w:ascii="Trebuchet MS" w:hAnsi="Trebuchet MS"/>
        </w:rPr>
        <w:t xml:space="preserve"> </w:t>
      </w:r>
      <w:r w:rsidRPr="00566F8B">
        <w:rPr>
          <w:rFonts w:ascii="Trebuchet MS" w:hAnsi="Trebuchet MS"/>
        </w:rPr>
        <w:t xml:space="preserve">exigências éticas relevantes, incluindo os requisitos aplicáveis de independência, e comunicamos todos os eventuais relacionamentos ou assuntos que poderiam afetar, consideravelmente, nossa independência, incluindo, quando aplicável, as respectivas salvaguardas. </w:t>
      </w:r>
    </w:p>
    <w:p w:rsidR="00490FAC" w:rsidRDefault="00490FAC" w:rsidP="00490FAC">
      <w:pPr>
        <w:keepNext/>
        <w:keepLines/>
        <w:jc w:val="both"/>
        <w:rPr>
          <w:rFonts w:ascii="Trebuchet MS" w:hAnsi="Trebuchet MS"/>
        </w:rPr>
      </w:pPr>
    </w:p>
    <w:p w:rsidR="00490FAC" w:rsidRDefault="00490FAC">
      <w:pPr>
        <w:rPr>
          <w:rFonts w:ascii="Trebuchet MS" w:hAnsi="Trebuchet MS"/>
        </w:rPr>
      </w:pPr>
      <w:r>
        <w:rPr>
          <w:rFonts w:ascii="Trebuchet MS" w:hAnsi="Trebuchet MS"/>
        </w:rPr>
        <w:br w:type="page"/>
      </w:r>
    </w:p>
    <w:p w:rsidR="00490FAC" w:rsidRDefault="00490FAC" w:rsidP="00490FAC">
      <w:pPr>
        <w:keepNext/>
        <w:keepLines/>
        <w:jc w:val="both"/>
        <w:rPr>
          <w:rFonts w:ascii="Trebuchet MS" w:hAnsi="Trebuchet MS"/>
        </w:rPr>
      </w:pPr>
      <w:r w:rsidRPr="00566F8B">
        <w:rPr>
          <w:rFonts w:ascii="Trebuchet MS" w:hAnsi="Trebuchet MS"/>
        </w:rPr>
        <w:lastRenderedPageBreak/>
        <w:t xml:space="preserve">Dos assuntos que foram objeto de comunicação com os responsáveis pela governança, determinamos aqueles que foram considerados como mais significativos na auditoria das demonstrações contábeis do exercício </w:t>
      </w:r>
      <w:proofErr w:type="gramStart"/>
      <w:r w:rsidRPr="00566F8B">
        <w:rPr>
          <w:rFonts w:ascii="Trebuchet MS" w:hAnsi="Trebuchet MS"/>
        </w:rPr>
        <w:t>corrente</w:t>
      </w:r>
      <w:proofErr w:type="gramEnd"/>
      <w:r w:rsidRPr="00566F8B">
        <w:rPr>
          <w:rFonts w:ascii="Trebuchet MS" w:hAnsi="Trebuchet MS"/>
        </w:rPr>
        <w:t xml:space="preserv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w:t>
      </w:r>
      <w:r>
        <w:rPr>
          <w:rFonts w:ascii="Trebuchet MS" w:hAnsi="Trebuchet MS"/>
        </w:rPr>
        <w:t xml:space="preserve"> </w:t>
      </w:r>
      <w:r w:rsidRPr="00566F8B">
        <w:rPr>
          <w:rFonts w:ascii="Trebuchet MS" w:hAnsi="Trebuchet MS"/>
        </w:rPr>
        <w:t>porque as consequências adversas de tal comunicação podem, dentro de uma perspectiva razoável, superar os benefícios da comunicação para o interesse público.</w:t>
      </w:r>
    </w:p>
    <w:p w:rsidR="00490FAC" w:rsidRPr="00CD547D" w:rsidRDefault="00490FAC" w:rsidP="00490FAC">
      <w:pPr>
        <w:keepNext/>
        <w:keepLines/>
        <w:jc w:val="both"/>
        <w:rPr>
          <w:rFonts w:ascii="Trebuchet MS" w:hAnsi="Trebuchet MS"/>
          <w:sz w:val="24"/>
          <w:szCs w:val="24"/>
        </w:rPr>
      </w:pPr>
    </w:p>
    <w:p w:rsidR="00490FAC" w:rsidRPr="00CD547D" w:rsidRDefault="00490FAC" w:rsidP="00490FAC">
      <w:pPr>
        <w:keepNext/>
        <w:keepLines/>
        <w:jc w:val="both"/>
        <w:rPr>
          <w:rFonts w:ascii="Trebuchet MS" w:hAnsi="Trebuchet MS"/>
          <w:sz w:val="24"/>
          <w:szCs w:val="24"/>
        </w:rPr>
      </w:pPr>
    </w:p>
    <w:p w:rsidR="00490FAC" w:rsidRDefault="00490FAC" w:rsidP="00490FAC">
      <w:pPr>
        <w:keepNext/>
        <w:keepLines/>
        <w:jc w:val="right"/>
        <w:rPr>
          <w:rFonts w:ascii="Trebuchet MS" w:hAnsi="Trebuchet MS"/>
        </w:rPr>
      </w:pPr>
      <w:r>
        <w:rPr>
          <w:rFonts w:ascii="Trebuchet MS" w:hAnsi="Trebuchet MS"/>
        </w:rPr>
        <w:t>Brasília, 27</w:t>
      </w:r>
      <w:r w:rsidRPr="00B46AB4">
        <w:rPr>
          <w:rFonts w:ascii="Trebuchet MS" w:hAnsi="Trebuchet MS"/>
        </w:rPr>
        <w:t xml:space="preserve"> de março de 2017.</w:t>
      </w:r>
    </w:p>
    <w:tbl>
      <w:tblPr>
        <w:tblW w:w="8472" w:type="dxa"/>
        <w:tblLook w:val="04A0" w:firstRow="1" w:lastRow="0" w:firstColumn="1" w:lastColumn="0" w:noHBand="0" w:noVBand="1"/>
      </w:tblPr>
      <w:tblGrid>
        <w:gridCol w:w="4415"/>
        <w:gridCol w:w="4057"/>
      </w:tblGrid>
      <w:tr w:rsidR="00490FAC" w:rsidRPr="00CD547D" w:rsidTr="00E03706">
        <w:tc>
          <w:tcPr>
            <w:tcW w:w="4415" w:type="dxa"/>
          </w:tcPr>
          <w:p w:rsidR="00490FAC" w:rsidRDefault="00490FAC" w:rsidP="00E03706">
            <w:pPr>
              <w:rPr>
                <w:rFonts w:ascii="Trebuchet MS" w:hAnsi="Trebuchet MS"/>
                <w:b/>
              </w:rPr>
            </w:pPr>
          </w:p>
          <w:tbl>
            <w:tblPr>
              <w:tblW w:w="0" w:type="auto"/>
              <w:tblLook w:val="04A0" w:firstRow="1" w:lastRow="0" w:firstColumn="1" w:lastColumn="0" w:noHBand="0" w:noVBand="1"/>
            </w:tblPr>
            <w:tblGrid>
              <w:gridCol w:w="4199"/>
            </w:tblGrid>
            <w:tr w:rsidR="00490FAC" w:rsidRPr="005479F2" w:rsidTr="00E03706">
              <w:tc>
                <w:tcPr>
                  <w:tcW w:w="4322" w:type="dxa"/>
                </w:tcPr>
                <w:p w:rsidR="00490FAC" w:rsidRPr="005479F2" w:rsidRDefault="00490FAC" w:rsidP="00E03706">
                  <w:pPr>
                    <w:rPr>
                      <w:rFonts w:ascii="Trebuchet MS" w:hAnsi="Trebuchet MS"/>
                    </w:rPr>
                  </w:pPr>
                  <w:r w:rsidRPr="005479F2">
                    <w:rPr>
                      <w:rFonts w:ascii="Trebuchet MS" w:hAnsi="Trebuchet MS" w:cs="Arial"/>
                      <w:b/>
                      <w:noProof/>
                    </w:rPr>
                    <w:drawing>
                      <wp:inline distT="0" distB="0" distL="0" distR="0" wp14:anchorId="0C5B6958" wp14:editId="29E51BED">
                        <wp:extent cx="771525" cy="323850"/>
                        <wp:effectExtent l="0" t="0" r="9525" b="0"/>
                        <wp:docPr id="19" name="Imagem 19" descr="Logo 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 BD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1525" cy="323850"/>
                                </a:xfrm>
                                <a:prstGeom prst="rect">
                                  <a:avLst/>
                                </a:prstGeom>
                                <a:noFill/>
                                <a:ln>
                                  <a:noFill/>
                                </a:ln>
                              </pic:spPr>
                            </pic:pic>
                          </a:graphicData>
                        </a:graphic>
                      </wp:inline>
                    </w:drawing>
                  </w:r>
                </w:p>
              </w:tc>
            </w:tr>
            <w:tr w:rsidR="00490FAC" w:rsidRPr="005479F2" w:rsidTr="00E03706">
              <w:tc>
                <w:tcPr>
                  <w:tcW w:w="4322" w:type="dxa"/>
                </w:tcPr>
                <w:p w:rsidR="00490FAC" w:rsidRPr="005479F2" w:rsidRDefault="00490FAC" w:rsidP="00E03706">
                  <w:pPr>
                    <w:rPr>
                      <w:rFonts w:ascii="Trebuchet MS" w:hAnsi="Trebuchet MS"/>
                    </w:rPr>
                  </w:pPr>
                </w:p>
              </w:tc>
            </w:tr>
            <w:tr w:rsidR="00490FAC" w:rsidRPr="005479F2" w:rsidTr="00E03706">
              <w:tc>
                <w:tcPr>
                  <w:tcW w:w="4322" w:type="dxa"/>
                </w:tcPr>
                <w:p w:rsidR="00490FAC" w:rsidRPr="005479F2" w:rsidRDefault="00490FAC" w:rsidP="00E03706">
                  <w:pPr>
                    <w:pStyle w:val="Ttulo4"/>
                    <w:numPr>
                      <w:ilvl w:val="3"/>
                      <w:numId w:val="0"/>
                    </w:numPr>
                    <w:tabs>
                      <w:tab w:val="num" w:pos="0"/>
                    </w:tabs>
                    <w:overflowPunct w:val="0"/>
                    <w:spacing w:line="255" w:lineRule="exact"/>
                    <w:ind w:left="708" w:right="-686" w:hanging="708"/>
                    <w:rPr>
                      <w:rFonts w:ascii="Trebuchet MS" w:hAnsi="Trebuchet MS"/>
                      <w:iCs/>
                    </w:rPr>
                  </w:pPr>
                  <w:r w:rsidRPr="005479F2">
                    <w:rPr>
                      <w:rFonts w:ascii="Trebuchet MS" w:hAnsi="Trebuchet MS"/>
                      <w:iCs/>
                    </w:rPr>
                    <w:t>BDO RCS Auditores Independentes SS</w:t>
                  </w:r>
                </w:p>
                <w:p w:rsidR="00490FAC" w:rsidRPr="005479F2" w:rsidRDefault="00490FAC" w:rsidP="00E03706">
                  <w:pPr>
                    <w:pStyle w:val="Ttulo4"/>
                    <w:numPr>
                      <w:ilvl w:val="3"/>
                      <w:numId w:val="0"/>
                    </w:numPr>
                    <w:tabs>
                      <w:tab w:val="num" w:pos="0"/>
                    </w:tabs>
                    <w:overflowPunct w:val="0"/>
                    <w:spacing w:line="255" w:lineRule="exact"/>
                    <w:ind w:left="708" w:right="-686" w:hanging="708"/>
                    <w:rPr>
                      <w:rFonts w:ascii="Trebuchet MS" w:hAnsi="Trebuchet MS"/>
                      <w:iCs/>
                    </w:rPr>
                  </w:pPr>
                  <w:r w:rsidRPr="005479F2">
                    <w:rPr>
                      <w:rFonts w:ascii="Trebuchet MS" w:hAnsi="Trebuchet MS"/>
                      <w:iCs/>
                    </w:rPr>
                    <w:t>CRC 2 SP 013846/O-1 – S – DF</w:t>
                  </w:r>
                </w:p>
              </w:tc>
            </w:tr>
            <w:tr w:rsidR="00490FAC" w:rsidRPr="005479F2" w:rsidTr="00E03706">
              <w:tc>
                <w:tcPr>
                  <w:tcW w:w="4322" w:type="dxa"/>
                </w:tcPr>
                <w:p w:rsidR="00490FAC" w:rsidRPr="005479F2" w:rsidRDefault="00490FAC" w:rsidP="00E03706">
                  <w:pPr>
                    <w:rPr>
                      <w:rFonts w:ascii="Trebuchet MS" w:hAnsi="Trebuchet MS"/>
                    </w:rPr>
                  </w:pPr>
                </w:p>
              </w:tc>
            </w:tr>
            <w:tr w:rsidR="00490FAC" w:rsidRPr="005479F2" w:rsidTr="00E03706">
              <w:tc>
                <w:tcPr>
                  <w:tcW w:w="4322" w:type="dxa"/>
                </w:tcPr>
                <w:p w:rsidR="00490FAC" w:rsidRPr="005479F2" w:rsidRDefault="00490FAC" w:rsidP="00E03706">
                  <w:pPr>
                    <w:rPr>
                      <w:rFonts w:ascii="Trebuchet MS" w:hAnsi="Trebuchet MS"/>
                    </w:rPr>
                  </w:pPr>
                </w:p>
              </w:tc>
            </w:tr>
            <w:tr w:rsidR="00490FAC" w:rsidRPr="005479F2" w:rsidTr="00E03706">
              <w:tc>
                <w:tcPr>
                  <w:tcW w:w="4322" w:type="dxa"/>
                </w:tcPr>
                <w:p w:rsidR="00490FAC" w:rsidRPr="00AB2F41" w:rsidRDefault="00490FAC" w:rsidP="00E03706">
                  <w:pPr>
                    <w:rPr>
                      <w:rFonts w:ascii="Trebuchet MS" w:hAnsi="Trebuchet MS"/>
                      <w:b/>
                      <w:iCs/>
                    </w:rPr>
                  </w:pPr>
                </w:p>
                <w:p w:rsidR="00490FAC" w:rsidRPr="00AB2F41" w:rsidRDefault="00490FAC" w:rsidP="00E03706">
                  <w:pPr>
                    <w:rPr>
                      <w:rFonts w:ascii="Trebuchet MS" w:hAnsi="Trebuchet MS"/>
                      <w:b/>
                      <w:iCs/>
                    </w:rPr>
                  </w:pPr>
                  <w:r w:rsidRPr="00AB2F41">
                    <w:rPr>
                      <w:rFonts w:ascii="Trebuchet MS" w:hAnsi="Trebuchet MS"/>
                      <w:b/>
                      <w:iCs/>
                    </w:rPr>
                    <w:t xml:space="preserve">Alfredo Ferreira Marques Filho     </w:t>
                  </w:r>
                </w:p>
              </w:tc>
            </w:tr>
            <w:tr w:rsidR="00490FAC" w:rsidRPr="005479F2" w:rsidTr="00E03706">
              <w:tc>
                <w:tcPr>
                  <w:tcW w:w="4322" w:type="dxa"/>
                </w:tcPr>
                <w:p w:rsidR="00490FAC" w:rsidRPr="00AB2F41" w:rsidRDefault="00490FAC" w:rsidP="00E03706">
                  <w:pPr>
                    <w:rPr>
                      <w:rFonts w:ascii="Trebuchet MS" w:hAnsi="Trebuchet MS"/>
                      <w:b/>
                      <w:iCs/>
                    </w:rPr>
                  </w:pPr>
                  <w:r w:rsidRPr="00AB2F41">
                    <w:rPr>
                      <w:rFonts w:ascii="Trebuchet MS" w:hAnsi="Trebuchet MS"/>
                      <w:b/>
                      <w:iCs/>
                    </w:rPr>
                    <w:t>Contador CRC 1 SP 154954/O-3 – S - DF</w:t>
                  </w:r>
                </w:p>
              </w:tc>
            </w:tr>
          </w:tbl>
          <w:p w:rsidR="00490FAC" w:rsidRPr="00536F29" w:rsidRDefault="00490FAC" w:rsidP="00E03706">
            <w:pPr>
              <w:rPr>
                <w:rFonts w:ascii="Trebuchet MS" w:hAnsi="Trebuchet MS"/>
                <w:b/>
              </w:rPr>
            </w:pPr>
          </w:p>
        </w:tc>
        <w:tc>
          <w:tcPr>
            <w:tcW w:w="4057" w:type="dxa"/>
          </w:tcPr>
          <w:p w:rsidR="00490FAC" w:rsidRPr="00CD547D" w:rsidRDefault="00490FAC" w:rsidP="00E03706">
            <w:pPr>
              <w:keepNext/>
              <w:keepLines/>
              <w:rPr>
                <w:rFonts w:ascii="Trebuchet MS" w:hAnsi="Trebuchet MS"/>
                <w:b/>
              </w:rPr>
            </w:pPr>
          </w:p>
        </w:tc>
      </w:tr>
    </w:tbl>
    <w:p w:rsidR="00AD05E4" w:rsidRPr="002A2EE2" w:rsidRDefault="00AD05E4" w:rsidP="00AD05E4">
      <w:pPr>
        <w:spacing w:before="240" w:after="240"/>
        <w:jc w:val="both"/>
        <w:rPr>
          <w:sz w:val="22"/>
          <w:szCs w:val="22"/>
        </w:rPr>
      </w:pPr>
    </w:p>
    <w:sectPr w:rsidR="00AD05E4" w:rsidRPr="002A2EE2" w:rsidSect="00250CEB">
      <w:pgSz w:w="11907" w:h="16840" w:code="9"/>
      <w:pgMar w:top="1134" w:right="851" w:bottom="1134" w:left="1134" w:header="510" w:footer="77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D01" w:rsidRDefault="005B7D01">
      <w:r>
        <w:separator/>
      </w:r>
    </w:p>
  </w:endnote>
  <w:endnote w:type="continuationSeparator" w:id="0">
    <w:p w:rsidR="005B7D01" w:rsidRDefault="005B7D01">
      <w:r>
        <w:continuationSeparator/>
      </w:r>
    </w:p>
  </w:endnote>
  <w:endnote w:type="continuationNotice" w:id="1">
    <w:p w:rsidR="005B7D01" w:rsidRDefault="005B7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Bold">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93320"/>
      <w:docPartObj>
        <w:docPartGallery w:val="Page Numbers (Bottom of Page)"/>
        <w:docPartUnique/>
      </w:docPartObj>
    </w:sdtPr>
    <w:sdtContent>
      <w:p w:rsidR="005B7D01" w:rsidRDefault="005B7D01">
        <w:pPr>
          <w:pStyle w:val="Rodap"/>
          <w:jc w:val="right"/>
        </w:pPr>
        <w:r>
          <w:fldChar w:fldCharType="begin"/>
        </w:r>
        <w:r>
          <w:instrText xml:space="preserve"> PAGE   \* MERGEFORMAT </w:instrText>
        </w:r>
        <w:r>
          <w:fldChar w:fldCharType="separate"/>
        </w:r>
        <w:r w:rsidR="00490FAC">
          <w:rPr>
            <w:noProof/>
          </w:rPr>
          <w:t>25</w:t>
        </w:r>
        <w:r>
          <w:rPr>
            <w:noProof/>
          </w:rPr>
          <w:fldChar w:fldCharType="end"/>
        </w:r>
      </w:p>
    </w:sdtContent>
  </w:sdt>
  <w:p w:rsidR="005B7D01" w:rsidRDefault="005B7D01" w:rsidP="007B5227">
    <w:pPr>
      <w:pStyle w:val="Rodap"/>
      <w:spacing w:before="24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D01" w:rsidRDefault="005B7D01" w:rsidP="001B0CCA">
    <w:pPr>
      <w:pStyle w:val="Rodap"/>
      <w:jc w:val="right"/>
    </w:pPr>
    <w:r>
      <w:rPr>
        <w:sz w:val="22"/>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638"/>
      <w:docPartObj>
        <w:docPartGallery w:val="Page Numbers (Bottom of Page)"/>
        <w:docPartUnique/>
      </w:docPartObj>
    </w:sdtPr>
    <w:sdtContent>
      <w:p w:rsidR="005B7D01" w:rsidRDefault="005B7D01">
        <w:pPr>
          <w:pStyle w:val="Rodap"/>
          <w:jc w:val="right"/>
        </w:pPr>
        <w:r>
          <w:fldChar w:fldCharType="begin"/>
        </w:r>
        <w:r>
          <w:instrText xml:space="preserve"> PAGE   \* MERGEFORMAT </w:instrText>
        </w:r>
        <w:r>
          <w:fldChar w:fldCharType="separate"/>
        </w:r>
        <w:r w:rsidR="00490FAC">
          <w:rPr>
            <w:noProof/>
          </w:rPr>
          <w:t>144</w:t>
        </w:r>
        <w:r>
          <w:rPr>
            <w:noProof/>
          </w:rPr>
          <w:fldChar w:fldCharType="end"/>
        </w:r>
      </w:p>
    </w:sdtContent>
  </w:sdt>
  <w:p w:rsidR="005B7D01" w:rsidRDefault="005B7D01" w:rsidP="007B5227">
    <w:pPr>
      <w:pStyle w:val="Rodap"/>
      <w:spacing w:before="24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D01" w:rsidRDefault="005B7D01">
      <w:r>
        <w:separator/>
      </w:r>
    </w:p>
  </w:footnote>
  <w:footnote w:type="continuationSeparator" w:id="0">
    <w:p w:rsidR="005B7D01" w:rsidRDefault="005B7D01">
      <w:r>
        <w:continuationSeparator/>
      </w:r>
    </w:p>
  </w:footnote>
  <w:footnote w:type="continuationNotice" w:id="1">
    <w:p w:rsidR="005B7D01" w:rsidRDefault="005B7D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8" w:type="dxa"/>
      <w:tblLayout w:type="fixed"/>
      <w:tblCellMar>
        <w:left w:w="70" w:type="dxa"/>
        <w:right w:w="70" w:type="dxa"/>
      </w:tblCellMar>
      <w:tblLook w:val="0000" w:firstRow="0" w:lastRow="0" w:firstColumn="0" w:lastColumn="0" w:noHBand="0" w:noVBand="0"/>
    </w:tblPr>
    <w:tblGrid>
      <w:gridCol w:w="160"/>
      <w:gridCol w:w="9901"/>
    </w:tblGrid>
    <w:tr w:rsidR="005B7D01" w:rsidRPr="00AE4E30" w:rsidTr="00DA5135">
      <w:trPr>
        <w:trHeight w:val="850"/>
      </w:trPr>
      <w:tc>
        <w:tcPr>
          <w:tcW w:w="160" w:type="dxa"/>
          <w:tcBorders>
            <w:bottom w:val="single" w:sz="4" w:space="0" w:color="000080"/>
          </w:tcBorders>
        </w:tcPr>
        <w:p w:rsidR="005B7D01" w:rsidRPr="00AE4E30" w:rsidRDefault="005B7D01" w:rsidP="00152FF4">
          <w:pPr>
            <w:pStyle w:val="citcar"/>
            <w:widowControl/>
            <w:tabs>
              <w:tab w:val="center" w:pos="4419"/>
              <w:tab w:val="right" w:pos="8838"/>
            </w:tabs>
            <w:spacing w:line="240" w:lineRule="auto"/>
            <w:ind w:left="0" w:right="360"/>
            <w:jc w:val="left"/>
            <w:rPr>
              <w:sz w:val="24"/>
              <w:szCs w:val="24"/>
            </w:rPr>
          </w:pPr>
        </w:p>
      </w:tc>
      <w:tc>
        <w:tcPr>
          <w:tcW w:w="9901" w:type="dxa"/>
          <w:tcBorders>
            <w:bottom w:val="single" w:sz="4" w:space="0" w:color="000080"/>
          </w:tcBorders>
        </w:tcPr>
        <w:p w:rsidR="005B7D01" w:rsidRPr="00F774B4" w:rsidRDefault="005B7D01" w:rsidP="005F1661">
          <w:pPr>
            <w:pStyle w:val="citcar"/>
            <w:widowControl/>
            <w:tabs>
              <w:tab w:val="center" w:pos="4419"/>
              <w:tab w:val="right" w:pos="8838"/>
            </w:tabs>
            <w:spacing w:line="240" w:lineRule="auto"/>
            <w:ind w:left="0" w:right="0"/>
            <w:rPr>
              <w:b/>
              <w:bCs/>
              <w:color w:val="000080"/>
              <w:sz w:val="22"/>
              <w:szCs w:val="22"/>
            </w:rPr>
          </w:pPr>
          <w:r w:rsidRPr="00AE4E30">
            <w:rPr>
              <w:sz w:val="24"/>
              <w:szCs w:val="24"/>
            </w:rPr>
            <w:object w:dxaOrig="1511" w:dyaOrig="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15pt;height:39.25pt" o:ole="" fillcolor="window">
                <v:imagedata r:id="rId1" o:title=""/>
              </v:shape>
              <o:OLEObject Type="Embed" ProgID="Word.Picture.8" ShapeID="_x0000_i1026" DrawAspect="Content" ObjectID="_1552223592" r:id="rId2"/>
            </w:object>
          </w:r>
        </w:p>
      </w:tc>
    </w:tr>
  </w:tbl>
  <w:p w:rsidR="005B7D01" w:rsidRPr="00683312" w:rsidRDefault="005B7D01" w:rsidP="00A853D3">
    <w:pPr>
      <w:pStyle w:val="Cabealho"/>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FAC" w:rsidRDefault="00490FA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8" w:type="dxa"/>
      <w:tblLayout w:type="fixed"/>
      <w:tblCellMar>
        <w:left w:w="70" w:type="dxa"/>
        <w:right w:w="70" w:type="dxa"/>
      </w:tblCellMar>
      <w:tblLook w:val="0000" w:firstRow="0" w:lastRow="0" w:firstColumn="0" w:lastColumn="0" w:noHBand="0" w:noVBand="0"/>
    </w:tblPr>
    <w:tblGrid>
      <w:gridCol w:w="160"/>
      <w:gridCol w:w="9901"/>
    </w:tblGrid>
    <w:tr w:rsidR="005B7D01" w:rsidRPr="00AE4E30" w:rsidTr="00DA5135">
      <w:trPr>
        <w:trHeight w:val="850"/>
      </w:trPr>
      <w:tc>
        <w:tcPr>
          <w:tcW w:w="160" w:type="dxa"/>
          <w:tcBorders>
            <w:bottom w:val="single" w:sz="4" w:space="0" w:color="000080"/>
          </w:tcBorders>
        </w:tcPr>
        <w:p w:rsidR="005B7D01" w:rsidRPr="00AE4E30" w:rsidRDefault="005B7D01" w:rsidP="00152FF4">
          <w:pPr>
            <w:pStyle w:val="citcar"/>
            <w:widowControl/>
            <w:tabs>
              <w:tab w:val="center" w:pos="4419"/>
              <w:tab w:val="right" w:pos="8838"/>
            </w:tabs>
            <w:spacing w:line="240" w:lineRule="auto"/>
            <w:ind w:left="0" w:right="360"/>
            <w:jc w:val="left"/>
            <w:rPr>
              <w:sz w:val="24"/>
              <w:szCs w:val="24"/>
            </w:rPr>
          </w:pPr>
        </w:p>
      </w:tc>
      <w:tc>
        <w:tcPr>
          <w:tcW w:w="9901" w:type="dxa"/>
          <w:tcBorders>
            <w:bottom w:val="single" w:sz="4" w:space="0" w:color="000080"/>
          </w:tcBorders>
        </w:tcPr>
        <w:p w:rsidR="005B7D01" w:rsidRDefault="005B7D01" w:rsidP="00152FF4">
          <w:pPr>
            <w:pStyle w:val="Ttulo2"/>
            <w:jc w:val="left"/>
            <w:rPr>
              <w:sz w:val="24"/>
              <w:szCs w:val="24"/>
            </w:rPr>
          </w:pPr>
        </w:p>
        <w:p w:rsidR="005B7D01" w:rsidRDefault="005B7D01" w:rsidP="005B7D01"/>
        <w:p w:rsidR="005B7D01" w:rsidRPr="001D1B44" w:rsidRDefault="005B7D01" w:rsidP="005B7D01"/>
        <w:p w:rsidR="005B7D01" w:rsidRPr="00F774B4" w:rsidRDefault="005B7D01" w:rsidP="005F1661">
          <w:pPr>
            <w:pStyle w:val="citcar"/>
            <w:widowControl/>
            <w:tabs>
              <w:tab w:val="center" w:pos="4419"/>
              <w:tab w:val="right" w:pos="8838"/>
            </w:tabs>
            <w:spacing w:line="240" w:lineRule="auto"/>
            <w:ind w:left="0" w:right="0"/>
            <w:rPr>
              <w:b/>
              <w:bCs/>
              <w:color w:val="000080"/>
              <w:sz w:val="22"/>
              <w:szCs w:val="22"/>
            </w:rPr>
          </w:pPr>
        </w:p>
      </w:tc>
    </w:tr>
  </w:tbl>
  <w:p w:rsidR="005B7D01" w:rsidRPr="00683312" w:rsidRDefault="005B7D01" w:rsidP="00A853D3">
    <w:pPr>
      <w:pStyle w:val="Cabealho"/>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3" w:type="dxa"/>
      <w:tblInd w:w="-68" w:type="dxa"/>
      <w:tblLayout w:type="fixed"/>
      <w:tblCellMar>
        <w:left w:w="70" w:type="dxa"/>
        <w:right w:w="70" w:type="dxa"/>
      </w:tblCellMar>
      <w:tblLook w:val="0000" w:firstRow="0" w:lastRow="0" w:firstColumn="0" w:lastColumn="0" w:noHBand="0" w:noVBand="0"/>
    </w:tblPr>
    <w:tblGrid>
      <w:gridCol w:w="160"/>
      <w:gridCol w:w="10043"/>
    </w:tblGrid>
    <w:tr w:rsidR="005B7D01" w:rsidRPr="00AE4E30" w:rsidTr="00DA5135">
      <w:trPr>
        <w:trHeight w:val="850"/>
      </w:trPr>
      <w:tc>
        <w:tcPr>
          <w:tcW w:w="160" w:type="dxa"/>
          <w:tcBorders>
            <w:bottom w:val="single" w:sz="4" w:space="0" w:color="000080"/>
          </w:tcBorders>
        </w:tcPr>
        <w:p w:rsidR="005B7D01" w:rsidRPr="00AE4E30" w:rsidRDefault="005B7D01" w:rsidP="00767E06">
          <w:pPr>
            <w:pStyle w:val="citcar"/>
            <w:widowControl/>
            <w:tabs>
              <w:tab w:val="center" w:pos="4419"/>
              <w:tab w:val="right" w:pos="8838"/>
            </w:tabs>
            <w:spacing w:line="240" w:lineRule="auto"/>
            <w:ind w:left="0" w:right="360"/>
            <w:jc w:val="left"/>
            <w:rPr>
              <w:sz w:val="24"/>
              <w:szCs w:val="24"/>
            </w:rPr>
          </w:pPr>
        </w:p>
      </w:tc>
      <w:tc>
        <w:tcPr>
          <w:tcW w:w="10043" w:type="dxa"/>
          <w:tcBorders>
            <w:bottom w:val="single" w:sz="4" w:space="0" w:color="000080"/>
          </w:tcBorders>
        </w:tcPr>
        <w:p w:rsidR="005B7D01" w:rsidRPr="00AE4E30" w:rsidRDefault="005B7D01" w:rsidP="00767E06">
          <w:pPr>
            <w:pStyle w:val="citcar"/>
            <w:widowControl/>
            <w:tabs>
              <w:tab w:val="center" w:pos="4419"/>
              <w:tab w:val="right" w:pos="8838"/>
            </w:tabs>
            <w:spacing w:line="240" w:lineRule="auto"/>
            <w:ind w:left="0" w:right="0"/>
            <w:jc w:val="right"/>
            <w:rPr>
              <w:b/>
              <w:bCs/>
              <w:color w:val="000080"/>
              <w:sz w:val="24"/>
              <w:szCs w:val="24"/>
            </w:rPr>
          </w:pPr>
        </w:p>
        <w:p w:rsidR="005B7D01" w:rsidRPr="00AE4E30" w:rsidRDefault="005B7D01" w:rsidP="00767E06">
          <w:pPr>
            <w:pStyle w:val="citcar"/>
            <w:widowControl/>
            <w:tabs>
              <w:tab w:val="center" w:pos="4419"/>
              <w:tab w:val="right" w:pos="8838"/>
            </w:tabs>
            <w:spacing w:line="240" w:lineRule="auto"/>
            <w:ind w:left="0" w:right="0"/>
            <w:jc w:val="right"/>
            <w:rPr>
              <w:b/>
              <w:bCs/>
              <w:color w:val="000080"/>
              <w:sz w:val="24"/>
              <w:szCs w:val="24"/>
            </w:rPr>
          </w:pPr>
        </w:p>
        <w:p w:rsidR="005B7D01" w:rsidRDefault="005B7D01" w:rsidP="00767E06">
          <w:pPr>
            <w:pStyle w:val="Ttulo2"/>
            <w:jc w:val="left"/>
            <w:outlineLvl w:val="1"/>
            <w:rPr>
              <w:rFonts w:ascii="Georgia" w:hAnsi="Georgia"/>
              <w:sz w:val="16"/>
              <w:szCs w:val="16"/>
            </w:rPr>
          </w:pPr>
          <w:r w:rsidRPr="00AE4E30">
            <w:rPr>
              <w:sz w:val="24"/>
              <w:szCs w:val="24"/>
            </w:rPr>
            <w:object w:dxaOrig="1511" w:dyaOrig="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7pt;height:38.8pt" o:ole="" fillcolor="window">
                <v:imagedata r:id="rId1" o:title=""/>
              </v:shape>
              <o:OLEObject Type="Embed" ProgID="Word.Picture.8" ShapeID="_x0000_i1027" DrawAspect="Content" ObjectID="_1552223593" r:id="rId2"/>
            </w:object>
          </w:r>
        </w:p>
        <w:p w:rsidR="005B7D01" w:rsidRPr="004C1F1C" w:rsidRDefault="005B7D01" w:rsidP="00767E06">
          <w:pPr>
            <w:jc w:val="both"/>
            <w:rPr>
              <w:sz w:val="22"/>
              <w:szCs w:val="22"/>
            </w:rPr>
          </w:pPr>
        </w:p>
        <w:p w:rsidR="005B7D01" w:rsidRPr="004C1F1C" w:rsidRDefault="005B7D01" w:rsidP="00767E06">
          <w:pPr>
            <w:pStyle w:val="Ttulo2"/>
            <w:jc w:val="left"/>
            <w:outlineLvl w:val="1"/>
            <w:rPr>
              <w:rFonts w:ascii="Times New Roman" w:hAnsi="Times New Roman" w:cs="Times New Roman"/>
              <w:sz w:val="22"/>
              <w:szCs w:val="22"/>
            </w:rPr>
          </w:pPr>
          <w:r w:rsidRPr="004C1F1C">
            <w:rPr>
              <w:rFonts w:ascii="Times New Roman" w:hAnsi="Times New Roman" w:cs="Times New Roman"/>
              <w:sz w:val="22"/>
              <w:szCs w:val="22"/>
            </w:rPr>
            <w:t>Notas explicativas às demonstrações financeiras em 31 de dezembro de 2011</w:t>
          </w:r>
          <w:r>
            <w:rPr>
              <w:rFonts w:ascii="Times New Roman" w:hAnsi="Times New Roman" w:cs="Times New Roman"/>
              <w:sz w:val="22"/>
              <w:szCs w:val="22"/>
            </w:rPr>
            <w:t xml:space="preserve"> e 2010</w:t>
          </w:r>
        </w:p>
        <w:p w:rsidR="005B7D01" w:rsidRPr="006B12D7" w:rsidRDefault="005B7D01" w:rsidP="00767E06">
          <w:pPr>
            <w:pStyle w:val="citcar"/>
            <w:widowControl/>
            <w:tabs>
              <w:tab w:val="center" w:pos="4419"/>
              <w:tab w:val="right" w:pos="8838"/>
            </w:tabs>
            <w:spacing w:line="240" w:lineRule="auto"/>
            <w:ind w:left="0" w:right="0"/>
            <w:rPr>
              <w:b/>
              <w:bCs/>
              <w:color w:val="000080"/>
              <w:sz w:val="24"/>
              <w:szCs w:val="24"/>
            </w:rPr>
          </w:pPr>
          <w:r w:rsidRPr="006B12D7">
            <w:rPr>
              <w:sz w:val="24"/>
              <w:szCs w:val="24"/>
            </w:rPr>
            <w:t>Em milhares de reais, exceto quando indicado de outra forma</w:t>
          </w:r>
          <w:r w:rsidRPr="006B12D7">
            <w:rPr>
              <w:b/>
              <w:bCs/>
              <w:color w:val="000080"/>
              <w:sz w:val="24"/>
              <w:szCs w:val="24"/>
            </w:rPr>
            <w:tab/>
            <w:t xml:space="preserve">                </w:t>
          </w:r>
        </w:p>
      </w:tc>
    </w:tr>
  </w:tbl>
  <w:p w:rsidR="005B7D01" w:rsidRDefault="005B7D01">
    <w:pPr>
      <w:pStyle w:val="Cabealho"/>
    </w:pPr>
  </w:p>
  <w:p w:rsidR="005B7D01" w:rsidRDefault="005B7D01">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164" w:type="dxa"/>
      <w:tblInd w:w="-68" w:type="dxa"/>
      <w:tblLayout w:type="fixed"/>
      <w:tblCellMar>
        <w:left w:w="70" w:type="dxa"/>
        <w:right w:w="70" w:type="dxa"/>
      </w:tblCellMar>
      <w:tblLook w:val="0000" w:firstRow="0" w:lastRow="0" w:firstColumn="0" w:lastColumn="0" w:noHBand="0" w:noVBand="0"/>
    </w:tblPr>
    <w:tblGrid>
      <w:gridCol w:w="160"/>
      <w:gridCol w:w="15004"/>
    </w:tblGrid>
    <w:tr w:rsidR="005B7D01" w:rsidRPr="00AE4E30" w:rsidTr="005B7D01">
      <w:trPr>
        <w:trHeight w:val="850"/>
      </w:trPr>
      <w:tc>
        <w:tcPr>
          <w:tcW w:w="160" w:type="dxa"/>
          <w:tcBorders>
            <w:bottom w:val="single" w:sz="4" w:space="0" w:color="000080"/>
          </w:tcBorders>
        </w:tcPr>
        <w:p w:rsidR="005B7D01" w:rsidRPr="00AE4E30" w:rsidRDefault="005B7D01" w:rsidP="00152FF4">
          <w:pPr>
            <w:pStyle w:val="citcar"/>
            <w:widowControl/>
            <w:tabs>
              <w:tab w:val="center" w:pos="4419"/>
              <w:tab w:val="right" w:pos="8838"/>
            </w:tabs>
            <w:spacing w:line="240" w:lineRule="auto"/>
            <w:ind w:left="0" w:right="360"/>
            <w:jc w:val="left"/>
            <w:rPr>
              <w:sz w:val="24"/>
              <w:szCs w:val="24"/>
            </w:rPr>
          </w:pPr>
        </w:p>
      </w:tc>
      <w:tc>
        <w:tcPr>
          <w:tcW w:w="15004" w:type="dxa"/>
          <w:tcBorders>
            <w:bottom w:val="single" w:sz="4" w:space="0" w:color="000080"/>
          </w:tcBorders>
        </w:tcPr>
        <w:p w:rsidR="005B7D01" w:rsidRDefault="005B7D01" w:rsidP="00152FF4">
          <w:pPr>
            <w:pStyle w:val="Ttulo2"/>
            <w:jc w:val="left"/>
            <w:rPr>
              <w:sz w:val="24"/>
              <w:szCs w:val="24"/>
            </w:rPr>
          </w:pPr>
        </w:p>
        <w:p w:rsidR="005B7D01" w:rsidRDefault="005B7D01" w:rsidP="005B7D01"/>
        <w:p w:rsidR="005B7D01" w:rsidRPr="001D1B44" w:rsidRDefault="005B7D01" w:rsidP="005B7D01"/>
        <w:p w:rsidR="005B7D01" w:rsidRPr="00F774B4" w:rsidRDefault="005B7D01" w:rsidP="005F1661">
          <w:pPr>
            <w:pStyle w:val="citcar"/>
            <w:widowControl/>
            <w:tabs>
              <w:tab w:val="center" w:pos="4419"/>
              <w:tab w:val="right" w:pos="8838"/>
            </w:tabs>
            <w:spacing w:line="240" w:lineRule="auto"/>
            <w:ind w:left="0" w:right="0"/>
            <w:rPr>
              <w:b/>
              <w:bCs/>
              <w:color w:val="000080"/>
              <w:sz w:val="22"/>
              <w:szCs w:val="22"/>
            </w:rPr>
          </w:pPr>
        </w:p>
      </w:tc>
    </w:tr>
  </w:tbl>
  <w:p w:rsidR="005B7D01" w:rsidRPr="00683312" w:rsidRDefault="005B7D01" w:rsidP="00A853D3">
    <w:pPr>
      <w:pStyle w:val="Cabealho"/>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1" w:type="dxa"/>
      <w:tblInd w:w="-68" w:type="dxa"/>
      <w:tblLayout w:type="fixed"/>
      <w:tblCellMar>
        <w:left w:w="70" w:type="dxa"/>
        <w:right w:w="70" w:type="dxa"/>
      </w:tblCellMar>
      <w:tblLook w:val="0000" w:firstRow="0" w:lastRow="0" w:firstColumn="0" w:lastColumn="0" w:noHBand="0" w:noVBand="0"/>
    </w:tblPr>
    <w:tblGrid>
      <w:gridCol w:w="160"/>
      <w:gridCol w:w="9901"/>
    </w:tblGrid>
    <w:tr w:rsidR="005B7D01" w:rsidRPr="00AE4E30" w:rsidTr="005B7D01">
      <w:trPr>
        <w:trHeight w:val="850"/>
      </w:trPr>
      <w:tc>
        <w:tcPr>
          <w:tcW w:w="160" w:type="dxa"/>
          <w:tcBorders>
            <w:bottom w:val="single" w:sz="4" w:space="0" w:color="000080"/>
          </w:tcBorders>
        </w:tcPr>
        <w:p w:rsidR="005B7D01" w:rsidRPr="00AE4E30" w:rsidRDefault="005B7D01" w:rsidP="00152FF4">
          <w:pPr>
            <w:pStyle w:val="citcar"/>
            <w:widowControl/>
            <w:tabs>
              <w:tab w:val="center" w:pos="4419"/>
              <w:tab w:val="right" w:pos="8838"/>
            </w:tabs>
            <w:spacing w:line="240" w:lineRule="auto"/>
            <w:ind w:left="0" w:right="360"/>
            <w:jc w:val="left"/>
            <w:rPr>
              <w:sz w:val="24"/>
              <w:szCs w:val="24"/>
            </w:rPr>
          </w:pPr>
        </w:p>
      </w:tc>
      <w:tc>
        <w:tcPr>
          <w:tcW w:w="9901" w:type="dxa"/>
          <w:tcBorders>
            <w:bottom w:val="single" w:sz="4" w:space="0" w:color="000080"/>
          </w:tcBorders>
        </w:tcPr>
        <w:p w:rsidR="005B7D01" w:rsidRDefault="005B7D01" w:rsidP="00152FF4">
          <w:pPr>
            <w:pStyle w:val="Ttulo2"/>
            <w:jc w:val="left"/>
            <w:rPr>
              <w:sz w:val="24"/>
              <w:szCs w:val="24"/>
            </w:rPr>
          </w:pPr>
        </w:p>
        <w:p w:rsidR="005B7D01" w:rsidRDefault="005B7D01" w:rsidP="005B7D01"/>
        <w:p w:rsidR="005B7D01" w:rsidRPr="001D1B44" w:rsidRDefault="005B7D01" w:rsidP="005B7D01"/>
        <w:p w:rsidR="005B7D01" w:rsidRPr="00F774B4" w:rsidRDefault="005B7D01" w:rsidP="005F1661">
          <w:pPr>
            <w:pStyle w:val="citcar"/>
            <w:widowControl/>
            <w:tabs>
              <w:tab w:val="center" w:pos="4419"/>
              <w:tab w:val="right" w:pos="8838"/>
            </w:tabs>
            <w:spacing w:line="240" w:lineRule="auto"/>
            <w:ind w:left="0" w:right="0"/>
            <w:rPr>
              <w:b/>
              <w:bCs/>
              <w:color w:val="000080"/>
              <w:sz w:val="22"/>
              <w:szCs w:val="22"/>
            </w:rPr>
          </w:pPr>
        </w:p>
      </w:tc>
    </w:tr>
  </w:tbl>
  <w:p w:rsidR="005B7D01" w:rsidRPr="00683312" w:rsidRDefault="005B7D01" w:rsidP="00A853D3">
    <w:pPr>
      <w:pStyle w:val="Cabealho"/>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597" w:type="dxa"/>
      <w:tblInd w:w="-68" w:type="dxa"/>
      <w:tblLayout w:type="fixed"/>
      <w:tblCellMar>
        <w:left w:w="70" w:type="dxa"/>
        <w:right w:w="70" w:type="dxa"/>
      </w:tblCellMar>
      <w:tblLook w:val="0000" w:firstRow="0" w:lastRow="0" w:firstColumn="0" w:lastColumn="0" w:noHBand="0" w:noVBand="0"/>
    </w:tblPr>
    <w:tblGrid>
      <w:gridCol w:w="160"/>
      <w:gridCol w:w="14437"/>
    </w:tblGrid>
    <w:tr w:rsidR="005B7D01" w:rsidRPr="00AE4E30" w:rsidTr="005B7D01">
      <w:trPr>
        <w:trHeight w:val="850"/>
      </w:trPr>
      <w:tc>
        <w:tcPr>
          <w:tcW w:w="160" w:type="dxa"/>
          <w:tcBorders>
            <w:bottom w:val="single" w:sz="4" w:space="0" w:color="000080"/>
          </w:tcBorders>
        </w:tcPr>
        <w:p w:rsidR="005B7D01" w:rsidRPr="00AE4E30" w:rsidRDefault="005B7D01" w:rsidP="00152FF4">
          <w:pPr>
            <w:pStyle w:val="citcar"/>
            <w:widowControl/>
            <w:tabs>
              <w:tab w:val="center" w:pos="4419"/>
              <w:tab w:val="right" w:pos="8838"/>
            </w:tabs>
            <w:spacing w:line="240" w:lineRule="auto"/>
            <w:ind w:left="0" w:right="360"/>
            <w:jc w:val="left"/>
            <w:rPr>
              <w:sz w:val="24"/>
              <w:szCs w:val="24"/>
            </w:rPr>
          </w:pPr>
        </w:p>
      </w:tc>
      <w:tc>
        <w:tcPr>
          <w:tcW w:w="14437" w:type="dxa"/>
          <w:tcBorders>
            <w:bottom w:val="single" w:sz="4" w:space="0" w:color="000080"/>
          </w:tcBorders>
        </w:tcPr>
        <w:p w:rsidR="005B7D01" w:rsidRDefault="005B7D01" w:rsidP="00152FF4">
          <w:pPr>
            <w:pStyle w:val="Ttulo2"/>
            <w:jc w:val="left"/>
            <w:rPr>
              <w:sz w:val="24"/>
              <w:szCs w:val="24"/>
            </w:rPr>
          </w:pPr>
        </w:p>
        <w:p w:rsidR="005B7D01" w:rsidRDefault="005B7D01" w:rsidP="005B7D01"/>
        <w:p w:rsidR="005B7D01" w:rsidRPr="001D1B44" w:rsidRDefault="005B7D01" w:rsidP="005B7D01"/>
        <w:p w:rsidR="005B7D01" w:rsidRPr="00F774B4" w:rsidRDefault="005B7D01" w:rsidP="005F1661">
          <w:pPr>
            <w:pStyle w:val="citcar"/>
            <w:widowControl/>
            <w:tabs>
              <w:tab w:val="center" w:pos="4419"/>
              <w:tab w:val="right" w:pos="8838"/>
            </w:tabs>
            <w:spacing w:line="240" w:lineRule="auto"/>
            <w:ind w:left="0" w:right="0"/>
            <w:rPr>
              <w:b/>
              <w:bCs/>
              <w:color w:val="000080"/>
              <w:sz w:val="22"/>
              <w:szCs w:val="22"/>
            </w:rPr>
          </w:pPr>
        </w:p>
      </w:tc>
    </w:tr>
  </w:tbl>
  <w:p w:rsidR="005B7D01" w:rsidRPr="00683312" w:rsidRDefault="005B7D01" w:rsidP="00A853D3">
    <w:pPr>
      <w:pStyle w:val="Cabealho"/>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86" w:type="dxa"/>
      <w:tblInd w:w="-68" w:type="dxa"/>
      <w:tblLayout w:type="fixed"/>
      <w:tblCellMar>
        <w:left w:w="70" w:type="dxa"/>
        <w:right w:w="70" w:type="dxa"/>
      </w:tblCellMar>
      <w:tblLook w:val="0000" w:firstRow="0" w:lastRow="0" w:firstColumn="0" w:lastColumn="0" w:noHBand="0" w:noVBand="0"/>
    </w:tblPr>
    <w:tblGrid>
      <w:gridCol w:w="160"/>
      <w:gridCol w:w="10326"/>
    </w:tblGrid>
    <w:tr w:rsidR="005B7D01" w:rsidRPr="00AE4E30" w:rsidTr="005B7D01">
      <w:trPr>
        <w:trHeight w:val="850"/>
      </w:trPr>
      <w:tc>
        <w:tcPr>
          <w:tcW w:w="160" w:type="dxa"/>
          <w:tcBorders>
            <w:bottom w:val="single" w:sz="4" w:space="0" w:color="000080"/>
          </w:tcBorders>
        </w:tcPr>
        <w:p w:rsidR="005B7D01" w:rsidRPr="00AE4E30" w:rsidRDefault="005B7D01" w:rsidP="00152FF4">
          <w:pPr>
            <w:pStyle w:val="citcar"/>
            <w:widowControl/>
            <w:tabs>
              <w:tab w:val="center" w:pos="4419"/>
              <w:tab w:val="right" w:pos="8838"/>
            </w:tabs>
            <w:spacing w:line="240" w:lineRule="auto"/>
            <w:ind w:left="0" w:right="360"/>
            <w:jc w:val="left"/>
            <w:rPr>
              <w:sz w:val="24"/>
              <w:szCs w:val="24"/>
            </w:rPr>
          </w:pPr>
        </w:p>
      </w:tc>
      <w:tc>
        <w:tcPr>
          <w:tcW w:w="10326" w:type="dxa"/>
          <w:tcBorders>
            <w:bottom w:val="single" w:sz="4" w:space="0" w:color="000080"/>
          </w:tcBorders>
        </w:tcPr>
        <w:p w:rsidR="005B7D01" w:rsidRDefault="005B7D01" w:rsidP="00152FF4">
          <w:pPr>
            <w:pStyle w:val="Ttulo2"/>
            <w:jc w:val="left"/>
            <w:rPr>
              <w:sz w:val="24"/>
              <w:szCs w:val="24"/>
            </w:rPr>
          </w:pPr>
        </w:p>
        <w:p w:rsidR="005B7D01" w:rsidRDefault="005B7D01" w:rsidP="005B7D01"/>
        <w:p w:rsidR="005B7D01" w:rsidRPr="001D1B44" w:rsidRDefault="005B7D01" w:rsidP="005B7D01"/>
        <w:p w:rsidR="005B7D01" w:rsidRPr="00F774B4" w:rsidRDefault="005B7D01" w:rsidP="005F1661">
          <w:pPr>
            <w:pStyle w:val="citcar"/>
            <w:widowControl/>
            <w:tabs>
              <w:tab w:val="center" w:pos="4419"/>
              <w:tab w:val="right" w:pos="8838"/>
            </w:tabs>
            <w:spacing w:line="240" w:lineRule="auto"/>
            <w:ind w:left="0" w:right="0"/>
            <w:rPr>
              <w:b/>
              <w:bCs/>
              <w:color w:val="000080"/>
              <w:sz w:val="22"/>
              <w:szCs w:val="22"/>
            </w:rPr>
          </w:pPr>
        </w:p>
      </w:tc>
    </w:tr>
  </w:tbl>
  <w:p w:rsidR="005B7D01" w:rsidRPr="00683312" w:rsidRDefault="005B7D01" w:rsidP="00A853D3">
    <w:pPr>
      <w:pStyle w:val="Cabealho"/>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FAC" w:rsidRDefault="00490FAC">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FAC" w:rsidRDefault="00490FA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184A"/>
    <w:multiLevelType w:val="multilevel"/>
    <w:tmpl w:val="34AC17E8"/>
    <w:lvl w:ilvl="0">
      <w:start w:val="17"/>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406BBF"/>
    <w:multiLevelType w:val="hybridMultilevel"/>
    <w:tmpl w:val="B89E00BE"/>
    <w:lvl w:ilvl="0" w:tplc="E3BEAE52">
      <w:start w:val="1"/>
      <w:numFmt w:val="lowerRoman"/>
      <w:lvlText w:val="(%1)"/>
      <w:lvlJc w:val="left"/>
      <w:pPr>
        <w:ind w:left="862"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626328"/>
    <w:multiLevelType w:val="hybridMultilevel"/>
    <w:tmpl w:val="20969C82"/>
    <w:lvl w:ilvl="0" w:tplc="A56825F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077E24"/>
    <w:multiLevelType w:val="multilevel"/>
    <w:tmpl w:val="97062ADA"/>
    <w:lvl w:ilvl="0">
      <w:start w:val="1"/>
      <w:numFmt w:val="lowerLetter"/>
      <w:lvlText w:val="%1)"/>
      <w:lvlJc w:val="left"/>
      <w:pPr>
        <w:ind w:left="1494" w:hanging="360"/>
      </w:pPr>
      <w:rPr>
        <w:rFonts w:hint="default"/>
        <w:b/>
        <w:i w:val="0"/>
        <w:sz w:val="24"/>
      </w:rPr>
    </w:lvl>
    <w:lvl w:ilvl="1">
      <w:start w:val="1"/>
      <w:numFmt w:val="decimal"/>
      <w:lvlText w:val="%1.%2"/>
      <w:lvlJc w:val="right"/>
      <w:pPr>
        <w:ind w:left="1494" w:hanging="360"/>
      </w:pPr>
      <w:rPr>
        <w:rFonts w:ascii="Times New Roman" w:hAnsi="Times New Roman" w:cs="Times New Roman" w:hint="default"/>
        <w:b/>
        <w:i/>
        <w:sz w:val="22"/>
        <w:szCs w:val="22"/>
      </w:rPr>
    </w:lvl>
    <w:lvl w:ilvl="2">
      <w:start w:val="1"/>
      <w:numFmt w:val="decimal"/>
      <w:lvlText w:val="%1.%2.%3"/>
      <w:lvlJc w:val="right"/>
      <w:pPr>
        <w:tabs>
          <w:tab w:val="num" w:pos="-30186"/>
        </w:tabs>
        <w:ind w:left="1494" w:hanging="360"/>
      </w:pPr>
      <w:rPr>
        <w:rFonts w:ascii="Times New Roman" w:hAnsi="Times New Roman" w:hint="default"/>
        <w:b w:val="0"/>
        <w:i/>
        <w:sz w:val="24"/>
      </w:rPr>
    </w:lvl>
    <w:lvl w:ilvl="3">
      <w:start w:val="1"/>
      <w:numFmt w:val="decimal"/>
      <w:pStyle w:val="Corpodotexto11Negrito"/>
      <w:lvlText w:val="%1.%2.%3.%4"/>
      <w:lvlJc w:val="right"/>
      <w:pPr>
        <w:ind w:left="1494" w:hanging="360"/>
      </w:pPr>
      <w:rPr>
        <w:rFonts w:ascii="Times New Roman" w:hAnsi="Times New Roman" w:hint="default"/>
        <w:b/>
        <w:i w:val="0"/>
        <w:sz w:val="22"/>
      </w:rPr>
    </w:lvl>
    <w:lvl w:ilvl="4">
      <w:start w:val="1"/>
      <w:numFmt w:val="decimal"/>
      <w:lvlText w:val="%1.%2.%3.%4.%5."/>
      <w:lvlJc w:val="left"/>
      <w:pPr>
        <w:ind w:left="1494" w:hanging="360"/>
      </w:pPr>
      <w:rPr>
        <w:rFonts w:hint="default"/>
      </w:rPr>
    </w:lvl>
    <w:lvl w:ilvl="5">
      <w:start w:val="1"/>
      <w:numFmt w:val="decimal"/>
      <w:lvlText w:val="%1.%2.%3.%4.%5.%6."/>
      <w:lvlJc w:val="left"/>
      <w:pPr>
        <w:ind w:left="1494" w:hanging="360"/>
      </w:pPr>
      <w:rPr>
        <w:rFonts w:hint="default"/>
      </w:rPr>
    </w:lvl>
    <w:lvl w:ilvl="6">
      <w:start w:val="1"/>
      <w:numFmt w:val="decimal"/>
      <w:lvlText w:val="%1.%2.%3.%4.%5.%6.%7."/>
      <w:lvlJc w:val="left"/>
      <w:pPr>
        <w:ind w:left="1494" w:hanging="360"/>
      </w:pPr>
      <w:rPr>
        <w:rFonts w:hint="default"/>
      </w:rPr>
    </w:lvl>
    <w:lvl w:ilvl="7">
      <w:start w:val="1"/>
      <w:numFmt w:val="decimal"/>
      <w:lvlText w:val="%1.%2.%3.%4.%5.%6.%7.%8."/>
      <w:lvlJc w:val="left"/>
      <w:pPr>
        <w:ind w:left="1494" w:hanging="360"/>
      </w:pPr>
      <w:rPr>
        <w:rFonts w:hint="default"/>
      </w:rPr>
    </w:lvl>
    <w:lvl w:ilvl="8">
      <w:start w:val="1"/>
      <w:numFmt w:val="decimal"/>
      <w:lvlText w:val="%1.%2.%3.%4.%5.%6.%7.%8.%9."/>
      <w:lvlJc w:val="left"/>
      <w:pPr>
        <w:ind w:left="1494" w:hanging="360"/>
      </w:pPr>
      <w:rPr>
        <w:rFonts w:hint="default"/>
      </w:rPr>
    </w:lvl>
  </w:abstractNum>
  <w:abstractNum w:abstractNumId="4">
    <w:nsid w:val="0C735C93"/>
    <w:multiLevelType w:val="hybridMultilevel"/>
    <w:tmpl w:val="53C05FEE"/>
    <w:lvl w:ilvl="0" w:tplc="B746A36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C30BA0"/>
    <w:multiLevelType w:val="hybridMultilevel"/>
    <w:tmpl w:val="6A268B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3803AD0"/>
    <w:multiLevelType w:val="hybridMultilevel"/>
    <w:tmpl w:val="85882948"/>
    <w:lvl w:ilvl="0" w:tplc="1C1E262A">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1680522C"/>
    <w:multiLevelType w:val="multilevel"/>
    <w:tmpl w:val="074C433A"/>
    <w:lvl w:ilvl="0">
      <w:start w:val="1"/>
      <w:numFmt w:val="lowerLetter"/>
      <w:pStyle w:val="Numerada"/>
      <w:lvlText w:val="%1)"/>
      <w:lvlJc w:val="left"/>
      <w:pPr>
        <w:tabs>
          <w:tab w:val="num" w:pos="-180"/>
        </w:tabs>
        <w:ind w:left="-180" w:hanging="360"/>
      </w:pPr>
    </w:lvl>
    <w:lvl w:ilvl="1">
      <w:start w:val="1"/>
      <w:numFmt w:val="lowerRoman"/>
      <w:lvlText w:val="%2)"/>
      <w:lvlJc w:val="left"/>
      <w:pPr>
        <w:tabs>
          <w:tab w:val="num" w:pos="1140"/>
        </w:tabs>
        <w:ind w:left="1140" w:hanging="960"/>
      </w:pPr>
      <w:rPr>
        <w:rFonts w:hint="default"/>
      </w:rPr>
    </w:lvl>
    <w:lvl w:ilvl="2">
      <w:start w:val="1"/>
      <w:numFmt w:val="lowerRoman"/>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8">
    <w:nsid w:val="17583909"/>
    <w:multiLevelType w:val="hybridMultilevel"/>
    <w:tmpl w:val="E1AE8FFC"/>
    <w:lvl w:ilvl="0" w:tplc="17B0148A">
      <w:start w:val="1"/>
      <w:numFmt w:val="lowerRoman"/>
      <w:lvlText w:val="(%1)"/>
      <w:lvlJc w:val="left"/>
      <w:pPr>
        <w:ind w:left="862"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9DD78C4"/>
    <w:multiLevelType w:val="hybridMultilevel"/>
    <w:tmpl w:val="91ECB5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B2F7DA9"/>
    <w:multiLevelType w:val="multilevel"/>
    <w:tmpl w:val="064A8C02"/>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C9173E"/>
    <w:multiLevelType w:val="multilevel"/>
    <w:tmpl w:val="8FAA1768"/>
    <w:lvl w:ilvl="0">
      <w:start w:val="1"/>
      <w:numFmt w:val="decimal"/>
      <w:lvlText w:val="%1."/>
      <w:lvlJc w:val="left"/>
      <w:pPr>
        <w:ind w:left="360" w:hanging="360"/>
      </w:pPr>
      <w:rPr>
        <w:rFonts w:hint="default"/>
      </w:rPr>
    </w:lvl>
    <w:lvl w:ilvl="1">
      <w:start w:val="1"/>
      <w:numFmt w:val="decimal"/>
      <w:lvlText w:val="%1.%2."/>
      <w:lvlJc w:val="left"/>
      <w:pPr>
        <w:ind w:left="574" w:hanging="432"/>
      </w:pPr>
      <w:rPr>
        <w:rFonts w:ascii="Times New Roman" w:hAnsi="Times New Roman" w:cs="Times New Roman" w:hint="default"/>
        <w:b/>
        <w:sz w:val="22"/>
        <w:szCs w:val="22"/>
      </w:rPr>
    </w:lvl>
    <w:lvl w:ilvl="2">
      <w:start w:val="1"/>
      <w:numFmt w:val="decimal"/>
      <w:lvlText w:val="%1.%2.%3."/>
      <w:lvlJc w:val="left"/>
      <w:pPr>
        <w:ind w:left="2348" w:hanging="504"/>
      </w:pPr>
      <w:rPr>
        <w:rFonts w:ascii="Times New Roman" w:hAnsi="Times New Roman" w:cs="Times New Roman" w:hint="default"/>
        <w:b/>
        <w:sz w:val="22"/>
        <w:szCs w:val="22"/>
      </w:rPr>
    </w:lvl>
    <w:lvl w:ilvl="3">
      <w:start w:val="1"/>
      <w:numFmt w:val="decimal"/>
      <w:lvlText w:val="%1.%2.%3.%4."/>
      <w:lvlJc w:val="left"/>
      <w:pPr>
        <w:ind w:left="932" w:hanging="648"/>
      </w:pPr>
      <w:rPr>
        <w:rFonts w:ascii="Times New Roman" w:hAnsi="Times New Roman" w:cs="Times New Roman" w:hint="default"/>
        <w:b/>
      </w:rPr>
    </w:lvl>
    <w:lvl w:ilvl="4">
      <w:start w:val="1"/>
      <w:numFmt w:val="decimal"/>
      <w:lvlText w:val="%1.%2.%3.%4.%5."/>
      <w:lvlJc w:val="left"/>
      <w:pPr>
        <w:ind w:left="2232" w:hanging="792"/>
      </w:pPr>
      <w:rPr>
        <w:rFonts w:ascii="Times New Roman" w:hAnsi="Times New Roman" w:cs="Times New Roman" w:hint="default"/>
        <w:lang w:val="pt-BR"/>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A9566D"/>
    <w:multiLevelType w:val="hybridMultilevel"/>
    <w:tmpl w:val="DACE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7D180E"/>
    <w:multiLevelType w:val="multilevel"/>
    <w:tmpl w:val="22E4FAEA"/>
    <w:lvl w:ilvl="0">
      <w:start w:val="14"/>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6C634BE"/>
    <w:multiLevelType w:val="multilevel"/>
    <w:tmpl w:val="126E8C08"/>
    <w:lvl w:ilvl="0">
      <w:start w:val="1"/>
      <w:numFmt w:val="bullet"/>
      <w:pStyle w:val="Numerada2"/>
      <w:lvlText w:val=""/>
      <w:lvlJc w:val="left"/>
      <w:pPr>
        <w:tabs>
          <w:tab w:val="num" w:pos="1776"/>
        </w:tabs>
        <w:ind w:left="1776" w:hanging="360"/>
      </w:pPr>
      <w:rPr>
        <w:rFonts w:ascii="Symbol" w:hAnsi="Symbol" w:cs="Symbol" w:hint="default"/>
      </w:rPr>
    </w:lvl>
    <w:lvl w:ilvl="1">
      <w:start w:val="1"/>
      <w:numFmt w:val="bullet"/>
      <w:lvlText w:val="o"/>
      <w:lvlJc w:val="left"/>
      <w:pPr>
        <w:tabs>
          <w:tab w:val="num" w:pos="2496"/>
        </w:tabs>
        <w:ind w:left="2496" w:hanging="360"/>
      </w:pPr>
      <w:rPr>
        <w:rFonts w:ascii="Courier New" w:hAnsi="Courier New" w:cs="Courier New" w:hint="default"/>
      </w:rPr>
    </w:lvl>
    <w:lvl w:ilvl="2">
      <w:start w:val="1"/>
      <w:numFmt w:val="bullet"/>
      <w:lvlText w:val=""/>
      <w:lvlJc w:val="left"/>
      <w:pPr>
        <w:tabs>
          <w:tab w:val="num" w:pos="3216"/>
        </w:tabs>
        <w:ind w:left="3216" w:hanging="360"/>
      </w:pPr>
      <w:rPr>
        <w:rFonts w:ascii="Wingdings" w:hAnsi="Wingdings" w:cs="Wingdings" w:hint="default"/>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Courier New"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Courier New"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15">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16">
    <w:nsid w:val="2D4E52EA"/>
    <w:multiLevelType w:val="multilevel"/>
    <w:tmpl w:val="66D0C5AC"/>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ascii="Times New Roman" w:hAnsi="Times New Roman" w:cs="Times New Roman" w:hint="default"/>
        <w:b/>
        <w:sz w:val="22"/>
        <w:szCs w:val="22"/>
      </w:rPr>
    </w:lvl>
    <w:lvl w:ilvl="2">
      <w:start w:val="1"/>
      <w:numFmt w:val="decimal"/>
      <w:lvlText w:val="%1.%2.%3."/>
      <w:lvlJc w:val="left"/>
      <w:pPr>
        <w:ind w:left="788" w:hanging="504"/>
      </w:pPr>
      <w:rPr>
        <w:rFonts w:ascii="Times New Roman" w:hAnsi="Times New Roman" w:cs="Times New Roman" w:hint="default"/>
        <w:b/>
      </w:rPr>
    </w:lvl>
    <w:lvl w:ilvl="3">
      <w:start w:val="1"/>
      <w:numFmt w:val="decimal"/>
      <w:lvlText w:val="%1.%2.%3.%4."/>
      <w:lvlJc w:val="left"/>
      <w:pPr>
        <w:ind w:left="1728" w:hanging="648"/>
      </w:pPr>
      <w:rPr>
        <w:rFonts w:ascii="Times New Roman" w:hAnsi="Times New Roman" w:cs="Times New Roman" w:hint="default"/>
        <w:b/>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E8E3DA3"/>
    <w:multiLevelType w:val="multilevel"/>
    <w:tmpl w:val="F4EA6780"/>
    <w:lvl w:ilvl="0">
      <w:start w:val="1"/>
      <w:numFmt w:val="lowerRoman"/>
      <w:pStyle w:val="Marcadori"/>
      <w:lvlText w:val="(%1)"/>
      <w:lvlJc w:val="right"/>
      <w:pPr>
        <w:ind w:left="710" w:hanging="360"/>
      </w:pPr>
      <w:rPr>
        <w:rFonts w:ascii="Times New Roman" w:hAnsi="Times New Roman" w:hint="default"/>
        <w:b w:val="0"/>
        <w:i w:val="0"/>
        <w:sz w:val="22"/>
      </w:rPr>
    </w:lvl>
    <w:lvl w:ilvl="1">
      <w:start w:val="1"/>
      <w:numFmt w:val="lowerLetter"/>
      <w:lvlText w:val="%2."/>
      <w:lvlJc w:val="right"/>
      <w:pPr>
        <w:ind w:left="710" w:hanging="360"/>
      </w:pPr>
      <w:rPr>
        <w:rFonts w:hint="default"/>
      </w:rPr>
    </w:lvl>
    <w:lvl w:ilvl="2">
      <w:start w:val="1"/>
      <w:numFmt w:val="lowerRoman"/>
      <w:lvlText w:val="%3."/>
      <w:lvlJc w:val="right"/>
      <w:pPr>
        <w:ind w:left="710" w:hanging="360"/>
      </w:pPr>
      <w:rPr>
        <w:rFonts w:hint="default"/>
      </w:rPr>
    </w:lvl>
    <w:lvl w:ilvl="3">
      <w:start w:val="1"/>
      <w:numFmt w:val="decimal"/>
      <w:lvlText w:val="%4."/>
      <w:lvlJc w:val="right"/>
      <w:pPr>
        <w:ind w:left="710" w:hanging="360"/>
      </w:pPr>
      <w:rPr>
        <w:rFonts w:hint="default"/>
      </w:rPr>
    </w:lvl>
    <w:lvl w:ilvl="4">
      <w:start w:val="1"/>
      <w:numFmt w:val="lowerLetter"/>
      <w:lvlText w:val="%5."/>
      <w:lvlJc w:val="right"/>
      <w:pPr>
        <w:ind w:left="710" w:hanging="360"/>
      </w:pPr>
      <w:rPr>
        <w:rFonts w:hint="default"/>
      </w:rPr>
    </w:lvl>
    <w:lvl w:ilvl="5">
      <w:start w:val="1"/>
      <w:numFmt w:val="lowerRoman"/>
      <w:lvlText w:val="%6."/>
      <w:lvlJc w:val="right"/>
      <w:pPr>
        <w:ind w:left="710" w:hanging="360"/>
      </w:pPr>
      <w:rPr>
        <w:rFonts w:hint="default"/>
      </w:rPr>
    </w:lvl>
    <w:lvl w:ilvl="6">
      <w:start w:val="1"/>
      <w:numFmt w:val="decimal"/>
      <w:lvlText w:val="%7."/>
      <w:lvlJc w:val="right"/>
      <w:pPr>
        <w:ind w:left="710" w:hanging="360"/>
      </w:pPr>
      <w:rPr>
        <w:rFonts w:hint="default"/>
      </w:rPr>
    </w:lvl>
    <w:lvl w:ilvl="7">
      <w:start w:val="1"/>
      <w:numFmt w:val="lowerLetter"/>
      <w:lvlText w:val="%8."/>
      <w:lvlJc w:val="right"/>
      <w:pPr>
        <w:ind w:left="710" w:hanging="360"/>
      </w:pPr>
      <w:rPr>
        <w:rFonts w:hint="default"/>
      </w:rPr>
    </w:lvl>
    <w:lvl w:ilvl="8">
      <w:start w:val="1"/>
      <w:numFmt w:val="lowerRoman"/>
      <w:lvlText w:val="%9."/>
      <w:lvlJc w:val="right"/>
      <w:pPr>
        <w:ind w:left="710" w:hanging="360"/>
      </w:pPr>
      <w:rPr>
        <w:rFonts w:hint="default"/>
      </w:rPr>
    </w:lvl>
  </w:abstractNum>
  <w:abstractNum w:abstractNumId="18">
    <w:nsid w:val="2F800602"/>
    <w:multiLevelType w:val="multilevel"/>
    <w:tmpl w:val="A70E7530"/>
    <w:lvl w:ilvl="0">
      <w:start w:val="1"/>
      <w:numFmt w:val="decimal"/>
      <w:lvlText w:val="%1."/>
      <w:lvlJc w:val="left"/>
      <w:pPr>
        <w:ind w:left="780" w:hanging="720"/>
      </w:pPr>
      <w:rPr>
        <w:rFonts w:hint="default"/>
      </w:rPr>
    </w:lvl>
    <w:lvl w:ilvl="1">
      <w:start w:val="1"/>
      <w:numFmt w:val="decimal"/>
      <w:isLgl/>
      <w:lvlText w:val="%1.%2"/>
      <w:lvlJc w:val="left"/>
      <w:pPr>
        <w:ind w:left="-2274" w:hanging="360"/>
      </w:pPr>
      <w:rPr>
        <w:rFonts w:asciiTheme="majorHAnsi" w:hAnsiTheme="majorHAnsi" w:cs="Times New Roman" w:hint="default"/>
        <w:b/>
        <w:i w:val="0"/>
      </w:rPr>
    </w:lvl>
    <w:lvl w:ilvl="2">
      <w:start w:val="1"/>
      <w:numFmt w:val="decimal"/>
      <w:isLgl/>
      <w:lvlText w:val="%1.%2.%3"/>
      <w:lvlJc w:val="left"/>
      <w:pPr>
        <w:ind w:left="-1854" w:hanging="720"/>
      </w:pPr>
      <w:rPr>
        <w:rFonts w:ascii="Times New Roman" w:hAnsi="Times New Roman" w:cs="Times New Roman" w:hint="default"/>
        <w:b/>
      </w:rPr>
    </w:lvl>
    <w:lvl w:ilvl="3">
      <w:start w:val="1"/>
      <w:numFmt w:val="decimal"/>
      <w:isLgl/>
      <w:lvlText w:val="%1.%2.%3.%4"/>
      <w:lvlJc w:val="left"/>
      <w:pPr>
        <w:ind w:left="-1854" w:hanging="720"/>
      </w:pPr>
      <w:rPr>
        <w:rFonts w:ascii="Times New Roman" w:hAnsi="Times New Roman" w:cs="Times New Roman" w:hint="default"/>
        <w:b/>
      </w:rPr>
    </w:lvl>
    <w:lvl w:ilvl="4">
      <w:start w:val="1"/>
      <w:numFmt w:val="decimal"/>
      <w:isLgl/>
      <w:lvlText w:val="%1.%2.%3.%4.%5"/>
      <w:lvlJc w:val="left"/>
      <w:pPr>
        <w:ind w:left="-1854" w:hanging="720"/>
      </w:pPr>
      <w:rPr>
        <w:rFonts w:hint="default"/>
      </w:rPr>
    </w:lvl>
    <w:lvl w:ilvl="5">
      <w:start w:val="1"/>
      <w:numFmt w:val="decimal"/>
      <w:isLgl/>
      <w:lvlText w:val="%1.%2.%3.%4.%5.%6"/>
      <w:lvlJc w:val="left"/>
      <w:pPr>
        <w:ind w:left="-1494" w:hanging="1080"/>
      </w:pPr>
      <w:rPr>
        <w:rFonts w:hint="default"/>
      </w:rPr>
    </w:lvl>
    <w:lvl w:ilvl="6">
      <w:start w:val="1"/>
      <w:numFmt w:val="decimal"/>
      <w:isLgl/>
      <w:lvlText w:val="%1.%2.%3.%4.%5.%6.%7"/>
      <w:lvlJc w:val="left"/>
      <w:pPr>
        <w:ind w:left="-1494" w:hanging="1080"/>
      </w:pPr>
      <w:rPr>
        <w:rFonts w:hint="default"/>
      </w:rPr>
    </w:lvl>
    <w:lvl w:ilvl="7">
      <w:start w:val="1"/>
      <w:numFmt w:val="decimal"/>
      <w:isLgl/>
      <w:lvlText w:val="%1.%2.%3.%4.%5.%6.%7.%8"/>
      <w:lvlJc w:val="left"/>
      <w:pPr>
        <w:ind w:left="-1134" w:hanging="1440"/>
      </w:pPr>
      <w:rPr>
        <w:rFonts w:hint="default"/>
      </w:rPr>
    </w:lvl>
    <w:lvl w:ilvl="8">
      <w:start w:val="1"/>
      <w:numFmt w:val="decimal"/>
      <w:isLgl/>
      <w:lvlText w:val="%1.%2.%3.%4.%5.%6.%7.%8.%9"/>
      <w:lvlJc w:val="left"/>
      <w:pPr>
        <w:ind w:left="-1134" w:hanging="1440"/>
      </w:pPr>
      <w:rPr>
        <w:rFonts w:hint="default"/>
      </w:rPr>
    </w:lvl>
  </w:abstractNum>
  <w:abstractNum w:abstractNumId="19">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0">
    <w:nsid w:val="31541BC4"/>
    <w:multiLevelType w:val="multilevel"/>
    <w:tmpl w:val="6CB4BEE2"/>
    <w:lvl w:ilvl="0">
      <w:start w:val="1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773F85"/>
    <w:multiLevelType w:val="hybridMultilevel"/>
    <w:tmpl w:val="2DC43AF8"/>
    <w:lvl w:ilvl="0" w:tplc="04160001">
      <w:start w:val="1"/>
      <w:numFmt w:val="bullet"/>
      <w:lvlText w:val=""/>
      <w:lvlJc w:val="left"/>
      <w:pPr>
        <w:ind w:left="834" w:hanging="360"/>
      </w:pPr>
      <w:rPr>
        <w:rFonts w:ascii="Symbol" w:hAnsi="Symbol" w:hint="default"/>
      </w:rPr>
    </w:lvl>
    <w:lvl w:ilvl="1" w:tplc="B93A81A8">
      <w:numFmt w:val="bullet"/>
      <w:lvlText w:val="•"/>
      <w:lvlJc w:val="left"/>
      <w:pPr>
        <w:ind w:left="2327" w:hanging="1133"/>
      </w:pPr>
      <w:rPr>
        <w:rFonts w:ascii="Times New Roman" w:eastAsia="Times New Roman" w:hAnsi="Times New Roman" w:cs="Times New Roman" w:hint="default"/>
      </w:rPr>
    </w:lvl>
    <w:lvl w:ilvl="2" w:tplc="04160005" w:tentative="1">
      <w:start w:val="1"/>
      <w:numFmt w:val="bullet"/>
      <w:lvlText w:val=""/>
      <w:lvlJc w:val="left"/>
      <w:pPr>
        <w:ind w:left="2274" w:hanging="360"/>
      </w:pPr>
      <w:rPr>
        <w:rFonts w:ascii="Wingdings" w:hAnsi="Wingdings" w:hint="default"/>
      </w:rPr>
    </w:lvl>
    <w:lvl w:ilvl="3" w:tplc="04160001" w:tentative="1">
      <w:start w:val="1"/>
      <w:numFmt w:val="bullet"/>
      <w:lvlText w:val=""/>
      <w:lvlJc w:val="left"/>
      <w:pPr>
        <w:ind w:left="2994" w:hanging="360"/>
      </w:pPr>
      <w:rPr>
        <w:rFonts w:ascii="Symbol" w:hAnsi="Symbol" w:hint="default"/>
      </w:rPr>
    </w:lvl>
    <w:lvl w:ilvl="4" w:tplc="04160003" w:tentative="1">
      <w:start w:val="1"/>
      <w:numFmt w:val="bullet"/>
      <w:lvlText w:val="o"/>
      <w:lvlJc w:val="left"/>
      <w:pPr>
        <w:ind w:left="3714" w:hanging="360"/>
      </w:pPr>
      <w:rPr>
        <w:rFonts w:ascii="Courier New" w:hAnsi="Courier New" w:cs="Courier New" w:hint="default"/>
      </w:rPr>
    </w:lvl>
    <w:lvl w:ilvl="5" w:tplc="04160005" w:tentative="1">
      <w:start w:val="1"/>
      <w:numFmt w:val="bullet"/>
      <w:lvlText w:val=""/>
      <w:lvlJc w:val="left"/>
      <w:pPr>
        <w:ind w:left="4434" w:hanging="360"/>
      </w:pPr>
      <w:rPr>
        <w:rFonts w:ascii="Wingdings" w:hAnsi="Wingdings" w:hint="default"/>
      </w:rPr>
    </w:lvl>
    <w:lvl w:ilvl="6" w:tplc="04160001" w:tentative="1">
      <w:start w:val="1"/>
      <w:numFmt w:val="bullet"/>
      <w:lvlText w:val=""/>
      <w:lvlJc w:val="left"/>
      <w:pPr>
        <w:ind w:left="5154" w:hanging="360"/>
      </w:pPr>
      <w:rPr>
        <w:rFonts w:ascii="Symbol" w:hAnsi="Symbol" w:hint="default"/>
      </w:rPr>
    </w:lvl>
    <w:lvl w:ilvl="7" w:tplc="04160003" w:tentative="1">
      <w:start w:val="1"/>
      <w:numFmt w:val="bullet"/>
      <w:lvlText w:val="o"/>
      <w:lvlJc w:val="left"/>
      <w:pPr>
        <w:ind w:left="5874" w:hanging="360"/>
      </w:pPr>
      <w:rPr>
        <w:rFonts w:ascii="Courier New" w:hAnsi="Courier New" w:cs="Courier New" w:hint="default"/>
      </w:rPr>
    </w:lvl>
    <w:lvl w:ilvl="8" w:tplc="04160005" w:tentative="1">
      <w:start w:val="1"/>
      <w:numFmt w:val="bullet"/>
      <w:lvlText w:val=""/>
      <w:lvlJc w:val="left"/>
      <w:pPr>
        <w:ind w:left="6594" w:hanging="360"/>
      </w:pPr>
      <w:rPr>
        <w:rFonts w:ascii="Wingdings" w:hAnsi="Wingdings" w:hint="default"/>
      </w:rPr>
    </w:lvl>
  </w:abstractNum>
  <w:abstractNum w:abstractNumId="22">
    <w:nsid w:val="33BF7427"/>
    <w:multiLevelType w:val="hybridMultilevel"/>
    <w:tmpl w:val="406A82D4"/>
    <w:lvl w:ilvl="0" w:tplc="04160017">
      <w:start w:val="1"/>
      <w:numFmt w:val="lowerLetter"/>
      <w:lvlText w:val="%1)"/>
      <w:lvlJc w:val="left"/>
      <w:pPr>
        <w:ind w:left="1194" w:hanging="360"/>
      </w:pPr>
    </w:lvl>
    <w:lvl w:ilvl="1" w:tplc="04160019" w:tentative="1">
      <w:start w:val="1"/>
      <w:numFmt w:val="lowerLetter"/>
      <w:lvlText w:val="%2."/>
      <w:lvlJc w:val="left"/>
      <w:pPr>
        <w:ind w:left="1914" w:hanging="360"/>
      </w:pPr>
    </w:lvl>
    <w:lvl w:ilvl="2" w:tplc="0416001B" w:tentative="1">
      <w:start w:val="1"/>
      <w:numFmt w:val="lowerRoman"/>
      <w:lvlText w:val="%3."/>
      <w:lvlJc w:val="right"/>
      <w:pPr>
        <w:ind w:left="2634" w:hanging="180"/>
      </w:pPr>
    </w:lvl>
    <w:lvl w:ilvl="3" w:tplc="0416000F" w:tentative="1">
      <w:start w:val="1"/>
      <w:numFmt w:val="decimal"/>
      <w:lvlText w:val="%4."/>
      <w:lvlJc w:val="left"/>
      <w:pPr>
        <w:ind w:left="3354" w:hanging="360"/>
      </w:pPr>
    </w:lvl>
    <w:lvl w:ilvl="4" w:tplc="04160019" w:tentative="1">
      <w:start w:val="1"/>
      <w:numFmt w:val="lowerLetter"/>
      <w:lvlText w:val="%5."/>
      <w:lvlJc w:val="left"/>
      <w:pPr>
        <w:ind w:left="4074" w:hanging="360"/>
      </w:pPr>
    </w:lvl>
    <w:lvl w:ilvl="5" w:tplc="0416001B" w:tentative="1">
      <w:start w:val="1"/>
      <w:numFmt w:val="lowerRoman"/>
      <w:lvlText w:val="%6."/>
      <w:lvlJc w:val="right"/>
      <w:pPr>
        <w:ind w:left="4794" w:hanging="180"/>
      </w:pPr>
    </w:lvl>
    <w:lvl w:ilvl="6" w:tplc="0416000F" w:tentative="1">
      <w:start w:val="1"/>
      <w:numFmt w:val="decimal"/>
      <w:lvlText w:val="%7."/>
      <w:lvlJc w:val="left"/>
      <w:pPr>
        <w:ind w:left="5514" w:hanging="360"/>
      </w:pPr>
    </w:lvl>
    <w:lvl w:ilvl="7" w:tplc="04160019" w:tentative="1">
      <w:start w:val="1"/>
      <w:numFmt w:val="lowerLetter"/>
      <w:lvlText w:val="%8."/>
      <w:lvlJc w:val="left"/>
      <w:pPr>
        <w:ind w:left="6234" w:hanging="360"/>
      </w:pPr>
    </w:lvl>
    <w:lvl w:ilvl="8" w:tplc="0416001B" w:tentative="1">
      <w:start w:val="1"/>
      <w:numFmt w:val="lowerRoman"/>
      <w:lvlText w:val="%9."/>
      <w:lvlJc w:val="right"/>
      <w:pPr>
        <w:ind w:left="6954" w:hanging="180"/>
      </w:pPr>
    </w:lvl>
  </w:abstractNum>
  <w:abstractNum w:abstractNumId="23">
    <w:nsid w:val="3B590892"/>
    <w:multiLevelType w:val="multilevel"/>
    <w:tmpl w:val="CF0CA24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EAA37EC"/>
    <w:multiLevelType w:val="hybridMultilevel"/>
    <w:tmpl w:val="E048D36E"/>
    <w:lvl w:ilvl="0" w:tplc="A4467B28">
      <w:start w:val="1"/>
      <w:numFmt w:val="lowerRoman"/>
      <w:lvlText w:val="(%1)"/>
      <w:lvlJc w:val="left"/>
      <w:pPr>
        <w:ind w:left="1080" w:hanging="720"/>
      </w:pPr>
      <w:rPr>
        <w:rFonts w:ascii="Times New Roman" w:hAnsi="Times New Roman" w:cs="Times New Roman"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24D50AA"/>
    <w:multiLevelType w:val="hybridMultilevel"/>
    <w:tmpl w:val="C13A4546"/>
    <w:lvl w:ilvl="0" w:tplc="0416000D">
      <w:start w:val="1"/>
      <w:numFmt w:val="bullet"/>
      <w:lvlText w:val=""/>
      <w:lvlJc w:val="left"/>
      <w:pPr>
        <w:ind w:left="2704" w:hanging="360"/>
      </w:pPr>
      <w:rPr>
        <w:rFonts w:ascii="Wingdings" w:hAnsi="Wingdings" w:hint="default"/>
      </w:rPr>
    </w:lvl>
    <w:lvl w:ilvl="1" w:tplc="04160003" w:tentative="1">
      <w:start w:val="1"/>
      <w:numFmt w:val="bullet"/>
      <w:lvlText w:val="o"/>
      <w:lvlJc w:val="left"/>
      <w:pPr>
        <w:ind w:left="3424" w:hanging="360"/>
      </w:pPr>
      <w:rPr>
        <w:rFonts w:ascii="Courier New" w:hAnsi="Courier New" w:cs="Courier New" w:hint="default"/>
      </w:rPr>
    </w:lvl>
    <w:lvl w:ilvl="2" w:tplc="04160005" w:tentative="1">
      <w:start w:val="1"/>
      <w:numFmt w:val="bullet"/>
      <w:lvlText w:val=""/>
      <w:lvlJc w:val="left"/>
      <w:pPr>
        <w:ind w:left="4144" w:hanging="360"/>
      </w:pPr>
      <w:rPr>
        <w:rFonts w:ascii="Wingdings" w:hAnsi="Wingdings" w:hint="default"/>
      </w:rPr>
    </w:lvl>
    <w:lvl w:ilvl="3" w:tplc="04160001" w:tentative="1">
      <w:start w:val="1"/>
      <w:numFmt w:val="bullet"/>
      <w:lvlText w:val=""/>
      <w:lvlJc w:val="left"/>
      <w:pPr>
        <w:ind w:left="4864" w:hanging="360"/>
      </w:pPr>
      <w:rPr>
        <w:rFonts w:ascii="Symbol" w:hAnsi="Symbol" w:hint="default"/>
      </w:rPr>
    </w:lvl>
    <w:lvl w:ilvl="4" w:tplc="04160003" w:tentative="1">
      <w:start w:val="1"/>
      <w:numFmt w:val="bullet"/>
      <w:lvlText w:val="o"/>
      <w:lvlJc w:val="left"/>
      <w:pPr>
        <w:ind w:left="5584" w:hanging="360"/>
      </w:pPr>
      <w:rPr>
        <w:rFonts w:ascii="Courier New" w:hAnsi="Courier New" w:cs="Courier New" w:hint="default"/>
      </w:rPr>
    </w:lvl>
    <w:lvl w:ilvl="5" w:tplc="04160005" w:tentative="1">
      <w:start w:val="1"/>
      <w:numFmt w:val="bullet"/>
      <w:lvlText w:val=""/>
      <w:lvlJc w:val="left"/>
      <w:pPr>
        <w:ind w:left="6304" w:hanging="360"/>
      </w:pPr>
      <w:rPr>
        <w:rFonts w:ascii="Wingdings" w:hAnsi="Wingdings" w:hint="default"/>
      </w:rPr>
    </w:lvl>
    <w:lvl w:ilvl="6" w:tplc="04160001" w:tentative="1">
      <w:start w:val="1"/>
      <w:numFmt w:val="bullet"/>
      <w:lvlText w:val=""/>
      <w:lvlJc w:val="left"/>
      <w:pPr>
        <w:ind w:left="7024" w:hanging="360"/>
      </w:pPr>
      <w:rPr>
        <w:rFonts w:ascii="Symbol" w:hAnsi="Symbol" w:hint="default"/>
      </w:rPr>
    </w:lvl>
    <w:lvl w:ilvl="7" w:tplc="04160003" w:tentative="1">
      <w:start w:val="1"/>
      <w:numFmt w:val="bullet"/>
      <w:lvlText w:val="o"/>
      <w:lvlJc w:val="left"/>
      <w:pPr>
        <w:ind w:left="7744" w:hanging="360"/>
      </w:pPr>
      <w:rPr>
        <w:rFonts w:ascii="Courier New" w:hAnsi="Courier New" w:cs="Courier New" w:hint="default"/>
      </w:rPr>
    </w:lvl>
    <w:lvl w:ilvl="8" w:tplc="04160005" w:tentative="1">
      <w:start w:val="1"/>
      <w:numFmt w:val="bullet"/>
      <w:lvlText w:val=""/>
      <w:lvlJc w:val="left"/>
      <w:pPr>
        <w:ind w:left="8464" w:hanging="360"/>
      </w:pPr>
      <w:rPr>
        <w:rFonts w:ascii="Wingdings" w:hAnsi="Wingdings" w:hint="default"/>
      </w:rPr>
    </w:lvl>
  </w:abstractNum>
  <w:abstractNum w:abstractNumId="26">
    <w:nsid w:val="44C44EBE"/>
    <w:multiLevelType w:val="hybridMultilevel"/>
    <w:tmpl w:val="B89E00BE"/>
    <w:lvl w:ilvl="0" w:tplc="E3BEAE52">
      <w:start w:val="1"/>
      <w:numFmt w:val="lowerRoman"/>
      <w:lvlText w:val="(%1)"/>
      <w:lvlJc w:val="left"/>
      <w:pPr>
        <w:ind w:left="862"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4F94508"/>
    <w:multiLevelType w:val="hybridMultilevel"/>
    <w:tmpl w:val="1A56B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5354E9D"/>
    <w:multiLevelType w:val="hybridMultilevel"/>
    <w:tmpl w:val="265C1506"/>
    <w:lvl w:ilvl="0" w:tplc="2A5A085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79B5A4E"/>
    <w:multiLevelType w:val="multilevel"/>
    <w:tmpl w:val="7BF62598"/>
    <w:lvl w:ilvl="0">
      <w:start w:val="1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81B7AD9"/>
    <w:multiLevelType w:val="multilevel"/>
    <w:tmpl w:val="3AECC038"/>
    <w:lvl w:ilvl="0">
      <w:start w:val="4"/>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ACA6452"/>
    <w:multiLevelType w:val="hybridMultilevel"/>
    <w:tmpl w:val="EE96B03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B7D3C87"/>
    <w:multiLevelType w:val="multilevel"/>
    <w:tmpl w:val="56D8F770"/>
    <w:lvl w:ilvl="0">
      <w:start w:val="1"/>
      <w:numFmt w:val="lowerLetter"/>
      <w:lvlText w:val="%1)"/>
      <w:lvlJc w:val="left"/>
      <w:pPr>
        <w:ind w:left="360" w:hanging="360"/>
      </w:pPr>
      <w:rPr>
        <w:rFonts w:ascii="Arial" w:eastAsia="Calibri" w:hAnsi="Arial" w:cs="Arial"/>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CFD4D16"/>
    <w:multiLevelType w:val="hybridMultilevel"/>
    <w:tmpl w:val="3738C2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nsid w:val="51A6050E"/>
    <w:multiLevelType w:val="hybridMultilevel"/>
    <w:tmpl w:val="3CEED97E"/>
    <w:lvl w:ilvl="0" w:tplc="04160001">
      <w:start w:val="1"/>
      <w:numFmt w:val="bullet"/>
      <w:lvlText w:val=""/>
      <w:lvlJc w:val="left"/>
      <w:pPr>
        <w:ind w:left="3213" w:hanging="360"/>
      </w:pPr>
      <w:rPr>
        <w:rFonts w:ascii="Symbol" w:hAnsi="Symbol" w:cs="Symbol" w:hint="default"/>
      </w:rPr>
    </w:lvl>
    <w:lvl w:ilvl="1" w:tplc="04160003">
      <w:start w:val="1"/>
      <w:numFmt w:val="bullet"/>
      <w:lvlText w:val="o"/>
      <w:lvlJc w:val="left"/>
      <w:pPr>
        <w:ind w:left="3933" w:hanging="360"/>
      </w:pPr>
      <w:rPr>
        <w:rFonts w:ascii="Courier New" w:hAnsi="Courier New" w:cs="Courier New" w:hint="default"/>
      </w:rPr>
    </w:lvl>
    <w:lvl w:ilvl="2" w:tplc="04160005">
      <w:start w:val="1"/>
      <w:numFmt w:val="bullet"/>
      <w:lvlText w:val=""/>
      <w:lvlJc w:val="left"/>
      <w:pPr>
        <w:ind w:left="4653" w:hanging="360"/>
      </w:pPr>
      <w:rPr>
        <w:rFonts w:ascii="Wingdings" w:hAnsi="Wingdings" w:cs="Wingdings" w:hint="default"/>
      </w:rPr>
    </w:lvl>
    <w:lvl w:ilvl="3" w:tplc="04160001">
      <w:start w:val="1"/>
      <w:numFmt w:val="bullet"/>
      <w:lvlText w:val=""/>
      <w:lvlJc w:val="left"/>
      <w:pPr>
        <w:ind w:left="5373" w:hanging="360"/>
      </w:pPr>
      <w:rPr>
        <w:rFonts w:ascii="Symbol" w:hAnsi="Symbol" w:cs="Symbol" w:hint="default"/>
      </w:rPr>
    </w:lvl>
    <w:lvl w:ilvl="4" w:tplc="04160003">
      <w:start w:val="1"/>
      <w:numFmt w:val="bullet"/>
      <w:lvlText w:val="o"/>
      <w:lvlJc w:val="left"/>
      <w:pPr>
        <w:ind w:left="6093" w:hanging="360"/>
      </w:pPr>
      <w:rPr>
        <w:rFonts w:ascii="Courier New" w:hAnsi="Courier New" w:cs="Courier New" w:hint="default"/>
      </w:rPr>
    </w:lvl>
    <w:lvl w:ilvl="5" w:tplc="04160005">
      <w:start w:val="1"/>
      <w:numFmt w:val="bullet"/>
      <w:lvlText w:val=""/>
      <w:lvlJc w:val="left"/>
      <w:pPr>
        <w:ind w:left="6813" w:hanging="360"/>
      </w:pPr>
      <w:rPr>
        <w:rFonts w:ascii="Wingdings" w:hAnsi="Wingdings" w:cs="Wingdings" w:hint="default"/>
      </w:rPr>
    </w:lvl>
    <w:lvl w:ilvl="6" w:tplc="04160001">
      <w:start w:val="1"/>
      <w:numFmt w:val="bullet"/>
      <w:lvlText w:val=""/>
      <w:lvlJc w:val="left"/>
      <w:pPr>
        <w:ind w:left="7533" w:hanging="360"/>
      </w:pPr>
      <w:rPr>
        <w:rFonts w:ascii="Symbol" w:hAnsi="Symbol" w:cs="Symbol" w:hint="default"/>
      </w:rPr>
    </w:lvl>
    <w:lvl w:ilvl="7" w:tplc="04160003">
      <w:start w:val="1"/>
      <w:numFmt w:val="bullet"/>
      <w:lvlText w:val="o"/>
      <w:lvlJc w:val="left"/>
      <w:pPr>
        <w:ind w:left="8253" w:hanging="360"/>
      </w:pPr>
      <w:rPr>
        <w:rFonts w:ascii="Courier New" w:hAnsi="Courier New" w:cs="Courier New" w:hint="default"/>
      </w:rPr>
    </w:lvl>
    <w:lvl w:ilvl="8" w:tplc="04160005">
      <w:start w:val="1"/>
      <w:numFmt w:val="bullet"/>
      <w:lvlText w:val=""/>
      <w:lvlJc w:val="left"/>
      <w:pPr>
        <w:ind w:left="8973" w:hanging="360"/>
      </w:pPr>
      <w:rPr>
        <w:rFonts w:ascii="Wingdings" w:hAnsi="Wingdings" w:cs="Wingdings" w:hint="default"/>
      </w:rPr>
    </w:lvl>
  </w:abstractNum>
  <w:abstractNum w:abstractNumId="35">
    <w:nsid w:val="56EA09BB"/>
    <w:multiLevelType w:val="hybridMultilevel"/>
    <w:tmpl w:val="1C401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1275B96"/>
    <w:multiLevelType w:val="hybridMultilevel"/>
    <w:tmpl w:val="951CCE84"/>
    <w:lvl w:ilvl="0" w:tplc="04160017">
      <w:start w:val="1"/>
      <w:numFmt w:val="lowerLetter"/>
      <w:lvlText w:val="%1)"/>
      <w:lvlJc w:val="left"/>
      <w:pPr>
        <w:ind w:left="1194" w:hanging="360"/>
      </w:pPr>
      <w:rPr>
        <w:rFonts w:hint="default"/>
      </w:rPr>
    </w:lvl>
    <w:lvl w:ilvl="1" w:tplc="B93A81A8">
      <w:numFmt w:val="bullet"/>
      <w:lvlText w:val="•"/>
      <w:lvlJc w:val="left"/>
      <w:pPr>
        <w:ind w:left="2687" w:hanging="1133"/>
      </w:pPr>
      <w:rPr>
        <w:rFonts w:ascii="Times New Roman" w:eastAsia="Times New Roman" w:hAnsi="Times New Roman" w:cs="Times New Roman" w:hint="default"/>
      </w:rPr>
    </w:lvl>
    <w:lvl w:ilvl="2" w:tplc="04160005" w:tentative="1">
      <w:start w:val="1"/>
      <w:numFmt w:val="bullet"/>
      <w:lvlText w:val=""/>
      <w:lvlJc w:val="left"/>
      <w:pPr>
        <w:ind w:left="2634" w:hanging="360"/>
      </w:pPr>
      <w:rPr>
        <w:rFonts w:ascii="Wingdings" w:hAnsi="Wingdings" w:hint="default"/>
      </w:rPr>
    </w:lvl>
    <w:lvl w:ilvl="3" w:tplc="04160001" w:tentative="1">
      <w:start w:val="1"/>
      <w:numFmt w:val="bullet"/>
      <w:lvlText w:val=""/>
      <w:lvlJc w:val="left"/>
      <w:pPr>
        <w:ind w:left="3354" w:hanging="360"/>
      </w:pPr>
      <w:rPr>
        <w:rFonts w:ascii="Symbol" w:hAnsi="Symbol" w:hint="default"/>
      </w:rPr>
    </w:lvl>
    <w:lvl w:ilvl="4" w:tplc="04160003" w:tentative="1">
      <w:start w:val="1"/>
      <w:numFmt w:val="bullet"/>
      <w:lvlText w:val="o"/>
      <w:lvlJc w:val="left"/>
      <w:pPr>
        <w:ind w:left="4074" w:hanging="360"/>
      </w:pPr>
      <w:rPr>
        <w:rFonts w:ascii="Courier New" w:hAnsi="Courier New" w:cs="Courier New" w:hint="default"/>
      </w:rPr>
    </w:lvl>
    <w:lvl w:ilvl="5" w:tplc="04160005" w:tentative="1">
      <w:start w:val="1"/>
      <w:numFmt w:val="bullet"/>
      <w:lvlText w:val=""/>
      <w:lvlJc w:val="left"/>
      <w:pPr>
        <w:ind w:left="4794" w:hanging="360"/>
      </w:pPr>
      <w:rPr>
        <w:rFonts w:ascii="Wingdings" w:hAnsi="Wingdings" w:hint="default"/>
      </w:rPr>
    </w:lvl>
    <w:lvl w:ilvl="6" w:tplc="04160001" w:tentative="1">
      <w:start w:val="1"/>
      <w:numFmt w:val="bullet"/>
      <w:lvlText w:val=""/>
      <w:lvlJc w:val="left"/>
      <w:pPr>
        <w:ind w:left="5514" w:hanging="360"/>
      </w:pPr>
      <w:rPr>
        <w:rFonts w:ascii="Symbol" w:hAnsi="Symbol" w:hint="default"/>
      </w:rPr>
    </w:lvl>
    <w:lvl w:ilvl="7" w:tplc="04160003" w:tentative="1">
      <w:start w:val="1"/>
      <w:numFmt w:val="bullet"/>
      <w:lvlText w:val="o"/>
      <w:lvlJc w:val="left"/>
      <w:pPr>
        <w:ind w:left="6234" w:hanging="360"/>
      </w:pPr>
      <w:rPr>
        <w:rFonts w:ascii="Courier New" w:hAnsi="Courier New" w:cs="Courier New" w:hint="default"/>
      </w:rPr>
    </w:lvl>
    <w:lvl w:ilvl="8" w:tplc="04160005" w:tentative="1">
      <w:start w:val="1"/>
      <w:numFmt w:val="bullet"/>
      <w:lvlText w:val=""/>
      <w:lvlJc w:val="left"/>
      <w:pPr>
        <w:ind w:left="6954" w:hanging="360"/>
      </w:pPr>
      <w:rPr>
        <w:rFonts w:ascii="Wingdings" w:hAnsi="Wingdings" w:hint="default"/>
      </w:rPr>
    </w:lvl>
  </w:abstractNum>
  <w:abstractNum w:abstractNumId="37">
    <w:nsid w:val="667A219A"/>
    <w:multiLevelType w:val="hybridMultilevel"/>
    <w:tmpl w:val="84C875C2"/>
    <w:lvl w:ilvl="0" w:tplc="8932D6A2">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nsid w:val="6804331C"/>
    <w:multiLevelType w:val="hybridMultilevel"/>
    <w:tmpl w:val="DA30F4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C5E3237"/>
    <w:multiLevelType w:val="multilevel"/>
    <w:tmpl w:val="54964E6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C6D6659"/>
    <w:multiLevelType w:val="multilevel"/>
    <w:tmpl w:val="3CD40EBE"/>
    <w:lvl w:ilvl="0">
      <w:start w:val="2"/>
      <w:numFmt w:val="bullet"/>
      <w:pStyle w:val="Numerada3"/>
      <w:lvlText w:val="-"/>
      <w:lvlJc w:val="left"/>
      <w:pPr>
        <w:tabs>
          <w:tab w:val="num" w:pos="3105"/>
        </w:tabs>
        <w:ind w:left="3105" w:hanging="705"/>
      </w:pPr>
      <w:rPr>
        <w:rFonts w:ascii="Tahoma" w:eastAsia="Times New Roman" w:hAnsi="Tahoma" w:hint="default"/>
      </w:rPr>
    </w:lvl>
    <w:lvl w:ilvl="1">
      <w:start w:val="1"/>
      <w:numFmt w:val="bullet"/>
      <w:lvlText w:val="o"/>
      <w:lvlJc w:val="left"/>
      <w:pPr>
        <w:tabs>
          <w:tab w:val="num" w:pos="3480"/>
        </w:tabs>
        <w:ind w:left="3480" w:hanging="360"/>
      </w:pPr>
      <w:rPr>
        <w:rFonts w:ascii="Courier New" w:hAnsi="Courier New" w:cs="Courier New" w:hint="default"/>
      </w:rPr>
    </w:lvl>
    <w:lvl w:ilvl="2">
      <w:start w:val="1"/>
      <w:numFmt w:val="bullet"/>
      <w:lvlText w:val=""/>
      <w:lvlJc w:val="left"/>
      <w:pPr>
        <w:tabs>
          <w:tab w:val="num" w:pos="4200"/>
        </w:tabs>
        <w:ind w:left="4200" w:hanging="360"/>
      </w:pPr>
      <w:rPr>
        <w:rFonts w:ascii="Wingdings" w:hAnsi="Wingdings" w:cs="Wingdings" w:hint="default"/>
      </w:rPr>
    </w:lvl>
    <w:lvl w:ilvl="3">
      <w:start w:val="1"/>
      <w:numFmt w:val="bullet"/>
      <w:lvlText w:val=""/>
      <w:lvlJc w:val="left"/>
      <w:pPr>
        <w:tabs>
          <w:tab w:val="num" w:pos="4920"/>
        </w:tabs>
        <w:ind w:left="4920" w:hanging="360"/>
      </w:pPr>
      <w:rPr>
        <w:rFonts w:ascii="Symbol" w:hAnsi="Symbol" w:cs="Symbol" w:hint="default"/>
      </w:rPr>
    </w:lvl>
    <w:lvl w:ilvl="4">
      <w:start w:val="1"/>
      <w:numFmt w:val="bullet"/>
      <w:lvlText w:val="o"/>
      <w:lvlJc w:val="left"/>
      <w:pPr>
        <w:tabs>
          <w:tab w:val="num" w:pos="5640"/>
        </w:tabs>
        <w:ind w:left="5640" w:hanging="360"/>
      </w:pPr>
      <w:rPr>
        <w:rFonts w:ascii="Courier New" w:hAnsi="Courier New" w:cs="Courier New" w:hint="default"/>
      </w:rPr>
    </w:lvl>
    <w:lvl w:ilvl="5">
      <w:start w:val="1"/>
      <w:numFmt w:val="bullet"/>
      <w:lvlText w:val=""/>
      <w:lvlJc w:val="left"/>
      <w:pPr>
        <w:tabs>
          <w:tab w:val="num" w:pos="6360"/>
        </w:tabs>
        <w:ind w:left="6360" w:hanging="360"/>
      </w:pPr>
      <w:rPr>
        <w:rFonts w:ascii="Wingdings" w:hAnsi="Wingdings" w:cs="Wingdings" w:hint="default"/>
      </w:rPr>
    </w:lvl>
    <w:lvl w:ilvl="6">
      <w:start w:val="1"/>
      <w:numFmt w:val="bullet"/>
      <w:lvlText w:val=""/>
      <w:lvlJc w:val="left"/>
      <w:pPr>
        <w:tabs>
          <w:tab w:val="num" w:pos="7080"/>
        </w:tabs>
        <w:ind w:left="7080" w:hanging="360"/>
      </w:pPr>
      <w:rPr>
        <w:rFonts w:ascii="Symbol" w:hAnsi="Symbol" w:cs="Symbol" w:hint="default"/>
      </w:rPr>
    </w:lvl>
    <w:lvl w:ilvl="7">
      <w:start w:val="1"/>
      <w:numFmt w:val="bullet"/>
      <w:lvlText w:val="o"/>
      <w:lvlJc w:val="left"/>
      <w:pPr>
        <w:tabs>
          <w:tab w:val="num" w:pos="7800"/>
        </w:tabs>
        <w:ind w:left="7800" w:hanging="360"/>
      </w:pPr>
      <w:rPr>
        <w:rFonts w:ascii="Courier New" w:hAnsi="Courier New" w:cs="Courier New" w:hint="default"/>
      </w:rPr>
    </w:lvl>
    <w:lvl w:ilvl="8">
      <w:start w:val="1"/>
      <w:numFmt w:val="bullet"/>
      <w:lvlText w:val=""/>
      <w:lvlJc w:val="left"/>
      <w:pPr>
        <w:tabs>
          <w:tab w:val="num" w:pos="8520"/>
        </w:tabs>
        <w:ind w:left="8520" w:hanging="360"/>
      </w:pPr>
      <w:rPr>
        <w:rFonts w:ascii="Wingdings" w:hAnsi="Wingdings" w:cs="Wingdings" w:hint="default"/>
      </w:rPr>
    </w:lvl>
  </w:abstractNum>
  <w:abstractNum w:abstractNumId="41">
    <w:nsid w:val="6E0A4ABE"/>
    <w:multiLevelType w:val="multilevel"/>
    <w:tmpl w:val="35AEDFEA"/>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nsid w:val="71AA64FD"/>
    <w:multiLevelType w:val="hybridMultilevel"/>
    <w:tmpl w:val="9600124A"/>
    <w:lvl w:ilvl="0" w:tplc="C0AAC65E">
      <w:start w:val="1"/>
      <w:numFmt w:val="upperRoman"/>
      <w:lvlText w:val="%1."/>
      <w:lvlJc w:val="left"/>
      <w:pPr>
        <w:ind w:left="780" w:hanging="72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3">
    <w:nsid w:val="7AE45023"/>
    <w:multiLevelType w:val="multilevel"/>
    <w:tmpl w:val="5D8C5180"/>
    <w:lvl w:ilvl="0">
      <w:start w:val="1"/>
      <w:numFmt w:val="lowerRoman"/>
      <w:pStyle w:val="MarcadorRomanoMinusculo"/>
      <w:lvlText w:val="%1."/>
      <w:lvlJc w:val="right"/>
      <w:pPr>
        <w:ind w:left="720" w:hanging="360"/>
      </w:pPr>
      <w:rPr>
        <w:rFonts w:ascii="Times New Roman" w:hAnsi="Times New Roman" w:hint="default"/>
        <w:b/>
        <w:i w:val="0"/>
        <w:sz w:val="22"/>
      </w:rPr>
    </w:lvl>
    <w:lvl w:ilvl="1">
      <w:start w:val="1"/>
      <w:numFmt w:val="decimal"/>
      <w:lvlText w:val="%1.%2."/>
      <w:lvlJc w:val="left"/>
      <w:pPr>
        <w:ind w:left="72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720" w:hanging="360"/>
      </w:pPr>
      <w:rPr>
        <w:rFonts w:hint="default"/>
      </w:rPr>
    </w:lvl>
    <w:lvl w:ilvl="4">
      <w:start w:val="1"/>
      <w:numFmt w:val="decimal"/>
      <w:lvlText w:val="%1.%2.%3.%4.%5."/>
      <w:lvlJc w:val="left"/>
      <w:pPr>
        <w:ind w:left="720" w:hanging="360"/>
      </w:pPr>
      <w:rPr>
        <w:rFonts w:hint="default"/>
      </w:rPr>
    </w:lvl>
    <w:lvl w:ilvl="5">
      <w:start w:val="1"/>
      <w:numFmt w:val="decimal"/>
      <w:lvlText w:val="%1.%2.%3.%4.%5.%6."/>
      <w:lvlJc w:val="left"/>
      <w:pPr>
        <w:ind w:left="720" w:hanging="360"/>
      </w:pPr>
      <w:rPr>
        <w:rFonts w:hint="default"/>
      </w:rPr>
    </w:lvl>
    <w:lvl w:ilvl="6">
      <w:start w:val="1"/>
      <w:numFmt w:val="decimal"/>
      <w:lvlText w:val="%1.%2.%3.%4.%5.%6.%7."/>
      <w:lvlJc w:val="left"/>
      <w:pPr>
        <w:ind w:left="720" w:hanging="360"/>
      </w:pPr>
      <w:rPr>
        <w:rFonts w:hint="default"/>
      </w:rPr>
    </w:lvl>
    <w:lvl w:ilvl="7">
      <w:start w:val="1"/>
      <w:numFmt w:val="decimal"/>
      <w:lvlText w:val="%1.%2.%3.%4.%5.%6.%7.%8."/>
      <w:lvlJc w:val="left"/>
      <w:pPr>
        <w:ind w:left="720" w:hanging="360"/>
      </w:pPr>
      <w:rPr>
        <w:rFonts w:hint="default"/>
      </w:rPr>
    </w:lvl>
    <w:lvl w:ilvl="8">
      <w:start w:val="1"/>
      <w:numFmt w:val="decimal"/>
      <w:lvlText w:val="%1.%2.%3.%4.%5.%6.%7.%8.%9."/>
      <w:lvlJc w:val="left"/>
      <w:pPr>
        <w:ind w:left="720" w:hanging="360"/>
      </w:pPr>
      <w:rPr>
        <w:rFonts w:hint="default"/>
      </w:rPr>
    </w:lvl>
  </w:abstractNum>
  <w:num w:numId="1">
    <w:abstractNumId w:val="7"/>
  </w:num>
  <w:num w:numId="2">
    <w:abstractNumId w:val="14"/>
  </w:num>
  <w:num w:numId="3">
    <w:abstractNumId w:val="40"/>
  </w:num>
  <w:num w:numId="4">
    <w:abstractNumId w:val="3"/>
  </w:num>
  <w:num w:numId="5">
    <w:abstractNumId w:val="43"/>
  </w:num>
  <w:num w:numId="6">
    <w:abstractNumId w:val="15"/>
  </w:num>
  <w:num w:numId="7">
    <w:abstractNumId w:val="19"/>
  </w:num>
  <w:num w:numId="8">
    <w:abstractNumId w:val="17"/>
  </w:num>
  <w:num w:numId="9">
    <w:abstractNumId w:val="21"/>
  </w:num>
  <w:num w:numId="10">
    <w:abstractNumId w:val="42"/>
  </w:num>
  <w:num w:numId="11">
    <w:abstractNumId w:val="12"/>
  </w:num>
  <w:num w:numId="12">
    <w:abstractNumId w:val="38"/>
  </w:num>
  <w:num w:numId="13">
    <w:abstractNumId w:val="22"/>
  </w:num>
  <w:num w:numId="14">
    <w:abstractNumId w:val="36"/>
  </w:num>
  <w:num w:numId="15">
    <w:abstractNumId w:val="35"/>
  </w:num>
  <w:num w:numId="16">
    <w:abstractNumId w:val="34"/>
  </w:num>
  <w:num w:numId="17">
    <w:abstractNumId w:val="16"/>
  </w:num>
  <w:num w:numId="18">
    <w:abstractNumId w:val="6"/>
  </w:num>
  <w:num w:numId="19">
    <w:abstractNumId w:val="32"/>
  </w:num>
  <w:num w:numId="20">
    <w:abstractNumId w:val="27"/>
  </w:num>
  <w:num w:numId="21">
    <w:abstractNumId w:val="5"/>
  </w:num>
  <w:num w:numId="22">
    <w:abstractNumId w:val="33"/>
  </w:num>
  <w:num w:numId="23">
    <w:abstractNumId w:val="11"/>
  </w:num>
  <w:num w:numId="24">
    <w:abstractNumId w:val="25"/>
  </w:num>
  <w:num w:numId="25">
    <w:abstractNumId w:val="30"/>
  </w:num>
  <w:num w:numId="26">
    <w:abstractNumId w:val="23"/>
  </w:num>
  <w:num w:numId="27">
    <w:abstractNumId w:val="29"/>
  </w:num>
  <w:num w:numId="28">
    <w:abstractNumId w:val="0"/>
  </w:num>
  <w:num w:numId="29">
    <w:abstractNumId w:val="20"/>
  </w:num>
  <w:num w:numId="30">
    <w:abstractNumId w:val="28"/>
  </w:num>
  <w:num w:numId="31">
    <w:abstractNumId w:val="37"/>
  </w:num>
  <w:num w:numId="32">
    <w:abstractNumId w:val="1"/>
  </w:num>
  <w:num w:numId="33">
    <w:abstractNumId w:val="4"/>
  </w:num>
  <w:num w:numId="34">
    <w:abstractNumId w:val="13"/>
  </w:num>
  <w:num w:numId="35">
    <w:abstractNumId w:val="10"/>
  </w:num>
  <w:num w:numId="36">
    <w:abstractNumId w:val="9"/>
  </w:num>
  <w:num w:numId="37">
    <w:abstractNumId w:val="8"/>
  </w:num>
  <w:num w:numId="38">
    <w:abstractNumId w:val="26"/>
  </w:num>
  <w:num w:numId="39">
    <w:abstractNumId w:val="2"/>
  </w:num>
  <w:num w:numId="40">
    <w:abstractNumId w:val="18"/>
  </w:num>
  <w:num w:numId="41">
    <w:abstractNumId w:val="39"/>
  </w:num>
  <w:num w:numId="42">
    <w:abstractNumId w:val="41"/>
  </w:num>
  <w:num w:numId="43">
    <w:abstractNumId w:val="24"/>
  </w:num>
  <w:num w:numId="44">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proofState w:spelling="clean" w:grammar="clean"/>
  <w:defaultTabStop w:val="1134"/>
  <w:hyphenationZone w:val="425"/>
  <w:doNotHyphenateCaps/>
  <w:drawingGridHorizontalSpacing w:val="100"/>
  <w:drawingGridVerticalSpacing w:val="0"/>
  <w:displayHorizontalDrawingGridEvery w:val="0"/>
  <w:displayVerticalDrawingGridEvery w:val="0"/>
  <w:characterSpacingControl w:val="doNotCompress"/>
  <w:doNotValidateAgainstSchema/>
  <w:doNotDemarcateInvalidXml/>
  <w:hdrShapeDefaults>
    <o:shapedefaults v:ext="edit" spidmax="6150"/>
  </w:hdrShapeDefaults>
  <w:footnotePr>
    <w:footnote w:id="-1"/>
    <w:footnote w:id="0"/>
    <w:footnote w:id="1"/>
  </w:footnotePr>
  <w:endnotePr>
    <w:endnote w:id="-1"/>
    <w:endnote w:id="0"/>
    <w:endnote w:id="1"/>
  </w:endnotePr>
  <w:compat>
    <w:compatSetting w:name="compatibilityMode" w:uri="http://schemas.microsoft.com/office/word" w:val="12"/>
  </w:compat>
  <w:rsids>
    <w:rsidRoot w:val="00052548"/>
    <w:rsid w:val="000002DC"/>
    <w:rsid w:val="00000520"/>
    <w:rsid w:val="0000090B"/>
    <w:rsid w:val="00000A8C"/>
    <w:rsid w:val="00000B90"/>
    <w:rsid w:val="00000E07"/>
    <w:rsid w:val="00000FBC"/>
    <w:rsid w:val="0000102D"/>
    <w:rsid w:val="000014A2"/>
    <w:rsid w:val="00001867"/>
    <w:rsid w:val="00001E61"/>
    <w:rsid w:val="00001FA3"/>
    <w:rsid w:val="000024CF"/>
    <w:rsid w:val="000027B8"/>
    <w:rsid w:val="0000296A"/>
    <w:rsid w:val="00002FC5"/>
    <w:rsid w:val="00002FD4"/>
    <w:rsid w:val="00003462"/>
    <w:rsid w:val="00003645"/>
    <w:rsid w:val="00003746"/>
    <w:rsid w:val="000037DA"/>
    <w:rsid w:val="00003BC7"/>
    <w:rsid w:val="000042F4"/>
    <w:rsid w:val="000044F3"/>
    <w:rsid w:val="00004B8E"/>
    <w:rsid w:val="00004BA1"/>
    <w:rsid w:val="00004CA8"/>
    <w:rsid w:val="00004CAB"/>
    <w:rsid w:val="00004DA6"/>
    <w:rsid w:val="0000515D"/>
    <w:rsid w:val="0000575B"/>
    <w:rsid w:val="0000594B"/>
    <w:rsid w:val="00005D0F"/>
    <w:rsid w:val="00005E63"/>
    <w:rsid w:val="00005F10"/>
    <w:rsid w:val="00006598"/>
    <w:rsid w:val="00006791"/>
    <w:rsid w:val="00006FDF"/>
    <w:rsid w:val="00007107"/>
    <w:rsid w:val="0000728B"/>
    <w:rsid w:val="00007635"/>
    <w:rsid w:val="0000768A"/>
    <w:rsid w:val="00007B82"/>
    <w:rsid w:val="00007DC8"/>
    <w:rsid w:val="00007E10"/>
    <w:rsid w:val="000102F0"/>
    <w:rsid w:val="00010517"/>
    <w:rsid w:val="00010E4F"/>
    <w:rsid w:val="00011094"/>
    <w:rsid w:val="00011707"/>
    <w:rsid w:val="000128B1"/>
    <w:rsid w:val="00013312"/>
    <w:rsid w:val="0001340D"/>
    <w:rsid w:val="00013490"/>
    <w:rsid w:val="0001368F"/>
    <w:rsid w:val="000136F2"/>
    <w:rsid w:val="00013801"/>
    <w:rsid w:val="00013B45"/>
    <w:rsid w:val="00013E64"/>
    <w:rsid w:val="00014192"/>
    <w:rsid w:val="000141D2"/>
    <w:rsid w:val="0001464A"/>
    <w:rsid w:val="00014A91"/>
    <w:rsid w:val="00014AF4"/>
    <w:rsid w:val="00014C10"/>
    <w:rsid w:val="00014DF4"/>
    <w:rsid w:val="00014EA4"/>
    <w:rsid w:val="00014EDC"/>
    <w:rsid w:val="00014F0E"/>
    <w:rsid w:val="00014FA6"/>
    <w:rsid w:val="000150DC"/>
    <w:rsid w:val="000153CC"/>
    <w:rsid w:val="00015801"/>
    <w:rsid w:val="00015812"/>
    <w:rsid w:val="00015D23"/>
    <w:rsid w:val="00015D46"/>
    <w:rsid w:val="00015DB0"/>
    <w:rsid w:val="00016223"/>
    <w:rsid w:val="00016532"/>
    <w:rsid w:val="00016994"/>
    <w:rsid w:val="00016A35"/>
    <w:rsid w:val="00016BD3"/>
    <w:rsid w:val="00016E40"/>
    <w:rsid w:val="00016E60"/>
    <w:rsid w:val="000170EA"/>
    <w:rsid w:val="00017318"/>
    <w:rsid w:val="00017B84"/>
    <w:rsid w:val="00020092"/>
    <w:rsid w:val="00020198"/>
    <w:rsid w:val="000208B9"/>
    <w:rsid w:val="00020CF4"/>
    <w:rsid w:val="0002131D"/>
    <w:rsid w:val="0002156A"/>
    <w:rsid w:val="00021735"/>
    <w:rsid w:val="00021B98"/>
    <w:rsid w:val="00021D90"/>
    <w:rsid w:val="000228C9"/>
    <w:rsid w:val="00022C7F"/>
    <w:rsid w:val="00022C9A"/>
    <w:rsid w:val="000230D1"/>
    <w:rsid w:val="0002355B"/>
    <w:rsid w:val="00023565"/>
    <w:rsid w:val="00023648"/>
    <w:rsid w:val="00023755"/>
    <w:rsid w:val="0002384F"/>
    <w:rsid w:val="00023861"/>
    <w:rsid w:val="000238CB"/>
    <w:rsid w:val="00023F04"/>
    <w:rsid w:val="000241CE"/>
    <w:rsid w:val="0002427D"/>
    <w:rsid w:val="00024416"/>
    <w:rsid w:val="000245C5"/>
    <w:rsid w:val="0002482D"/>
    <w:rsid w:val="00024AA7"/>
    <w:rsid w:val="00024B1A"/>
    <w:rsid w:val="00025B5F"/>
    <w:rsid w:val="00025BC0"/>
    <w:rsid w:val="0002608F"/>
    <w:rsid w:val="00026141"/>
    <w:rsid w:val="000265D9"/>
    <w:rsid w:val="00026617"/>
    <w:rsid w:val="00026C87"/>
    <w:rsid w:val="00026EEF"/>
    <w:rsid w:val="00027380"/>
    <w:rsid w:val="0002789C"/>
    <w:rsid w:val="00027E16"/>
    <w:rsid w:val="000300C3"/>
    <w:rsid w:val="00030396"/>
    <w:rsid w:val="0003083F"/>
    <w:rsid w:val="00030A12"/>
    <w:rsid w:val="00030AFF"/>
    <w:rsid w:val="0003108B"/>
    <w:rsid w:val="00031758"/>
    <w:rsid w:val="000319A9"/>
    <w:rsid w:val="00031B76"/>
    <w:rsid w:val="00031E7C"/>
    <w:rsid w:val="00032010"/>
    <w:rsid w:val="000321FF"/>
    <w:rsid w:val="0003256F"/>
    <w:rsid w:val="00032733"/>
    <w:rsid w:val="0003273B"/>
    <w:rsid w:val="00032B06"/>
    <w:rsid w:val="00032B60"/>
    <w:rsid w:val="00032FB2"/>
    <w:rsid w:val="00033005"/>
    <w:rsid w:val="0003349D"/>
    <w:rsid w:val="0003365A"/>
    <w:rsid w:val="000339B7"/>
    <w:rsid w:val="00033AD2"/>
    <w:rsid w:val="00033BD6"/>
    <w:rsid w:val="000345EE"/>
    <w:rsid w:val="000346E1"/>
    <w:rsid w:val="00034A84"/>
    <w:rsid w:val="00034E35"/>
    <w:rsid w:val="0003508B"/>
    <w:rsid w:val="000351F7"/>
    <w:rsid w:val="000354AD"/>
    <w:rsid w:val="00035655"/>
    <w:rsid w:val="00035864"/>
    <w:rsid w:val="00035B79"/>
    <w:rsid w:val="00035CEB"/>
    <w:rsid w:val="00036223"/>
    <w:rsid w:val="0003662B"/>
    <w:rsid w:val="000366DD"/>
    <w:rsid w:val="000369A5"/>
    <w:rsid w:val="000371AA"/>
    <w:rsid w:val="000373C0"/>
    <w:rsid w:val="000374AA"/>
    <w:rsid w:val="000376E2"/>
    <w:rsid w:val="00037939"/>
    <w:rsid w:val="0004023D"/>
    <w:rsid w:val="00040792"/>
    <w:rsid w:val="00040AAF"/>
    <w:rsid w:val="00040C21"/>
    <w:rsid w:val="00040FE5"/>
    <w:rsid w:val="000410D4"/>
    <w:rsid w:val="000414C7"/>
    <w:rsid w:val="000416B4"/>
    <w:rsid w:val="00041E9F"/>
    <w:rsid w:val="00041F12"/>
    <w:rsid w:val="00041F2B"/>
    <w:rsid w:val="000421BF"/>
    <w:rsid w:val="000425DB"/>
    <w:rsid w:val="000426A9"/>
    <w:rsid w:val="00042AB6"/>
    <w:rsid w:val="00042AC9"/>
    <w:rsid w:val="00042E1B"/>
    <w:rsid w:val="00043234"/>
    <w:rsid w:val="00043415"/>
    <w:rsid w:val="00043578"/>
    <w:rsid w:val="00043FF6"/>
    <w:rsid w:val="000441A8"/>
    <w:rsid w:val="00044B08"/>
    <w:rsid w:val="00044C46"/>
    <w:rsid w:val="00044C87"/>
    <w:rsid w:val="00044FCD"/>
    <w:rsid w:val="00045A8E"/>
    <w:rsid w:val="00045AD5"/>
    <w:rsid w:val="00045C25"/>
    <w:rsid w:val="00046189"/>
    <w:rsid w:val="00046541"/>
    <w:rsid w:val="00046623"/>
    <w:rsid w:val="00047580"/>
    <w:rsid w:val="000479DC"/>
    <w:rsid w:val="00050529"/>
    <w:rsid w:val="000506D6"/>
    <w:rsid w:val="00050A8A"/>
    <w:rsid w:val="00050C2F"/>
    <w:rsid w:val="00050CF0"/>
    <w:rsid w:val="00050D3B"/>
    <w:rsid w:val="00050D5E"/>
    <w:rsid w:val="00051598"/>
    <w:rsid w:val="0005186B"/>
    <w:rsid w:val="00051964"/>
    <w:rsid w:val="00051A96"/>
    <w:rsid w:val="00051CB1"/>
    <w:rsid w:val="00051F9A"/>
    <w:rsid w:val="000523EA"/>
    <w:rsid w:val="00052483"/>
    <w:rsid w:val="00052548"/>
    <w:rsid w:val="00052F1E"/>
    <w:rsid w:val="000532C9"/>
    <w:rsid w:val="00053342"/>
    <w:rsid w:val="00053A81"/>
    <w:rsid w:val="00053B94"/>
    <w:rsid w:val="00053C07"/>
    <w:rsid w:val="00053C29"/>
    <w:rsid w:val="00053D44"/>
    <w:rsid w:val="000540E8"/>
    <w:rsid w:val="00054358"/>
    <w:rsid w:val="00054AB3"/>
    <w:rsid w:val="000552C3"/>
    <w:rsid w:val="00055606"/>
    <w:rsid w:val="000557DA"/>
    <w:rsid w:val="0005629B"/>
    <w:rsid w:val="0005675D"/>
    <w:rsid w:val="00056882"/>
    <w:rsid w:val="00056CF0"/>
    <w:rsid w:val="00056DA4"/>
    <w:rsid w:val="000571E5"/>
    <w:rsid w:val="000573C0"/>
    <w:rsid w:val="00057832"/>
    <w:rsid w:val="0005786A"/>
    <w:rsid w:val="0005788B"/>
    <w:rsid w:val="000579F2"/>
    <w:rsid w:val="00057D90"/>
    <w:rsid w:val="00057D9C"/>
    <w:rsid w:val="00057EE1"/>
    <w:rsid w:val="000600A4"/>
    <w:rsid w:val="0006038C"/>
    <w:rsid w:val="000603A1"/>
    <w:rsid w:val="00060454"/>
    <w:rsid w:val="000605B7"/>
    <w:rsid w:val="00060CF9"/>
    <w:rsid w:val="00061504"/>
    <w:rsid w:val="000618F4"/>
    <w:rsid w:val="0006195D"/>
    <w:rsid w:val="00061AA6"/>
    <w:rsid w:val="00061B37"/>
    <w:rsid w:val="00061B3F"/>
    <w:rsid w:val="00061D58"/>
    <w:rsid w:val="00061E07"/>
    <w:rsid w:val="00062061"/>
    <w:rsid w:val="000622FA"/>
    <w:rsid w:val="00062A0D"/>
    <w:rsid w:val="00062BAA"/>
    <w:rsid w:val="00062C05"/>
    <w:rsid w:val="00062C58"/>
    <w:rsid w:val="00062D58"/>
    <w:rsid w:val="00062D5F"/>
    <w:rsid w:val="00062DFF"/>
    <w:rsid w:val="0006317A"/>
    <w:rsid w:val="00063190"/>
    <w:rsid w:val="000635F9"/>
    <w:rsid w:val="0006362C"/>
    <w:rsid w:val="000637C2"/>
    <w:rsid w:val="0006382A"/>
    <w:rsid w:val="00063902"/>
    <w:rsid w:val="00063EF3"/>
    <w:rsid w:val="000640E8"/>
    <w:rsid w:val="000641AA"/>
    <w:rsid w:val="0006467C"/>
    <w:rsid w:val="000646A8"/>
    <w:rsid w:val="00064713"/>
    <w:rsid w:val="00064DAE"/>
    <w:rsid w:val="00065178"/>
    <w:rsid w:val="000651C3"/>
    <w:rsid w:val="0006540D"/>
    <w:rsid w:val="0006549C"/>
    <w:rsid w:val="0006557F"/>
    <w:rsid w:val="0006564D"/>
    <w:rsid w:val="000656A4"/>
    <w:rsid w:val="000657F8"/>
    <w:rsid w:val="000657FB"/>
    <w:rsid w:val="00065BCF"/>
    <w:rsid w:val="00065BFE"/>
    <w:rsid w:val="00065C24"/>
    <w:rsid w:val="00065E19"/>
    <w:rsid w:val="00066219"/>
    <w:rsid w:val="00066452"/>
    <w:rsid w:val="00066A6E"/>
    <w:rsid w:val="00066BAA"/>
    <w:rsid w:val="00066C92"/>
    <w:rsid w:val="00066CA8"/>
    <w:rsid w:val="000674A2"/>
    <w:rsid w:val="000677D5"/>
    <w:rsid w:val="00067A0A"/>
    <w:rsid w:val="00067CEF"/>
    <w:rsid w:val="00067D2A"/>
    <w:rsid w:val="00070947"/>
    <w:rsid w:val="00070AAB"/>
    <w:rsid w:val="00070E82"/>
    <w:rsid w:val="00071070"/>
    <w:rsid w:val="00071356"/>
    <w:rsid w:val="000714F9"/>
    <w:rsid w:val="000718DE"/>
    <w:rsid w:val="000719E6"/>
    <w:rsid w:val="000719E7"/>
    <w:rsid w:val="00072063"/>
    <w:rsid w:val="000720F0"/>
    <w:rsid w:val="00072415"/>
    <w:rsid w:val="00072962"/>
    <w:rsid w:val="000729C8"/>
    <w:rsid w:val="00072EAD"/>
    <w:rsid w:val="00073437"/>
    <w:rsid w:val="000734EA"/>
    <w:rsid w:val="000738EE"/>
    <w:rsid w:val="00073A0F"/>
    <w:rsid w:val="000741D7"/>
    <w:rsid w:val="00074532"/>
    <w:rsid w:val="0007454D"/>
    <w:rsid w:val="00075097"/>
    <w:rsid w:val="000752D5"/>
    <w:rsid w:val="000753CC"/>
    <w:rsid w:val="00075430"/>
    <w:rsid w:val="00075724"/>
    <w:rsid w:val="00075982"/>
    <w:rsid w:val="00075D98"/>
    <w:rsid w:val="00075E86"/>
    <w:rsid w:val="00076190"/>
    <w:rsid w:val="00076326"/>
    <w:rsid w:val="0007655F"/>
    <w:rsid w:val="00076B0F"/>
    <w:rsid w:val="00076F15"/>
    <w:rsid w:val="00076F5F"/>
    <w:rsid w:val="00077395"/>
    <w:rsid w:val="000775C2"/>
    <w:rsid w:val="000775ED"/>
    <w:rsid w:val="0007768A"/>
    <w:rsid w:val="00077A5E"/>
    <w:rsid w:val="00077FFB"/>
    <w:rsid w:val="000803AA"/>
    <w:rsid w:val="00080D0D"/>
    <w:rsid w:val="00080DFD"/>
    <w:rsid w:val="00080FD0"/>
    <w:rsid w:val="00081127"/>
    <w:rsid w:val="0008155B"/>
    <w:rsid w:val="00081658"/>
    <w:rsid w:val="000819A8"/>
    <w:rsid w:val="00081AC1"/>
    <w:rsid w:val="0008287F"/>
    <w:rsid w:val="00082931"/>
    <w:rsid w:val="00082A6E"/>
    <w:rsid w:val="00082B96"/>
    <w:rsid w:val="00082F5F"/>
    <w:rsid w:val="00083080"/>
    <w:rsid w:val="00083249"/>
    <w:rsid w:val="00083261"/>
    <w:rsid w:val="000832BA"/>
    <w:rsid w:val="00083484"/>
    <w:rsid w:val="00083A4E"/>
    <w:rsid w:val="00083AC0"/>
    <w:rsid w:val="00083CF1"/>
    <w:rsid w:val="00083ECD"/>
    <w:rsid w:val="00083EDE"/>
    <w:rsid w:val="00084339"/>
    <w:rsid w:val="000846AD"/>
    <w:rsid w:val="00084A56"/>
    <w:rsid w:val="00084BD9"/>
    <w:rsid w:val="00085718"/>
    <w:rsid w:val="0008571F"/>
    <w:rsid w:val="000858E4"/>
    <w:rsid w:val="00085B54"/>
    <w:rsid w:val="00085D0E"/>
    <w:rsid w:val="00085EB6"/>
    <w:rsid w:val="00086628"/>
    <w:rsid w:val="000867E1"/>
    <w:rsid w:val="00086AA6"/>
    <w:rsid w:val="00086CF5"/>
    <w:rsid w:val="00086FF5"/>
    <w:rsid w:val="00087627"/>
    <w:rsid w:val="0008797D"/>
    <w:rsid w:val="00087A8F"/>
    <w:rsid w:val="0009030F"/>
    <w:rsid w:val="00090381"/>
    <w:rsid w:val="00090B84"/>
    <w:rsid w:val="00090BF2"/>
    <w:rsid w:val="00090FAC"/>
    <w:rsid w:val="0009110F"/>
    <w:rsid w:val="000912E1"/>
    <w:rsid w:val="00091496"/>
    <w:rsid w:val="000919B2"/>
    <w:rsid w:val="00091DB4"/>
    <w:rsid w:val="00091E13"/>
    <w:rsid w:val="00091E55"/>
    <w:rsid w:val="000922A0"/>
    <w:rsid w:val="00092622"/>
    <w:rsid w:val="000927CA"/>
    <w:rsid w:val="00092A07"/>
    <w:rsid w:val="00092FA6"/>
    <w:rsid w:val="000934DE"/>
    <w:rsid w:val="000934EF"/>
    <w:rsid w:val="00093AB9"/>
    <w:rsid w:val="00093BA7"/>
    <w:rsid w:val="00093DE9"/>
    <w:rsid w:val="000940BA"/>
    <w:rsid w:val="000940D7"/>
    <w:rsid w:val="00094265"/>
    <w:rsid w:val="00094624"/>
    <w:rsid w:val="00094648"/>
    <w:rsid w:val="000946DC"/>
    <w:rsid w:val="00094B94"/>
    <w:rsid w:val="00094BA2"/>
    <w:rsid w:val="00095048"/>
    <w:rsid w:val="0009505D"/>
    <w:rsid w:val="00095123"/>
    <w:rsid w:val="00095231"/>
    <w:rsid w:val="000955B3"/>
    <w:rsid w:val="0009561A"/>
    <w:rsid w:val="00095684"/>
    <w:rsid w:val="000957A8"/>
    <w:rsid w:val="00095C5B"/>
    <w:rsid w:val="00095C60"/>
    <w:rsid w:val="00095D5E"/>
    <w:rsid w:val="000963C6"/>
    <w:rsid w:val="00096456"/>
    <w:rsid w:val="00096606"/>
    <w:rsid w:val="00096784"/>
    <w:rsid w:val="00096BA0"/>
    <w:rsid w:val="00096DFE"/>
    <w:rsid w:val="00096E66"/>
    <w:rsid w:val="000975E9"/>
    <w:rsid w:val="00097902"/>
    <w:rsid w:val="00097958"/>
    <w:rsid w:val="000979C6"/>
    <w:rsid w:val="00097A57"/>
    <w:rsid w:val="00097CB3"/>
    <w:rsid w:val="00097E66"/>
    <w:rsid w:val="00097F25"/>
    <w:rsid w:val="00097FD1"/>
    <w:rsid w:val="000A0029"/>
    <w:rsid w:val="000A014E"/>
    <w:rsid w:val="000A0271"/>
    <w:rsid w:val="000A0B62"/>
    <w:rsid w:val="000A10C4"/>
    <w:rsid w:val="000A1460"/>
    <w:rsid w:val="000A16C8"/>
    <w:rsid w:val="000A1C5E"/>
    <w:rsid w:val="000A235C"/>
    <w:rsid w:val="000A24A3"/>
    <w:rsid w:val="000A287A"/>
    <w:rsid w:val="000A3011"/>
    <w:rsid w:val="000A38C0"/>
    <w:rsid w:val="000A397E"/>
    <w:rsid w:val="000A3E0C"/>
    <w:rsid w:val="000A4909"/>
    <w:rsid w:val="000A4A68"/>
    <w:rsid w:val="000A4B64"/>
    <w:rsid w:val="000A4D6F"/>
    <w:rsid w:val="000A57C5"/>
    <w:rsid w:val="000A6169"/>
    <w:rsid w:val="000A645C"/>
    <w:rsid w:val="000A66E5"/>
    <w:rsid w:val="000A6819"/>
    <w:rsid w:val="000A6AC7"/>
    <w:rsid w:val="000A721A"/>
    <w:rsid w:val="000A725E"/>
    <w:rsid w:val="000A7389"/>
    <w:rsid w:val="000A7735"/>
    <w:rsid w:val="000A7858"/>
    <w:rsid w:val="000A7E10"/>
    <w:rsid w:val="000A7F64"/>
    <w:rsid w:val="000B0A62"/>
    <w:rsid w:val="000B0C58"/>
    <w:rsid w:val="000B0D60"/>
    <w:rsid w:val="000B0E8F"/>
    <w:rsid w:val="000B16C6"/>
    <w:rsid w:val="000B185B"/>
    <w:rsid w:val="000B1A88"/>
    <w:rsid w:val="000B1D9C"/>
    <w:rsid w:val="000B2127"/>
    <w:rsid w:val="000B235F"/>
    <w:rsid w:val="000B2984"/>
    <w:rsid w:val="000B345D"/>
    <w:rsid w:val="000B391F"/>
    <w:rsid w:val="000B3B35"/>
    <w:rsid w:val="000B3D24"/>
    <w:rsid w:val="000B3F0B"/>
    <w:rsid w:val="000B3F43"/>
    <w:rsid w:val="000B4277"/>
    <w:rsid w:val="000B44D6"/>
    <w:rsid w:val="000B51E0"/>
    <w:rsid w:val="000B53B6"/>
    <w:rsid w:val="000B5760"/>
    <w:rsid w:val="000B5AEB"/>
    <w:rsid w:val="000B5BEE"/>
    <w:rsid w:val="000B6060"/>
    <w:rsid w:val="000B6213"/>
    <w:rsid w:val="000B63D4"/>
    <w:rsid w:val="000B63D6"/>
    <w:rsid w:val="000B656F"/>
    <w:rsid w:val="000B686F"/>
    <w:rsid w:val="000B6B66"/>
    <w:rsid w:val="000B7352"/>
    <w:rsid w:val="000B7A97"/>
    <w:rsid w:val="000B7CE1"/>
    <w:rsid w:val="000B7E67"/>
    <w:rsid w:val="000B7F21"/>
    <w:rsid w:val="000B7F78"/>
    <w:rsid w:val="000C0176"/>
    <w:rsid w:val="000C01F5"/>
    <w:rsid w:val="000C0338"/>
    <w:rsid w:val="000C0427"/>
    <w:rsid w:val="000C0491"/>
    <w:rsid w:val="000C04B6"/>
    <w:rsid w:val="000C07C1"/>
    <w:rsid w:val="000C0B47"/>
    <w:rsid w:val="000C0BAB"/>
    <w:rsid w:val="000C16E3"/>
    <w:rsid w:val="000C1F12"/>
    <w:rsid w:val="000C25A7"/>
    <w:rsid w:val="000C2675"/>
    <w:rsid w:val="000C2BCA"/>
    <w:rsid w:val="000C2BD2"/>
    <w:rsid w:val="000C2C0E"/>
    <w:rsid w:val="000C2F81"/>
    <w:rsid w:val="000C3521"/>
    <w:rsid w:val="000C3A3A"/>
    <w:rsid w:val="000C3BB6"/>
    <w:rsid w:val="000C3FCD"/>
    <w:rsid w:val="000C4249"/>
    <w:rsid w:val="000C4461"/>
    <w:rsid w:val="000C45AC"/>
    <w:rsid w:val="000C4738"/>
    <w:rsid w:val="000C48BD"/>
    <w:rsid w:val="000C4D9B"/>
    <w:rsid w:val="000C4DD7"/>
    <w:rsid w:val="000C5254"/>
    <w:rsid w:val="000C59AE"/>
    <w:rsid w:val="000C5A04"/>
    <w:rsid w:val="000C5DF4"/>
    <w:rsid w:val="000C5F70"/>
    <w:rsid w:val="000C5F90"/>
    <w:rsid w:val="000C625C"/>
    <w:rsid w:val="000C655C"/>
    <w:rsid w:val="000C6C69"/>
    <w:rsid w:val="000C6C8A"/>
    <w:rsid w:val="000C6DB0"/>
    <w:rsid w:val="000C6FD3"/>
    <w:rsid w:val="000C73E7"/>
    <w:rsid w:val="000C7424"/>
    <w:rsid w:val="000C7B1F"/>
    <w:rsid w:val="000C7D05"/>
    <w:rsid w:val="000C7F32"/>
    <w:rsid w:val="000D02D0"/>
    <w:rsid w:val="000D052E"/>
    <w:rsid w:val="000D08D3"/>
    <w:rsid w:val="000D0EA5"/>
    <w:rsid w:val="000D179B"/>
    <w:rsid w:val="000D17F8"/>
    <w:rsid w:val="000D18A5"/>
    <w:rsid w:val="000D1FE3"/>
    <w:rsid w:val="000D22A3"/>
    <w:rsid w:val="000D2533"/>
    <w:rsid w:val="000D26F8"/>
    <w:rsid w:val="000D2ADE"/>
    <w:rsid w:val="000D2BC3"/>
    <w:rsid w:val="000D2EB5"/>
    <w:rsid w:val="000D301F"/>
    <w:rsid w:val="000D304E"/>
    <w:rsid w:val="000D3265"/>
    <w:rsid w:val="000D34B8"/>
    <w:rsid w:val="000D374A"/>
    <w:rsid w:val="000D383B"/>
    <w:rsid w:val="000D38F4"/>
    <w:rsid w:val="000D3D0C"/>
    <w:rsid w:val="000D3EA9"/>
    <w:rsid w:val="000D419F"/>
    <w:rsid w:val="000D47C1"/>
    <w:rsid w:val="000D4975"/>
    <w:rsid w:val="000D49E3"/>
    <w:rsid w:val="000D4BDE"/>
    <w:rsid w:val="000D4FCE"/>
    <w:rsid w:val="000D5C92"/>
    <w:rsid w:val="000D65EB"/>
    <w:rsid w:val="000D67AD"/>
    <w:rsid w:val="000D6956"/>
    <w:rsid w:val="000D6AD0"/>
    <w:rsid w:val="000D6B72"/>
    <w:rsid w:val="000D6C35"/>
    <w:rsid w:val="000D6D1D"/>
    <w:rsid w:val="000D70F7"/>
    <w:rsid w:val="000D7273"/>
    <w:rsid w:val="000D72D2"/>
    <w:rsid w:val="000D7392"/>
    <w:rsid w:val="000D7562"/>
    <w:rsid w:val="000D7727"/>
    <w:rsid w:val="000D77CD"/>
    <w:rsid w:val="000D7849"/>
    <w:rsid w:val="000D792D"/>
    <w:rsid w:val="000D799B"/>
    <w:rsid w:val="000D7AA1"/>
    <w:rsid w:val="000D7B4D"/>
    <w:rsid w:val="000D7C2F"/>
    <w:rsid w:val="000E04C1"/>
    <w:rsid w:val="000E0536"/>
    <w:rsid w:val="000E0585"/>
    <w:rsid w:val="000E05B8"/>
    <w:rsid w:val="000E0674"/>
    <w:rsid w:val="000E0842"/>
    <w:rsid w:val="000E09CA"/>
    <w:rsid w:val="000E0B20"/>
    <w:rsid w:val="000E0C50"/>
    <w:rsid w:val="000E0CFF"/>
    <w:rsid w:val="000E115E"/>
    <w:rsid w:val="000E12BA"/>
    <w:rsid w:val="000E14BB"/>
    <w:rsid w:val="000E1580"/>
    <w:rsid w:val="000E1A1B"/>
    <w:rsid w:val="000E1A57"/>
    <w:rsid w:val="000E1C88"/>
    <w:rsid w:val="000E1DD1"/>
    <w:rsid w:val="000E20D4"/>
    <w:rsid w:val="000E216A"/>
    <w:rsid w:val="000E23EA"/>
    <w:rsid w:val="000E25B0"/>
    <w:rsid w:val="000E271F"/>
    <w:rsid w:val="000E2743"/>
    <w:rsid w:val="000E2844"/>
    <w:rsid w:val="000E2B0F"/>
    <w:rsid w:val="000E2B4A"/>
    <w:rsid w:val="000E2BE0"/>
    <w:rsid w:val="000E2BED"/>
    <w:rsid w:val="000E31F7"/>
    <w:rsid w:val="000E3F90"/>
    <w:rsid w:val="000E3FC1"/>
    <w:rsid w:val="000E42E1"/>
    <w:rsid w:val="000E47F8"/>
    <w:rsid w:val="000E49BD"/>
    <w:rsid w:val="000E4F91"/>
    <w:rsid w:val="000E50AB"/>
    <w:rsid w:val="000E554E"/>
    <w:rsid w:val="000E5627"/>
    <w:rsid w:val="000E5745"/>
    <w:rsid w:val="000E5B12"/>
    <w:rsid w:val="000E5E5C"/>
    <w:rsid w:val="000E61B9"/>
    <w:rsid w:val="000E68EA"/>
    <w:rsid w:val="000E692B"/>
    <w:rsid w:val="000E69FA"/>
    <w:rsid w:val="000E6C9F"/>
    <w:rsid w:val="000E6E90"/>
    <w:rsid w:val="000E73B0"/>
    <w:rsid w:val="000E74A2"/>
    <w:rsid w:val="000E7613"/>
    <w:rsid w:val="000E7983"/>
    <w:rsid w:val="000E79D4"/>
    <w:rsid w:val="000E7AE2"/>
    <w:rsid w:val="000E7B0E"/>
    <w:rsid w:val="000E7CC8"/>
    <w:rsid w:val="000E7CEB"/>
    <w:rsid w:val="000E7DAE"/>
    <w:rsid w:val="000F02E9"/>
    <w:rsid w:val="000F0471"/>
    <w:rsid w:val="000F07FF"/>
    <w:rsid w:val="000F0F3E"/>
    <w:rsid w:val="000F12D7"/>
    <w:rsid w:val="000F15E3"/>
    <w:rsid w:val="000F170C"/>
    <w:rsid w:val="000F1994"/>
    <w:rsid w:val="000F1AB9"/>
    <w:rsid w:val="000F2037"/>
    <w:rsid w:val="000F2692"/>
    <w:rsid w:val="000F301E"/>
    <w:rsid w:val="000F34C5"/>
    <w:rsid w:val="000F3554"/>
    <w:rsid w:val="000F37CE"/>
    <w:rsid w:val="000F40D4"/>
    <w:rsid w:val="000F4292"/>
    <w:rsid w:val="000F4360"/>
    <w:rsid w:val="000F450B"/>
    <w:rsid w:val="000F46E6"/>
    <w:rsid w:val="000F4755"/>
    <w:rsid w:val="000F4CE1"/>
    <w:rsid w:val="000F52ED"/>
    <w:rsid w:val="000F5843"/>
    <w:rsid w:val="000F5A3E"/>
    <w:rsid w:val="000F5B26"/>
    <w:rsid w:val="000F5BD3"/>
    <w:rsid w:val="000F5F28"/>
    <w:rsid w:val="000F5FE7"/>
    <w:rsid w:val="000F6037"/>
    <w:rsid w:val="000F6138"/>
    <w:rsid w:val="000F66B5"/>
    <w:rsid w:val="000F67DB"/>
    <w:rsid w:val="000F6D44"/>
    <w:rsid w:val="000F6F78"/>
    <w:rsid w:val="000F74E0"/>
    <w:rsid w:val="000F78D7"/>
    <w:rsid w:val="001001C9"/>
    <w:rsid w:val="0010022E"/>
    <w:rsid w:val="00100462"/>
    <w:rsid w:val="00100482"/>
    <w:rsid w:val="00100638"/>
    <w:rsid w:val="001008A5"/>
    <w:rsid w:val="00100A37"/>
    <w:rsid w:val="00100AC7"/>
    <w:rsid w:val="00100BCC"/>
    <w:rsid w:val="00100E67"/>
    <w:rsid w:val="001010A8"/>
    <w:rsid w:val="001011DE"/>
    <w:rsid w:val="001013AD"/>
    <w:rsid w:val="0010158D"/>
    <w:rsid w:val="001021F9"/>
    <w:rsid w:val="001025AE"/>
    <w:rsid w:val="00102C74"/>
    <w:rsid w:val="00102DA9"/>
    <w:rsid w:val="0010361A"/>
    <w:rsid w:val="001037A7"/>
    <w:rsid w:val="00103D3D"/>
    <w:rsid w:val="00103DEC"/>
    <w:rsid w:val="00103E61"/>
    <w:rsid w:val="00103F4E"/>
    <w:rsid w:val="0010428E"/>
    <w:rsid w:val="001047AE"/>
    <w:rsid w:val="001047F9"/>
    <w:rsid w:val="0010488F"/>
    <w:rsid w:val="001048EE"/>
    <w:rsid w:val="00104BA2"/>
    <w:rsid w:val="00104D09"/>
    <w:rsid w:val="00104D3B"/>
    <w:rsid w:val="00104DF0"/>
    <w:rsid w:val="00104E09"/>
    <w:rsid w:val="00104E84"/>
    <w:rsid w:val="001050DB"/>
    <w:rsid w:val="001053BC"/>
    <w:rsid w:val="00105439"/>
    <w:rsid w:val="00105523"/>
    <w:rsid w:val="00105573"/>
    <w:rsid w:val="001055E9"/>
    <w:rsid w:val="0010569F"/>
    <w:rsid w:val="001057C2"/>
    <w:rsid w:val="00105DD8"/>
    <w:rsid w:val="00105EC8"/>
    <w:rsid w:val="0010608E"/>
    <w:rsid w:val="00106256"/>
    <w:rsid w:val="00106578"/>
    <w:rsid w:val="00106789"/>
    <w:rsid w:val="00106ACA"/>
    <w:rsid w:val="00106FC2"/>
    <w:rsid w:val="001073BB"/>
    <w:rsid w:val="001074A9"/>
    <w:rsid w:val="00107574"/>
    <w:rsid w:val="0010759A"/>
    <w:rsid w:val="00107878"/>
    <w:rsid w:val="0010797C"/>
    <w:rsid w:val="001079D6"/>
    <w:rsid w:val="00107AA3"/>
    <w:rsid w:val="00107B51"/>
    <w:rsid w:val="0011049E"/>
    <w:rsid w:val="001104CB"/>
    <w:rsid w:val="00110886"/>
    <w:rsid w:val="00110F71"/>
    <w:rsid w:val="00111079"/>
    <w:rsid w:val="001110F3"/>
    <w:rsid w:val="001110FB"/>
    <w:rsid w:val="00111173"/>
    <w:rsid w:val="00111451"/>
    <w:rsid w:val="00111637"/>
    <w:rsid w:val="00111676"/>
    <w:rsid w:val="001116BF"/>
    <w:rsid w:val="00111B57"/>
    <w:rsid w:val="00111EC0"/>
    <w:rsid w:val="00112804"/>
    <w:rsid w:val="00112BD6"/>
    <w:rsid w:val="00112D45"/>
    <w:rsid w:val="00112E55"/>
    <w:rsid w:val="00112EE8"/>
    <w:rsid w:val="00113282"/>
    <w:rsid w:val="001137E9"/>
    <w:rsid w:val="001139E0"/>
    <w:rsid w:val="0011424D"/>
    <w:rsid w:val="00114274"/>
    <w:rsid w:val="00114532"/>
    <w:rsid w:val="00114A7A"/>
    <w:rsid w:val="00114AB8"/>
    <w:rsid w:val="00114AEA"/>
    <w:rsid w:val="00114B5E"/>
    <w:rsid w:val="001156D5"/>
    <w:rsid w:val="001158FF"/>
    <w:rsid w:val="00116056"/>
    <w:rsid w:val="001161B8"/>
    <w:rsid w:val="0011622F"/>
    <w:rsid w:val="00116292"/>
    <w:rsid w:val="001168A0"/>
    <w:rsid w:val="00116ECE"/>
    <w:rsid w:val="0011709B"/>
    <w:rsid w:val="00117519"/>
    <w:rsid w:val="0011775C"/>
    <w:rsid w:val="001178C3"/>
    <w:rsid w:val="001178DA"/>
    <w:rsid w:val="00117965"/>
    <w:rsid w:val="00117AAB"/>
    <w:rsid w:val="00120515"/>
    <w:rsid w:val="00120775"/>
    <w:rsid w:val="001209CD"/>
    <w:rsid w:val="00120F7B"/>
    <w:rsid w:val="00121532"/>
    <w:rsid w:val="0012154D"/>
    <w:rsid w:val="00121672"/>
    <w:rsid w:val="0012170D"/>
    <w:rsid w:val="0012227F"/>
    <w:rsid w:val="001225D5"/>
    <w:rsid w:val="00122E8C"/>
    <w:rsid w:val="001232D4"/>
    <w:rsid w:val="001235F8"/>
    <w:rsid w:val="00123A0F"/>
    <w:rsid w:val="00123B3A"/>
    <w:rsid w:val="00123D3A"/>
    <w:rsid w:val="00123E6F"/>
    <w:rsid w:val="00123E87"/>
    <w:rsid w:val="00124127"/>
    <w:rsid w:val="0012458A"/>
    <w:rsid w:val="00124BB9"/>
    <w:rsid w:val="001250A5"/>
    <w:rsid w:val="001251ED"/>
    <w:rsid w:val="001252B6"/>
    <w:rsid w:val="00125873"/>
    <w:rsid w:val="0012647A"/>
    <w:rsid w:val="00126571"/>
    <w:rsid w:val="00126585"/>
    <w:rsid w:val="0012681E"/>
    <w:rsid w:val="00126866"/>
    <w:rsid w:val="00126FFD"/>
    <w:rsid w:val="00127233"/>
    <w:rsid w:val="00127516"/>
    <w:rsid w:val="001278CA"/>
    <w:rsid w:val="00127B37"/>
    <w:rsid w:val="00127ECB"/>
    <w:rsid w:val="00127F81"/>
    <w:rsid w:val="00127FD6"/>
    <w:rsid w:val="0013009E"/>
    <w:rsid w:val="00130A1D"/>
    <w:rsid w:val="00130C6D"/>
    <w:rsid w:val="00131711"/>
    <w:rsid w:val="0013179E"/>
    <w:rsid w:val="0013188C"/>
    <w:rsid w:val="0013205A"/>
    <w:rsid w:val="001323EA"/>
    <w:rsid w:val="0013253D"/>
    <w:rsid w:val="00132556"/>
    <w:rsid w:val="00132633"/>
    <w:rsid w:val="00132A33"/>
    <w:rsid w:val="00132B71"/>
    <w:rsid w:val="00132E64"/>
    <w:rsid w:val="001331F3"/>
    <w:rsid w:val="00134171"/>
    <w:rsid w:val="00134209"/>
    <w:rsid w:val="00134D46"/>
    <w:rsid w:val="00134DC5"/>
    <w:rsid w:val="0013540D"/>
    <w:rsid w:val="0013545C"/>
    <w:rsid w:val="001354E2"/>
    <w:rsid w:val="0013554F"/>
    <w:rsid w:val="00135826"/>
    <w:rsid w:val="00135E8A"/>
    <w:rsid w:val="0013660A"/>
    <w:rsid w:val="0013672C"/>
    <w:rsid w:val="00136CA4"/>
    <w:rsid w:val="00136DC3"/>
    <w:rsid w:val="00136F2E"/>
    <w:rsid w:val="00137140"/>
    <w:rsid w:val="00137309"/>
    <w:rsid w:val="0013775F"/>
    <w:rsid w:val="00137EB8"/>
    <w:rsid w:val="00140001"/>
    <w:rsid w:val="0014019A"/>
    <w:rsid w:val="0014033F"/>
    <w:rsid w:val="00140480"/>
    <w:rsid w:val="00140AE4"/>
    <w:rsid w:val="0014154B"/>
    <w:rsid w:val="0014178A"/>
    <w:rsid w:val="00141845"/>
    <w:rsid w:val="00141E54"/>
    <w:rsid w:val="00142415"/>
    <w:rsid w:val="00142707"/>
    <w:rsid w:val="00142A30"/>
    <w:rsid w:val="00142B4B"/>
    <w:rsid w:val="00142C45"/>
    <w:rsid w:val="00142ED4"/>
    <w:rsid w:val="00143014"/>
    <w:rsid w:val="001430CF"/>
    <w:rsid w:val="00143718"/>
    <w:rsid w:val="00143F89"/>
    <w:rsid w:val="0014426E"/>
    <w:rsid w:val="00144BDE"/>
    <w:rsid w:val="00144D4D"/>
    <w:rsid w:val="00144F0A"/>
    <w:rsid w:val="00145CE0"/>
    <w:rsid w:val="00146826"/>
    <w:rsid w:val="00146AE3"/>
    <w:rsid w:val="00146C42"/>
    <w:rsid w:val="00146CF2"/>
    <w:rsid w:val="00146F70"/>
    <w:rsid w:val="00147793"/>
    <w:rsid w:val="001477E3"/>
    <w:rsid w:val="0014797D"/>
    <w:rsid w:val="00147B80"/>
    <w:rsid w:val="0015082A"/>
    <w:rsid w:val="001509BB"/>
    <w:rsid w:val="00150F56"/>
    <w:rsid w:val="00150FB9"/>
    <w:rsid w:val="00151056"/>
    <w:rsid w:val="0015112A"/>
    <w:rsid w:val="001511D0"/>
    <w:rsid w:val="001512B4"/>
    <w:rsid w:val="001514A8"/>
    <w:rsid w:val="001515CF"/>
    <w:rsid w:val="00151685"/>
    <w:rsid w:val="00151A9B"/>
    <w:rsid w:val="00151AFC"/>
    <w:rsid w:val="00151F68"/>
    <w:rsid w:val="001520DB"/>
    <w:rsid w:val="0015228B"/>
    <w:rsid w:val="0015250B"/>
    <w:rsid w:val="001527A9"/>
    <w:rsid w:val="00152D0D"/>
    <w:rsid w:val="00152FF4"/>
    <w:rsid w:val="001533AF"/>
    <w:rsid w:val="0015346B"/>
    <w:rsid w:val="00153505"/>
    <w:rsid w:val="0015359F"/>
    <w:rsid w:val="00153627"/>
    <w:rsid w:val="00153875"/>
    <w:rsid w:val="00153BC3"/>
    <w:rsid w:val="00153E5D"/>
    <w:rsid w:val="001541C2"/>
    <w:rsid w:val="00154245"/>
    <w:rsid w:val="00154678"/>
    <w:rsid w:val="00154F6A"/>
    <w:rsid w:val="0015518E"/>
    <w:rsid w:val="00155C1D"/>
    <w:rsid w:val="00156022"/>
    <w:rsid w:val="001561C0"/>
    <w:rsid w:val="00156654"/>
    <w:rsid w:val="00156657"/>
    <w:rsid w:val="001566B8"/>
    <w:rsid w:val="001566BA"/>
    <w:rsid w:val="00156BB0"/>
    <w:rsid w:val="00156C28"/>
    <w:rsid w:val="00156C4C"/>
    <w:rsid w:val="00156FAC"/>
    <w:rsid w:val="00156FE8"/>
    <w:rsid w:val="00157262"/>
    <w:rsid w:val="001572BF"/>
    <w:rsid w:val="001574E0"/>
    <w:rsid w:val="0015771D"/>
    <w:rsid w:val="001577B0"/>
    <w:rsid w:val="001603F1"/>
    <w:rsid w:val="001604D6"/>
    <w:rsid w:val="0016063C"/>
    <w:rsid w:val="001606B1"/>
    <w:rsid w:val="0016107B"/>
    <w:rsid w:val="001613F6"/>
    <w:rsid w:val="001618D7"/>
    <w:rsid w:val="00161A3C"/>
    <w:rsid w:val="00161E8D"/>
    <w:rsid w:val="001621EF"/>
    <w:rsid w:val="00162CB3"/>
    <w:rsid w:val="00162FB4"/>
    <w:rsid w:val="001631C1"/>
    <w:rsid w:val="00163394"/>
    <w:rsid w:val="00163620"/>
    <w:rsid w:val="00163896"/>
    <w:rsid w:val="00163B9D"/>
    <w:rsid w:val="00163E49"/>
    <w:rsid w:val="00163FD1"/>
    <w:rsid w:val="001640FC"/>
    <w:rsid w:val="00164755"/>
    <w:rsid w:val="001647F5"/>
    <w:rsid w:val="0016593A"/>
    <w:rsid w:val="00165C21"/>
    <w:rsid w:val="00165D47"/>
    <w:rsid w:val="00165EB3"/>
    <w:rsid w:val="0016632B"/>
    <w:rsid w:val="00166772"/>
    <w:rsid w:val="0016688D"/>
    <w:rsid w:val="00166986"/>
    <w:rsid w:val="00166C01"/>
    <w:rsid w:val="001670DD"/>
    <w:rsid w:val="001677BC"/>
    <w:rsid w:val="0016795F"/>
    <w:rsid w:val="00167AFA"/>
    <w:rsid w:val="00167CF5"/>
    <w:rsid w:val="00167D65"/>
    <w:rsid w:val="00170426"/>
    <w:rsid w:val="00170BE1"/>
    <w:rsid w:val="00170C6F"/>
    <w:rsid w:val="00170E20"/>
    <w:rsid w:val="001713DA"/>
    <w:rsid w:val="001718BA"/>
    <w:rsid w:val="001718EF"/>
    <w:rsid w:val="00171929"/>
    <w:rsid w:val="00171AD7"/>
    <w:rsid w:val="00171CBF"/>
    <w:rsid w:val="00171DD3"/>
    <w:rsid w:val="00171E06"/>
    <w:rsid w:val="00171FF7"/>
    <w:rsid w:val="001720D2"/>
    <w:rsid w:val="001722E8"/>
    <w:rsid w:val="001724BE"/>
    <w:rsid w:val="0017274E"/>
    <w:rsid w:val="00172A51"/>
    <w:rsid w:val="00172A9C"/>
    <w:rsid w:val="00172E18"/>
    <w:rsid w:val="0017323C"/>
    <w:rsid w:val="0017337B"/>
    <w:rsid w:val="001737EB"/>
    <w:rsid w:val="00173B31"/>
    <w:rsid w:val="00173B6B"/>
    <w:rsid w:val="00173FBB"/>
    <w:rsid w:val="001749FF"/>
    <w:rsid w:val="00174F6A"/>
    <w:rsid w:val="00174FCA"/>
    <w:rsid w:val="0017501B"/>
    <w:rsid w:val="001750C4"/>
    <w:rsid w:val="00175318"/>
    <w:rsid w:val="00175530"/>
    <w:rsid w:val="0017574D"/>
    <w:rsid w:val="00176094"/>
    <w:rsid w:val="0017624B"/>
    <w:rsid w:val="001762F9"/>
    <w:rsid w:val="001765A4"/>
    <w:rsid w:val="001766AC"/>
    <w:rsid w:val="00176A49"/>
    <w:rsid w:val="00176BA0"/>
    <w:rsid w:val="00176C74"/>
    <w:rsid w:val="0017738E"/>
    <w:rsid w:val="0017752F"/>
    <w:rsid w:val="001779C9"/>
    <w:rsid w:val="00180199"/>
    <w:rsid w:val="0018049F"/>
    <w:rsid w:val="00180596"/>
    <w:rsid w:val="00180ABC"/>
    <w:rsid w:val="00180D61"/>
    <w:rsid w:val="00180DA0"/>
    <w:rsid w:val="001810DE"/>
    <w:rsid w:val="00181133"/>
    <w:rsid w:val="001816D2"/>
    <w:rsid w:val="0018191F"/>
    <w:rsid w:val="00181B15"/>
    <w:rsid w:val="0018203D"/>
    <w:rsid w:val="001820BD"/>
    <w:rsid w:val="00182621"/>
    <w:rsid w:val="0018287C"/>
    <w:rsid w:val="0018296A"/>
    <w:rsid w:val="00183208"/>
    <w:rsid w:val="00183373"/>
    <w:rsid w:val="00183652"/>
    <w:rsid w:val="00183973"/>
    <w:rsid w:val="00183D92"/>
    <w:rsid w:val="00183E71"/>
    <w:rsid w:val="0018413A"/>
    <w:rsid w:val="00184192"/>
    <w:rsid w:val="00184409"/>
    <w:rsid w:val="001844F4"/>
    <w:rsid w:val="00184F21"/>
    <w:rsid w:val="00184F26"/>
    <w:rsid w:val="00185300"/>
    <w:rsid w:val="001853D5"/>
    <w:rsid w:val="00185558"/>
    <w:rsid w:val="00185599"/>
    <w:rsid w:val="00185608"/>
    <w:rsid w:val="001858FE"/>
    <w:rsid w:val="001859F5"/>
    <w:rsid w:val="00185B57"/>
    <w:rsid w:val="00185BF7"/>
    <w:rsid w:val="00185EE5"/>
    <w:rsid w:val="00186120"/>
    <w:rsid w:val="001867B7"/>
    <w:rsid w:val="001867F6"/>
    <w:rsid w:val="00186ECD"/>
    <w:rsid w:val="001871A3"/>
    <w:rsid w:val="001873EE"/>
    <w:rsid w:val="00187553"/>
    <w:rsid w:val="00187888"/>
    <w:rsid w:val="00190720"/>
    <w:rsid w:val="00190FBB"/>
    <w:rsid w:val="00191038"/>
    <w:rsid w:val="0019124B"/>
    <w:rsid w:val="00191372"/>
    <w:rsid w:val="00191F34"/>
    <w:rsid w:val="0019225E"/>
    <w:rsid w:val="00192646"/>
    <w:rsid w:val="00192966"/>
    <w:rsid w:val="00192A81"/>
    <w:rsid w:val="00192DA6"/>
    <w:rsid w:val="0019302C"/>
    <w:rsid w:val="001930A3"/>
    <w:rsid w:val="001933B9"/>
    <w:rsid w:val="001933F0"/>
    <w:rsid w:val="00193539"/>
    <w:rsid w:val="001939B4"/>
    <w:rsid w:val="00193B55"/>
    <w:rsid w:val="00193CB3"/>
    <w:rsid w:val="00193E34"/>
    <w:rsid w:val="00193F5A"/>
    <w:rsid w:val="0019420D"/>
    <w:rsid w:val="001943F2"/>
    <w:rsid w:val="00194590"/>
    <w:rsid w:val="00194637"/>
    <w:rsid w:val="0019478E"/>
    <w:rsid w:val="001957D1"/>
    <w:rsid w:val="001958C6"/>
    <w:rsid w:val="00195E31"/>
    <w:rsid w:val="00195FC2"/>
    <w:rsid w:val="0019650D"/>
    <w:rsid w:val="00196612"/>
    <w:rsid w:val="00196702"/>
    <w:rsid w:val="001968C4"/>
    <w:rsid w:val="001970CD"/>
    <w:rsid w:val="0019719E"/>
    <w:rsid w:val="00197225"/>
    <w:rsid w:val="0019759D"/>
    <w:rsid w:val="00197D14"/>
    <w:rsid w:val="001A0330"/>
    <w:rsid w:val="001A0942"/>
    <w:rsid w:val="001A0B08"/>
    <w:rsid w:val="001A0C29"/>
    <w:rsid w:val="001A0C81"/>
    <w:rsid w:val="001A1257"/>
    <w:rsid w:val="001A13C3"/>
    <w:rsid w:val="001A2710"/>
    <w:rsid w:val="001A2963"/>
    <w:rsid w:val="001A2C0C"/>
    <w:rsid w:val="001A317C"/>
    <w:rsid w:val="001A3377"/>
    <w:rsid w:val="001A3717"/>
    <w:rsid w:val="001A3816"/>
    <w:rsid w:val="001A4011"/>
    <w:rsid w:val="001A4188"/>
    <w:rsid w:val="001A4986"/>
    <w:rsid w:val="001A49B2"/>
    <w:rsid w:val="001A4A7E"/>
    <w:rsid w:val="001A4BC6"/>
    <w:rsid w:val="001A4F86"/>
    <w:rsid w:val="001A5217"/>
    <w:rsid w:val="001A5368"/>
    <w:rsid w:val="001A573C"/>
    <w:rsid w:val="001A5C05"/>
    <w:rsid w:val="001A64DA"/>
    <w:rsid w:val="001A6649"/>
    <w:rsid w:val="001A6861"/>
    <w:rsid w:val="001A6CA3"/>
    <w:rsid w:val="001A72E4"/>
    <w:rsid w:val="001A7460"/>
    <w:rsid w:val="001A7632"/>
    <w:rsid w:val="001A78C5"/>
    <w:rsid w:val="001A7ADC"/>
    <w:rsid w:val="001A7CBC"/>
    <w:rsid w:val="001A7DD1"/>
    <w:rsid w:val="001A7ECC"/>
    <w:rsid w:val="001B0786"/>
    <w:rsid w:val="001B080D"/>
    <w:rsid w:val="001B0CCA"/>
    <w:rsid w:val="001B16F4"/>
    <w:rsid w:val="001B1888"/>
    <w:rsid w:val="001B1C33"/>
    <w:rsid w:val="001B1CFD"/>
    <w:rsid w:val="001B1DEB"/>
    <w:rsid w:val="001B1F33"/>
    <w:rsid w:val="001B2040"/>
    <w:rsid w:val="001B2181"/>
    <w:rsid w:val="001B2786"/>
    <w:rsid w:val="001B3365"/>
    <w:rsid w:val="001B3A31"/>
    <w:rsid w:val="001B3D07"/>
    <w:rsid w:val="001B3FAA"/>
    <w:rsid w:val="001B40A5"/>
    <w:rsid w:val="001B49F2"/>
    <w:rsid w:val="001B4A3D"/>
    <w:rsid w:val="001B4CC4"/>
    <w:rsid w:val="001B4D8E"/>
    <w:rsid w:val="001B4E57"/>
    <w:rsid w:val="001B4F53"/>
    <w:rsid w:val="001B5019"/>
    <w:rsid w:val="001B5083"/>
    <w:rsid w:val="001B51BC"/>
    <w:rsid w:val="001B5230"/>
    <w:rsid w:val="001B5576"/>
    <w:rsid w:val="001B5601"/>
    <w:rsid w:val="001B5637"/>
    <w:rsid w:val="001B59C5"/>
    <w:rsid w:val="001B5E6C"/>
    <w:rsid w:val="001B63AC"/>
    <w:rsid w:val="001B66A8"/>
    <w:rsid w:val="001B66CC"/>
    <w:rsid w:val="001B6A2B"/>
    <w:rsid w:val="001B6F22"/>
    <w:rsid w:val="001B6F95"/>
    <w:rsid w:val="001B6FA4"/>
    <w:rsid w:val="001B7028"/>
    <w:rsid w:val="001B7322"/>
    <w:rsid w:val="001B7503"/>
    <w:rsid w:val="001B789E"/>
    <w:rsid w:val="001B7A3E"/>
    <w:rsid w:val="001B7C8E"/>
    <w:rsid w:val="001B7E8B"/>
    <w:rsid w:val="001B7F86"/>
    <w:rsid w:val="001C00EE"/>
    <w:rsid w:val="001C0188"/>
    <w:rsid w:val="001C0325"/>
    <w:rsid w:val="001C0382"/>
    <w:rsid w:val="001C03F9"/>
    <w:rsid w:val="001C03FF"/>
    <w:rsid w:val="001C0445"/>
    <w:rsid w:val="001C130D"/>
    <w:rsid w:val="001C1838"/>
    <w:rsid w:val="001C1E3D"/>
    <w:rsid w:val="001C1EF3"/>
    <w:rsid w:val="001C200D"/>
    <w:rsid w:val="001C2047"/>
    <w:rsid w:val="001C2728"/>
    <w:rsid w:val="001C2FBB"/>
    <w:rsid w:val="001C3B01"/>
    <w:rsid w:val="001C3BB0"/>
    <w:rsid w:val="001C3FAD"/>
    <w:rsid w:val="001C419E"/>
    <w:rsid w:val="001C424E"/>
    <w:rsid w:val="001C43F7"/>
    <w:rsid w:val="001C46CD"/>
    <w:rsid w:val="001C48A7"/>
    <w:rsid w:val="001C4C38"/>
    <w:rsid w:val="001C4D00"/>
    <w:rsid w:val="001C5173"/>
    <w:rsid w:val="001C51C4"/>
    <w:rsid w:val="001C5C1C"/>
    <w:rsid w:val="001C5DF6"/>
    <w:rsid w:val="001C6026"/>
    <w:rsid w:val="001C64FD"/>
    <w:rsid w:val="001C65DF"/>
    <w:rsid w:val="001C6627"/>
    <w:rsid w:val="001C73CD"/>
    <w:rsid w:val="001C73F3"/>
    <w:rsid w:val="001C7797"/>
    <w:rsid w:val="001C79BE"/>
    <w:rsid w:val="001D07D2"/>
    <w:rsid w:val="001D0BAA"/>
    <w:rsid w:val="001D0DFF"/>
    <w:rsid w:val="001D0E30"/>
    <w:rsid w:val="001D0E73"/>
    <w:rsid w:val="001D1051"/>
    <w:rsid w:val="001D10BE"/>
    <w:rsid w:val="001D16DA"/>
    <w:rsid w:val="001D17EE"/>
    <w:rsid w:val="001D2546"/>
    <w:rsid w:val="001D2645"/>
    <w:rsid w:val="001D27AD"/>
    <w:rsid w:val="001D29C5"/>
    <w:rsid w:val="001D2A9C"/>
    <w:rsid w:val="001D2E61"/>
    <w:rsid w:val="001D2E94"/>
    <w:rsid w:val="001D2E9F"/>
    <w:rsid w:val="001D3061"/>
    <w:rsid w:val="001D3828"/>
    <w:rsid w:val="001D42A2"/>
    <w:rsid w:val="001D4420"/>
    <w:rsid w:val="001D4588"/>
    <w:rsid w:val="001D4B4C"/>
    <w:rsid w:val="001D4DB8"/>
    <w:rsid w:val="001D5709"/>
    <w:rsid w:val="001D5887"/>
    <w:rsid w:val="001D59EB"/>
    <w:rsid w:val="001D5AB4"/>
    <w:rsid w:val="001D5BA5"/>
    <w:rsid w:val="001D5C2A"/>
    <w:rsid w:val="001D607A"/>
    <w:rsid w:val="001D60F5"/>
    <w:rsid w:val="001D6166"/>
    <w:rsid w:val="001D64A1"/>
    <w:rsid w:val="001D6810"/>
    <w:rsid w:val="001D68FB"/>
    <w:rsid w:val="001D6D57"/>
    <w:rsid w:val="001D70F7"/>
    <w:rsid w:val="001D71C4"/>
    <w:rsid w:val="001D75EB"/>
    <w:rsid w:val="001D782D"/>
    <w:rsid w:val="001D7D17"/>
    <w:rsid w:val="001D7EEA"/>
    <w:rsid w:val="001D7F60"/>
    <w:rsid w:val="001E01B0"/>
    <w:rsid w:val="001E0B73"/>
    <w:rsid w:val="001E0F7C"/>
    <w:rsid w:val="001E118F"/>
    <w:rsid w:val="001E130C"/>
    <w:rsid w:val="001E13AA"/>
    <w:rsid w:val="001E16A0"/>
    <w:rsid w:val="001E174D"/>
    <w:rsid w:val="001E1843"/>
    <w:rsid w:val="001E1C85"/>
    <w:rsid w:val="001E1D6C"/>
    <w:rsid w:val="001E2850"/>
    <w:rsid w:val="001E2A9C"/>
    <w:rsid w:val="001E302A"/>
    <w:rsid w:val="001E303B"/>
    <w:rsid w:val="001E3135"/>
    <w:rsid w:val="001E32EC"/>
    <w:rsid w:val="001E37E4"/>
    <w:rsid w:val="001E390A"/>
    <w:rsid w:val="001E3E68"/>
    <w:rsid w:val="001E4846"/>
    <w:rsid w:val="001E498E"/>
    <w:rsid w:val="001E4D86"/>
    <w:rsid w:val="001E554E"/>
    <w:rsid w:val="001E5B0E"/>
    <w:rsid w:val="001E5B6F"/>
    <w:rsid w:val="001E5BFF"/>
    <w:rsid w:val="001E5CF2"/>
    <w:rsid w:val="001E5DAF"/>
    <w:rsid w:val="001E5FBB"/>
    <w:rsid w:val="001E66EF"/>
    <w:rsid w:val="001E685E"/>
    <w:rsid w:val="001E6D09"/>
    <w:rsid w:val="001E6DC6"/>
    <w:rsid w:val="001E6F32"/>
    <w:rsid w:val="001E733E"/>
    <w:rsid w:val="001E79DF"/>
    <w:rsid w:val="001E7EF1"/>
    <w:rsid w:val="001F0081"/>
    <w:rsid w:val="001F0102"/>
    <w:rsid w:val="001F0750"/>
    <w:rsid w:val="001F0768"/>
    <w:rsid w:val="001F0771"/>
    <w:rsid w:val="001F0A4F"/>
    <w:rsid w:val="001F0A71"/>
    <w:rsid w:val="001F0A83"/>
    <w:rsid w:val="001F0B13"/>
    <w:rsid w:val="001F11EF"/>
    <w:rsid w:val="001F13A1"/>
    <w:rsid w:val="001F251B"/>
    <w:rsid w:val="001F2986"/>
    <w:rsid w:val="001F2C52"/>
    <w:rsid w:val="001F2CE7"/>
    <w:rsid w:val="001F2F08"/>
    <w:rsid w:val="001F314D"/>
    <w:rsid w:val="001F319F"/>
    <w:rsid w:val="001F3214"/>
    <w:rsid w:val="001F35A4"/>
    <w:rsid w:val="001F375C"/>
    <w:rsid w:val="001F3817"/>
    <w:rsid w:val="001F3956"/>
    <w:rsid w:val="001F3CF0"/>
    <w:rsid w:val="001F4325"/>
    <w:rsid w:val="001F46E8"/>
    <w:rsid w:val="001F51C8"/>
    <w:rsid w:val="001F567C"/>
    <w:rsid w:val="001F58F0"/>
    <w:rsid w:val="001F592B"/>
    <w:rsid w:val="001F5A25"/>
    <w:rsid w:val="001F5D3A"/>
    <w:rsid w:val="001F5F73"/>
    <w:rsid w:val="001F6310"/>
    <w:rsid w:val="001F635E"/>
    <w:rsid w:val="001F6460"/>
    <w:rsid w:val="001F6726"/>
    <w:rsid w:val="001F6AA1"/>
    <w:rsid w:val="001F6BFD"/>
    <w:rsid w:val="001F6EBD"/>
    <w:rsid w:val="001F712C"/>
    <w:rsid w:val="001F71D2"/>
    <w:rsid w:val="001F73BA"/>
    <w:rsid w:val="001F75F6"/>
    <w:rsid w:val="001F7A59"/>
    <w:rsid w:val="001F7B0A"/>
    <w:rsid w:val="001F7DC9"/>
    <w:rsid w:val="001F7F78"/>
    <w:rsid w:val="002000B1"/>
    <w:rsid w:val="00200188"/>
    <w:rsid w:val="002004A8"/>
    <w:rsid w:val="002004D6"/>
    <w:rsid w:val="0020086A"/>
    <w:rsid w:val="002008DA"/>
    <w:rsid w:val="00200B9E"/>
    <w:rsid w:val="00200E3C"/>
    <w:rsid w:val="00200F34"/>
    <w:rsid w:val="00201301"/>
    <w:rsid w:val="002013D2"/>
    <w:rsid w:val="002015BB"/>
    <w:rsid w:val="002017B4"/>
    <w:rsid w:val="00202105"/>
    <w:rsid w:val="002024C0"/>
    <w:rsid w:val="00202752"/>
    <w:rsid w:val="00202A07"/>
    <w:rsid w:val="00202AEF"/>
    <w:rsid w:val="00202C3F"/>
    <w:rsid w:val="00202CCC"/>
    <w:rsid w:val="00202E96"/>
    <w:rsid w:val="0020327B"/>
    <w:rsid w:val="002032C4"/>
    <w:rsid w:val="00203373"/>
    <w:rsid w:val="00203987"/>
    <w:rsid w:val="00203A32"/>
    <w:rsid w:val="00203AA5"/>
    <w:rsid w:val="00203D2C"/>
    <w:rsid w:val="00203DBC"/>
    <w:rsid w:val="002041A0"/>
    <w:rsid w:val="002043BD"/>
    <w:rsid w:val="00204444"/>
    <w:rsid w:val="0020488D"/>
    <w:rsid w:val="002048C3"/>
    <w:rsid w:val="002048E1"/>
    <w:rsid w:val="00204C65"/>
    <w:rsid w:val="00205018"/>
    <w:rsid w:val="00205020"/>
    <w:rsid w:val="0020512C"/>
    <w:rsid w:val="0020525B"/>
    <w:rsid w:val="00205295"/>
    <w:rsid w:val="0020537D"/>
    <w:rsid w:val="0020573E"/>
    <w:rsid w:val="0020599D"/>
    <w:rsid w:val="00205DF0"/>
    <w:rsid w:val="002063E8"/>
    <w:rsid w:val="00206A7B"/>
    <w:rsid w:val="00206B1B"/>
    <w:rsid w:val="00206C77"/>
    <w:rsid w:val="00206E52"/>
    <w:rsid w:val="002070D3"/>
    <w:rsid w:val="00207347"/>
    <w:rsid w:val="002074AE"/>
    <w:rsid w:val="00207755"/>
    <w:rsid w:val="00207787"/>
    <w:rsid w:val="00207A1F"/>
    <w:rsid w:val="00207B96"/>
    <w:rsid w:val="00207D4A"/>
    <w:rsid w:val="002101E5"/>
    <w:rsid w:val="0021071B"/>
    <w:rsid w:val="0021074D"/>
    <w:rsid w:val="00210BB3"/>
    <w:rsid w:val="00210DAA"/>
    <w:rsid w:val="002113C5"/>
    <w:rsid w:val="0021145E"/>
    <w:rsid w:val="00211A31"/>
    <w:rsid w:val="00211A35"/>
    <w:rsid w:val="002122B9"/>
    <w:rsid w:val="002122CE"/>
    <w:rsid w:val="002123E3"/>
    <w:rsid w:val="002133A3"/>
    <w:rsid w:val="0021344A"/>
    <w:rsid w:val="00213573"/>
    <w:rsid w:val="002135A6"/>
    <w:rsid w:val="002135E1"/>
    <w:rsid w:val="00213791"/>
    <w:rsid w:val="00213858"/>
    <w:rsid w:val="00213B88"/>
    <w:rsid w:val="00213C52"/>
    <w:rsid w:val="00214617"/>
    <w:rsid w:val="002148D3"/>
    <w:rsid w:val="00214A6F"/>
    <w:rsid w:val="00214CA4"/>
    <w:rsid w:val="00214E66"/>
    <w:rsid w:val="002152E7"/>
    <w:rsid w:val="00215369"/>
    <w:rsid w:val="0021556E"/>
    <w:rsid w:val="00215DE8"/>
    <w:rsid w:val="00215F50"/>
    <w:rsid w:val="0021637F"/>
    <w:rsid w:val="00216568"/>
    <w:rsid w:val="002168EC"/>
    <w:rsid w:val="00216B1B"/>
    <w:rsid w:val="00216ED6"/>
    <w:rsid w:val="00217030"/>
    <w:rsid w:val="002175D0"/>
    <w:rsid w:val="00217620"/>
    <w:rsid w:val="002177C6"/>
    <w:rsid w:val="002177E0"/>
    <w:rsid w:val="00217846"/>
    <w:rsid w:val="00217B8F"/>
    <w:rsid w:val="00217E83"/>
    <w:rsid w:val="0022018A"/>
    <w:rsid w:val="002201FE"/>
    <w:rsid w:val="002202B8"/>
    <w:rsid w:val="0022039A"/>
    <w:rsid w:val="002203EF"/>
    <w:rsid w:val="00220464"/>
    <w:rsid w:val="00220559"/>
    <w:rsid w:val="002205FD"/>
    <w:rsid w:val="002208CD"/>
    <w:rsid w:val="00220A63"/>
    <w:rsid w:val="00220AE5"/>
    <w:rsid w:val="00220D48"/>
    <w:rsid w:val="00221054"/>
    <w:rsid w:val="002212D4"/>
    <w:rsid w:val="00221470"/>
    <w:rsid w:val="002214C3"/>
    <w:rsid w:val="002215F6"/>
    <w:rsid w:val="00221609"/>
    <w:rsid w:val="00221DE1"/>
    <w:rsid w:val="00221EB3"/>
    <w:rsid w:val="002222C0"/>
    <w:rsid w:val="00222317"/>
    <w:rsid w:val="002224A9"/>
    <w:rsid w:val="002224C1"/>
    <w:rsid w:val="0022267A"/>
    <w:rsid w:val="0022292C"/>
    <w:rsid w:val="00222B47"/>
    <w:rsid w:val="00222BF2"/>
    <w:rsid w:val="00222E96"/>
    <w:rsid w:val="0022328A"/>
    <w:rsid w:val="002232D7"/>
    <w:rsid w:val="00223644"/>
    <w:rsid w:val="00223646"/>
    <w:rsid w:val="00223740"/>
    <w:rsid w:val="00223856"/>
    <w:rsid w:val="00223A19"/>
    <w:rsid w:val="00223B39"/>
    <w:rsid w:val="00223D0A"/>
    <w:rsid w:val="00223DBE"/>
    <w:rsid w:val="00223FB4"/>
    <w:rsid w:val="00224027"/>
    <w:rsid w:val="0022403C"/>
    <w:rsid w:val="00224640"/>
    <w:rsid w:val="002246FE"/>
    <w:rsid w:val="00224785"/>
    <w:rsid w:val="0022486B"/>
    <w:rsid w:val="00224980"/>
    <w:rsid w:val="00225103"/>
    <w:rsid w:val="00225271"/>
    <w:rsid w:val="00225531"/>
    <w:rsid w:val="00225956"/>
    <w:rsid w:val="002260B1"/>
    <w:rsid w:val="00226393"/>
    <w:rsid w:val="00226709"/>
    <w:rsid w:val="00226E7A"/>
    <w:rsid w:val="002270B2"/>
    <w:rsid w:val="00227194"/>
    <w:rsid w:val="00227354"/>
    <w:rsid w:val="00227555"/>
    <w:rsid w:val="00227941"/>
    <w:rsid w:val="00227BEC"/>
    <w:rsid w:val="00227CBA"/>
    <w:rsid w:val="00230429"/>
    <w:rsid w:val="002304AB"/>
    <w:rsid w:val="00230A90"/>
    <w:rsid w:val="00230DFB"/>
    <w:rsid w:val="00230EBD"/>
    <w:rsid w:val="00231349"/>
    <w:rsid w:val="00231874"/>
    <w:rsid w:val="00231883"/>
    <w:rsid w:val="0023191C"/>
    <w:rsid w:val="00231B62"/>
    <w:rsid w:val="00231B9D"/>
    <w:rsid w:val="00231D64"/>
    <w:rsid w:val="002322ED"/>
    <w:rsid w:val="00232532"/>
    <w:rsid w:val="00232577"/>
    <w:rsid w:val="002327D5"/>
    <w:rsid w:val="0023286F"/>
    <w:rsid w:val="00232923"/>
    <w:rsid w:val="00233620"/>
    <w:rsid w:val="00233CB1"/>
    <w:rsid w:val="00233ED6"/>
    <w:rsid w:val="002342A5"/>
    <w:rsid w:val="002343FA"/>
    <w:rsid w:val="00234465"/>
    <w:rsid w:val="002346FC"/>
    <w:rsid w:val="0023499A"/>
    <w:rsid w:val="002349F3"/>
    <w:rsid w:val="00234C66"/>
    <w:rsid w:val="00234DDB"/>
    <w:rsid w:val="002352E1"/>
    <w:rsid w:val="002356E9"/>
    <w:rsid w:val="002358F0"/>
    <w:rsid w:val="00235CCB"/>
    <w:rsid w:val="00235F9F"/>
    <w:rsid w:val="00236233"/>
    <w:rsid w:val="00236400"/>
    <w:rsid w:val="00236633"/>
    <w:rsid w:val="0023696C"/>
    <w:rsid w:val="00236FCA"/>
    <w:rsid w:val="00237226"/>
    <w:rsid w:val="0023751B"/>
    <w:rsid w:val="00237665"/>
    <w:rsid w:val="00237B5C"/>
    <w:rsid w:val="00240513"/>
    <w:rsid w:val="00240CFB"/>
    <w:rsid w:val="00240E21"/>
    <w:rsid w:val="00240F73"/>
    <w:rsid w:val="00240FED"/>
    <w:rsid w:val="00241199"/>
    <w:rsid w:val="00241298"/>
    <w:rsid w:val="00241331"/>
    <w:rsid w:val="002414FD"/>
    <w:rsid w:val="00241642"/>
    <w:rsid w:val="0024168C"/>
    <w:rsid w:val="00241732"/>
    <w:rsid w:val="002418BF"/>
    <w:rsid w:val="0024212F"/>
    <w:rsid w:val="00242884"/>
    <w:rsid w:val="002433C3"/>
    <w:rsid w:val="00243760"/>
    <w:rsid w:val="00243CF3"/>
    <w:rsid w:val="00243CFD"/>
    <w:rsid w:val="00243DA3"/>
    <w:rsid w:val="00243DEF"/>
    <w:rsid w:val="00243F4C"/>
    <w:rsid w:val="00243F9A"/>
    <w:rsid w:val="00244729"/>
    <w:rsid w:val="00244913"/>
    <w:rsid w:val="00244A3F"/>
    <w:rsid w:val="00244B51"/>
    <w:rsid w:val="00244C47"/>
    <w:rsid w:val="002451D5"/>
    <w:rsid w:val="00245615"/>
    <w:rsid w:val="00245633"/>
    <w:rsid w:val="0024575E"/>
    <w:rsid w:val="0024588B"/>
    <w:rsid w:val="00245B25"/>
    <w:rsid w:val="00245D2E"/>
    <w:rsid w:val="00245D62"/>
    <w:rsid w:val="00245FD3"/>
    <w:rsid w:val="0024602B"/>
    <w:rsid w:val="002461FC"/>
    <w:rsid w:val="00246210"/>
    <w:rsid w:val="002465D7"/>
    <w:rsid w:val="002468C8"/>
    <w:rsid w:val="002468FA"/>
    <w:rsid w:val="0024691C"/>
    <w:rsid w:val="00246C2A"/>
    <w:rsid w:val="002470C0"/>
    <w:rsid w:val="0024727D"/>
    <w:rsid w:val="00247525"/>
    <w:rsid w:val="00247FBF"/>
    <w:rsid w:val="00250C9B"/>
    <w:rsid w:val="00250CEB"/>
    <w:rsid w:val="002515AB"/>
    <w:rsid w:val="00251606"/>
    <w:rsid w:val="002519BF"/>
    <w:rsid w:val="00251ABA"/>
    <w:rsid w:val="00251B02"/>
    <w:rsid w:val="00251BA6"/>
    <w:rsid w:val="00251C33"/>
    <w:rsid w:val="0025210B"/>
    <w:rsid w:val="0025261F"/>
    <w:rsid w:val="00252D57"/>
    <w:rsid w:val="00252E50"/>
    <w:rsid w:val="00253135"/>
    <w:rsid w:val="002532E2"/>
    <w:rsid w:val="002536F3"/>
    <w:rsid w:val="00253A37"/>
    <w:rsid w:val="00253E97"/>
    <w:rsid w:val="00253FD9"/>
    <w:rsid w:val="0025466F"/>
    <w:rsid w:val="002546CE"/>
    <w:rsid w:val="00254929"/>
    <w:rsid w:val="00254A55"/>
    <w:rsid w:val="00254C75"/>
    <w:rsid w:val="00254DB2"/>
    <w:rsid w:val="00255183"/>
    <w:rsid w:val="00255329"/>
    <w:rsid w:val="00255DB9"/>
    <w:rsid w:val="00255EA6"/>
    <w:rsid w:val="0025608B"/>
    <w:rsid w:val="002564D2"/>
    <w:rsid w:val="00256DDF"/>
    <w:rsid w:val="00256EC6"/>
    <w:rsid w:val="00256FB1"/>
    <w:rsid w:val="00257242"/>
    <w:rsid w:val="00257372"/>
    <w:rsid w:val="0025770F"/>
    <w:rsid w:val="00257794"/>
    <w:rsid w:val="002579D8"/>
    <w:rsid w:val="00257AAB"/>
    <w:rsid w:val="00257AB5"/>
    <w:rsid w:val="00257B60"/>
    <w:rsid w:val="002600A5"/>
    <w:rsid w:val="002603E7"/>
    <w:rsid w:val="00260727"/>
    <w:rsid w:val="00260A4D"/>
    <w:rsid w:val="00260B86"/>
    <w:rsid w:val="00260DEA"/>
    <w:rsid w:val="00260E3D"/>
    <w:rsid w:val="00260EF4"/>
    <w:rsid w:val="00261324"/>
    <w:rsid w:val="00261810"/>
    <w:rsid w:val="002618D5"/>
    <w:rsid w:val="00261B38"/>
    <w:rsid w:val="00261BA3"/>
    <w:rsid w:val="0026209A"/>
    <w:rsid w:val="002621D6"/>
    <w:rsid w:val="002625CB"/>
    <w:rsid w:val="00262733"/>
    <w:rsid w:val="0026291D"/>
    <w:rsid w:val="00262E62"/>
    <w:rsid w:val="00263092"/>
    <w:rsid w:val="00263313"/>
    <w:rsid w:val="00263804"/>
    <w:rsid w:val="00263BB4"/>
    <w:rsid w:val="00263BF2"/>
    <w:rsid w:val="00263CB1"/>
    <w:rsid w:val="0026457D"/>
    <w:rsid w:val="002645AB"/>
    <w:rsid w:val="0026463C"/>
    <w:rsid w:val="00264A18"/>
    <w:rsid w:val="00264B49"/>
    <w:rsid w:val="00264D60"/>
    <w:rsid w:val="00264E93"/>
    <w:rsid w:val="00265251"/>
    <w:rsid w:val="002657C1"/>
    <w:rsid w:val="00265A14"/>
    <w:rsid w:val="00265AB0"/>
    <w:rsid w:val="00265BB5"/>
    <w:rsid w:val="00265BC6"/>
    <w:rsid w:val="00265C94"/>
    <w:rsid w:val="00265E22"/>
    <w:rsid w:val="00265E41"/>
    <w:rsid w:val="00265E7F"/>
    <w:rsid w:val="002661AF"/>
    <w:rsid w:val="002661FC"/>
    <w:rsid w:val="00266A55"/>
    <w:rsid w:val="00266B82"/>
    <w:rsid w:val="00266D29"/>
    <w:rsid w:val="00266EBE"/>
    <w:rsid w:val="00266F2B"/>
    <w:rsid w:val="00267511"/>
    <w:rsid w:val="00267533"/>
    <w:rsid w:val="0026778F"/>
    <w:rsid w:val="00267B61"/>
    <w:rsid w:val="00267CE0"/>
    <w:rsid w:val="00267E89"/>
    <w:rsid w:val="002700C4"/>
    <w:rsid w:val="0027021A"/>
    <w:rsid w:val="00270573"/>
    <w:rsid w:val="00270845"/>
    <w:rsid w:val="002708F8"/>
    <w:rsid w:val="0027098F"/>
    <w:rsid w:val="00270A48"/>
    <w:rsid w:val="00270B8B"/>
    <w:rsid w:val="00271099"/>
    <w:rsid w:val="002710F5"/>
    <w:rsid w:val="002711BA"/>
    <w:rsid w:val="0027137D"/>
    <w:rsid w:val="00271558"/>
    <w:rsid w:val="002716EC"/>
    <w:rsid w:val="0027171A"/>
    <w:rsid w:val="00271CBA"/>
    <w:rsid w:val="00271E02"/>
    <w:rsid w:val="002722DE"/>
    <w:rsid w:val="002725F5"/>
    <w:rsid w:val="002727CB"/>
    <w:rsid w:val="00272ECE"/>
    <w:rsid w:val="00272FD7"/>
    <w:rsid w:val="002731CB"/>
    <w:rsid w:val="00273511"/>
    <w:rsid w:val="00273716"/>
    <w:rsid w:val="0027382A"/>
    <w:rsid w:val="00273A8C"/>
    <w:rsid w:val="002740C4"/>
    <w:rsid w:val="00274103"/>
    <w:rsid w:val="002741C3"/>
    <w:rsid w:val="0027434B"/>
    <w:rsid w:val="002745F7"/>
    <w:rsid w:val="00274E67"/>
    <w:rsid w:val="00275385"/>
    <w:rsid w:val="00275436"/>
    <w:rsid w:val="00275747"/>
    <w:rsid w:val="00275AC6"/>
    <w:rsid w:val="002762AE"/>
    <w:rsid w:val="002764B6"/>
    <w:rsid w:val="00276684"/>
    <w:rsid w:val="00276A4A"/>
    <w:rsid w:val="00276C06"/>
    <w:rsid w:val="00276CD2"/>
    <w:rsid w:val="00277050"/>
    <w:rsid w:val="00277405"/>
    <w:rsid w:val="00277630"/>
    <w:rsid w:val="002776C6"/>
    <w:rsid w:val="002800B6"/>
    <w:rsid w:val="0028034B"/>
    <w:rsid w:val="0028051C"/>
    <w:rsid w:val="00280797"/>
    <w:rsid w:val="00280B46"/>
    <w:rsid w:val="00280EEC"/>
    <w:rsid w:val="00281228"/>
    <w:rsid w:val="002818B5"/>
    <w:rsid w:val="00281A83"/>
    <w:rsid w:val="00281AE4"/>
    <w:rsid w:val="00281FB9"/>
    <w:rsid w:val="00281FDB"/>
    <w:rsid w:val="00282299"/>
    <w:rsid w:val="00282333"/>
    <w:rsid w:val="00282DD1"/>
    <w:rsid w:val="002831C2"/>
    <w:rsid w:val="0028323C"/>
    <w:rsid w:val="00283316"/>
    <w:rsid w:val="002837D1"/>
    <w:rsid w:val="002837E4"/>
    <w:rsid w:val="00283A66"/>
    <w:rsid w:val="00283B5E"/>
    <w:rsid w:val="00283C63"/>
    <w:rsid w:val="00283C89"/>
    <w:rsid w:val="0028417C"/>
    <w:rsid w:val="002841A1"/>
    <w:rsid w:val="002845FC"/>
    <w:rsid w:val="0028464A"/>
    <w:rsid w:val="00284859"/>
    <w:rsid w:val="00284920"/>
    <w:rsid w:val="00284D1A"/>
    <w:rsid w:val="00284F27"/>
    <w:rsid w:val="0028572C"/>
    <w:rsid w:val="00285B7D"/>
    <w:rsid w:val="00285EEF"/>
    <w:rsid w:val="002861D7"/>
    <w:rsid w:val="002864BA"/>
    <w:rsid w:val="002864DA"/>
    <w:rsid w:val="002865D7"/>
    <w:rsid w:val="002867DF"/>
    <w:rsid w:val="002870E7"/>
    <w:rsid w:val="0028751D"/>
    <w:rsid w:val="00287F4F"/>
    <w:rsid w:val="0029023F"/>
    <w:rsid w:val="00290756"/>
    <w:rsid w:val="002916FE"/>
    <w:rsid w:val="0029182F"/>
    <w:rsid w:val="00291A8C"/>
    <w:rsid w:val="00291E73"/>
    <w:rsid w:val="00291F7C"/>
    <w:rsid w:val="00292353"/>
    <w:rsid w:val="00292656"/>
    <w:rsid w:val="0029294B"/>
    <w:rsid w:val="00292F55"/>
    <w:rsid w:val="00293321"/>
    <w:rsid w:val="00293368"/>
    <w:rsid w:val="002933D6"/>
    <w:rsid w:val="00293404"/>
    <w:rsid w:val="002935AA"/>
    <w:rsid w:val="00293731"/>
    <w:rsid w:val="00293746"/>
    <w:rsid w:val="002937BB"/>
    <w:rsid w:val="002937F7"/>
    <w:rsid w:val="00293D63"/>
    <w:rsid w:val="00294103"/>
    <w:rsid w:val="00294564"/>
    <w:rsid w:val="00294637"/>
    <w:rsid w:val="00294AD6"/>
    <w:rsid w:val="00294BEF"/>
    <w:rsid w:val="00294CED"/>
    <w:rsid w:val="00294EE5"/>
    <w:rsid w:val="002950A1"/>
    <w:rsid w:val="002952E7"/>
    <w:rsid w:val="0029544F"/>
    <w:rsid w:val="00295594"/>
    <w:rsid w:val="00295738"/>
    <w:rsid w:val="0029580D"/>
    <w:rsid w:val="00295989"/>
    <w:rsid w:val="00295B85"/>
    <w:rsid w:val="00295F82"/>
    <w:rsid w:val="002964DF"/>
    <w:rsid w:val="00296664"/>
    <w:rsid w:val="00296878"/>
    <w:rsid w:val="00296CAB"/>
    <w:rsid w:val="00296CF7"/>
    <w:rsid w:val="00296F1F"/>
    <w:rsid w:val="00297050"/>
    <w:rsid w:val="002973AE"/>
    <w:rsid w:val="002977C0"/>
    <w:rsid w:val="00297892"/>
    <w:rsid w:val="00297A8F"/>
    <w:rsid w:val="00297BC3"/>
    <w:rsid w:val="00297F8C"/>
    <w:rsid w:val="002A0172"/>
    <w:rsid w:val="002A0337"/>
    <w:rsid w:val="002A033B"/>
    <w:rsid w:val="002A0342"/>
    <w:rsid w:val="002A0604"/>
    <w:rsid w:val="002A08C5"/>
    <w:rsid w:val="002A0A2B"/>
    <w:rsid w:val="002A0E33"/>
    <w:rsid w:val="002A1264"/>
    <w:rsid w:val="002A2035"/>
    <w:rsid w:val="002A2239"/>
    <w:rsid w:val="002A299D"/>
    <w:rsid w:val="002A2BC7"/>
    <w:rsid w:val="002A2CA6"/>
    <w:rsid w:val="002A2EE2"/>
    <w:rsid w:val="002A3024"/>
    <w:rsid w:val="002A398A"/>
    <w:rsid w:val="002A3995"/>
    <w:rsid w:val="002A39C7"/>
    <w:rsid w:val="002A3A4B"/>
    <w:rsid w:val="002A3DE4"/>
    <w:rsid w:val="002A4491"/>
    <w:rsid w:val="002A4632"/>
    <w:rsid w:val="002A4856"/>
    <w:rsid w:val="002A4CEE"/>
    <w:rsid w:val="002A4D3A"/>
    <w:rsid w:val="002A4D8F"/>
    <w:rsid w:val="002A5412"/>
    <w:rsid w:val="002A544C"/>
    <w:rsid w:val="002A548B"/>
    <w:rsid w:val="002A5526"/>
    <w:rsid w:val="002A5775"/>
    <w:rsid w:val="002A5B2B"/>
    <w:rsid w:val="002A61AC"/>
    <w:rsid w:val="002A64CC"/>
    <w:rsid w:val="002A65A7"/>
    <w:rsid w:val="002A685A"/>
    <w:rsid w:val="002A69AD"/>
    <w:rsid w:val="002A6A66"/>
    <w:rsid w:val="002A6B37"/>
    <w:rsid w:val="002A6F16"/>
    <w:rsid w:val="002A74AA"/>
    <w:rsid w:val="002A777F"/>
    <w:rsid w:val="002A7DDD"/>
    <w:rsid w:val="002A7EF1"/>
    <w:rsid w:val="002B038A"/>
    <w:rsid w:val="002B04EC"/>
    <w:rsid w:val="002B06D9"/>
    <w:rsid w:val="002B0C92"/>
    <w:rsid w:val="002B1241"/>
    <w:rsid w:val="002B130D"/>
    <w:rsid w:val="002B13C1"/>
    <w:rsid w:val="002B17D5"/>
    <w:rsid w:val="002B1D75"/>
    <w:rsid w:val="002B1DF0"/>
    <w:rsid w:val="002B1EBB"/>
    <w:rsid w:val="002B20A0"/>
    <w:rsid w:val="002B2290"/>
    <w:rsid w:val="002B25D7"/>
    <w:rsid w:val="002B2675"/>
    <w:rsid w:val="002B2717"/>
    <w:rsid w:val="002B29E6"/>
    <w:rsid w:val="002B2A9B"/>
    <w:rsid w:val="002B2C61"/>
    <w:rsid w:val="002B30A0"/>
    <w:rsid w:val="002B316E"/>
    <w:rsid w:val="002B32F2"/>
    <w:rsid w:val="002B3692"/>
    <w:rsid w:val="002B3BDA"/>
    <w:rsid w:val="002B42A6"/>
    <w:rsid w:val="002B4E5B"/>
    <w:rsid w:val="002B4F5A"/>
    <w:rsid w:val="002B540B"/>
    <w:rsid w:val="002B5B84"/>
    <w:rsid w:val="002B5CB0"/>
    <w:rsid w:val="002B5CF1"/>
    <w:rsid w:val="002B5F57"/>
    <w:rsid w:val="002B61AF"/>
    <w:rsid w:val="002B6511"/>
    <w:rsid w:val="002B671C"/>
    <w:rsid w:val="002B6A05"/>
    <w:rsid w:val="002B6A0A"/>
    <w:rsid w:val="002B769A"/>
    <w:rsid w:val="002B77F9"/>
    <w:rsid w:val="002B7A90"/>
    <w:rsid w:val="002B7BAD"/>
    <w:rsid w:val="002C01A6"/>
    <w:rsid w:val="002C08E4"/>
    <w:rsid w:val="002C10E2"/>
    <w:rsid w:val="002C14E9"/>
    <w:rsid w:val="002C1845"/>
    <w:rsid w:val="002C1BD1"/>
    <w:rsid w:val="002C1E3A"/>
    <w:rsid w:val="002C1F9B"/>
    <w:rsid w:val="002C20E5"/>
    <w:rsid w:val="002C2576"/>
    <w:rsid w:val="002C2B11"/>
    <w:rsid w:val="002C2E38"/>
    <w:rsid w:val="002C2F33"/>
    <w:rsid w:val="002C34D3"/>
    <w:rsid w:val="002C367A"/>
    <w:rsid w:val="002C3849"/>
    <w:rsid w:val="002C3897"/>
    <w:rsid w:val="002C3CB4"/>
    <w:rsid w:val="002C3D49"/>
    <w:rsid w:val="002C3F2B"/>
    <w:rsid w:val="002C42F5"/>
    <w:rsid w:val="002C4802"/>
    <w:rsid w:val="002C4CD5"/>
    <w:rsid w:val="002C5099"/>
    <w:rsid w:val="002C529F"/>
    <w:rsid w:val="002C54E9"/>
    <w:rsid w:val="002C561C"/>
    <w:rsid w:val="002C6795"/>
    <w:rsid w:val="002C68CF"/>
    <w:rsid w:val="002C6994"/>
    <w:rsid w:val="002C6A82"/>
    <w:rsid w:val="002C6A8E"/>
    <w:rsid w:val="002C70B8"/>
    <w:rsid w:val="002C7103"/>
    <w:rsid w:val="002C750C"/>
    <w:rsid w:val="002C790C"/>
    <w:rsid w:val="002C7DDA"/>
    <w:rsid w:val="002C7EF3"/>
    <w:rsid w:val="002C7F63"/>
    <w:rsid w:val="002D006B"/>
    <w:rsid w:val="002D03E3"/>
    <w:rsid w:val="002D06E6"/>
    <w:rsid w:val="002D06F7"/>
    <w:rsid w:val="002D0977"/>
    <w:rsid w:val="002D098B"/>
    <w:rsid w:val="002D0BE3"/>
    <w:rsid w:val="002D0D9A"/>
    <w:rsid w:val="002D0E2E"/>
    <w:rsid w:val="002D0EFD"/>
    <w:rsid w:val="002D100C"/>
    <w:rsid w:val="002D10D8"/>
    <w:rsid w:val="002D127C"/>
    <w:rsid w:val="002D14DF"/>
    <w:rsid w:val="002D1DFE"/>
    <w:rsid w:val="002D1E8D"/>
    <w:rsid w:val="002D2029"/>
    <w:rsid w:val="002D2470"/>
    <w:rsid w:val="002D2D97"/>
    <w:rsid w:val="002D313E"/>
    <w:rsid w:val="002D314F"/>
    <w:rsid w:val="002D36A7"/>
    <w:rsid w:val="002D372C"/>
    <w:rsid w:val="002D37CD"/>
    <w:rsid w:val="002D3AEB"/>
    <w:rsid w:val="002D3AED"/>
    <w:rsid w:val="002D3D8F"/>
    <w:rsid w:val="002D40BA"/>
    <w:rsid w:val="002D41BD"/>
    <w:rsid w:val="002D4B33"/>
    <w:rsid w:val="002D4C6C"/>
    <w:rsid w:val="002D51A9"/>
    <w:rsid w:val="002D5538"/>
    <w:rsid w:val="002D57F6"/>
    <w:rsid w:val="002D585D"/>
    <w:rsid w:val="002D59BD"/>
    <w:rsid w:val="002D5A64"/>
    <w:rsid w:val="002D6015"/>
    <w:rsid w:val="002D6114"/>
    <w:rsid w:val="002D6D64"/>
    <w:rsid w:val="002D6D7B"/>
    <w:rsid w:val="002D726F"/>
    <w:rsid w:val="002D74E2"/>
    <w:rsid w:val="002D7A83"/>
    <w:rsid w:val="002D7B9B"/>
    <w:rsid w:val="002E0042"/>
    <w:rsid w:val="002E0105"/>
    <w:rsid w:val="002E02A7"/>
    <w:rsid w:val="002E0553"/>
    <w:rsid w:val="002E06A4"/>
    <w:rsid w:val="002E07E2"/>
    <w:rsid w:val="002E08A8"/>
    <w:rsid w:val="002E09B1"/>
    <w:rsid w:val="002E0AC9"/>
    <w:rsid w:val="002E0AE0"/>
    <w:rsid w:val="002E0B7A"/>
    <w:rsid w:val="002E110E"/>
    <w:rsid w:val="002E1407"/>
    <w:rsid w:val="002E152E"/>
    <w:rsid w:val="002E1793"/>
    <w:rsid w:val="002E1918"/>
    <w:rsid w:val="002E1B70"/>
    <w:rsid w:val="002E2038"/>
    <w:rsid w:val="002E2924"/>
    <w:rsid w:val="002E294E"/>
    <w:rsid w:val="002E2AEB"/>
    <w:rsid w:val="002E2B5F"/>
    <w:rsid w:val="002E2EFF"/>
    <w:rsid w:val="002E35A9"/>
    <w:rsid w:val="002E35CD"/>
    <w:rsid w:val="002E39C5"/>
    <w:rsid w:val="002E3A99"/>
    <w:rsid w:val="002E3C58"/>
    <w:rsid w:val="002E3D27"/>
    <w:rsid w:val="002E409F"/>
    <w:rsid w:val="002E411E"/>
    <w:rsid w:val="002E423E"/>
    <w:rsid w:val="002E424B"/>
    <w:rsid w:val="002E469F"/>
    <w:rsid w:val="002E4956"/>
    <w:rsid w:val="002E4D41"/>
    <w:rsid w:val="002E54AC"/>
    <w:rsid w:val="002E555A"/>
    <w:rsid w:val="002E5DF6"/>
    <w:rsid w:val="002E5F35"/>
    <w:rsid w:val="002E68E5"/>
    <w:rsid w:val="002E6918"/>
    <w:rsid w:val="002E6C12"/>
    <w:rsid w:val="002E6D7B"/>
    <w:rsid w:val="002E74E4"/>
    <w:rsid w:val="002E7554"/>
    <w:rsid w:val="002E7670"/>
    <w:rsid w:val="002E768D"/>
    <w:rsid w:val="002E7C04"/>
    <w:rsid w:val="002F044D"/>
    <w:rsid w:val="002F0692"/>
    <w:rsid w:val="002F0AFE"/>
    <w:rsid w:val="002F0DD6"/>
    <w:rsid w:val="002F12CD"/>
    <w:rsid w:val="002F20C2"/>
    <w:rsid w:val="002F21A7"/>
    <w:rsid w:val="002F2E46"/>
    <w:rsid w:val="002F302A"/>
    <w:rsid w:val="002F3487"/>
    <w:rsid w:val="002F3627"/>
    <w:rsid w:val="002F37EE"/>
    <w:rsid w:val="002F37FB"/>
    <w:rsid w:val="002F3B53"/>
    <w:rsid w:val="002F3E6C"/>
    <w:rsid w:val="002F3F69"/>
    <w:rsid w:val="002F4251"/>
    <w:rsid w:val="002F472C"/>
    <w:rsid w:val="002F47B9"/>
    <w:rsid w:val="002F4901"/>
    <w:rsid w:val="002F4AA1"/>
    <w:rsid w:val="002F5765"/>
    <w:rsid w:val="002F5A00"/>
    <w:rsid w:val="002F5E68"/>
    <w:rsid w:val="002F5F2B"/>
    <w:rsid w:val="002F6157"/>
    <w:rsid w:val="002F6188"/>
    <w:rsid w:val="002F6327"/>
    <w:rsid w:val="002F679D"/>
    <w:rsid w:val="002F6A13"/>
    <w:rsid w:val="002F7079"/>
    <w:rsid w:val="002F753C"/>
    <w:rsid w:val="002F7AE7"/>
    <w:rsid w:val="002F7D26"/>
    <w:rsid w:val="002F7F7D"/>
    <w:rsid w:val="00300111"/>
    <w:rsid w:val="0030016C"/>
    <w:rsid w:val="003003AA"/>
    <w:rsid w:val="00300A28"/>
    <w:rsid w:val="00300C7C"/>
    <w:rsid w:val="00300D94"/>
    <w:rsid w:val="00300DF5"/>
    <w:rsid w:val="0030106F"/>
    <w:rsid w:val="003014EF"/>
    <w:rsid w:val="00301A5C"/>
    <w:rsid w:val="00301D6B"/>
    <w:rsid w:val="00301E79"/>
    <w:rsid w:val="00301EBC"/>
    <w:rsid w:val="00302061"/>
    <w:rsid w:val="003022B8"/>
    <w:rsid w:val="00302524"/>
    <w:rsid w:val="00302569"/>
    <w:rsid w:val="003025EB"/>
    <w:rsid w:val="00302801"/>
    <w:rsid w:val="00302F05"/>
    <w:rsid w:val="00302F60"/>
    <w:rsid w:val="00302F70"/>
    <w:rsid w:val="0030325A"/>
    <w:rsid w:val="003033C1"/>
    <w:rsid w:val="0030341E"/>
    <w:rsid w:val="00303EBC"/>
    <w:rsid w:val="00303FC8"/>
    <w:rsid w:val="0030408B"/>
    <w:rsid w:val="00304E46"/>
    <w:rsid w:val="00305025"/>
    <w:rsid w:val="003050D4"/>
    <w:rsid w:val="0030533C"/>
    <w:rsid w:val="00305D4C"/>
    <w:rsid w:val="00305DAB"/>
    <w:rsid w:val="00306025"/>
    <w:rsid w:val="003061AF"/>
    <w:rsid w:val="00306497"/>
    <w:rsid w:val="003065A6"/>
    <w:rsid w:val="003067AE"/>
    <w:rsid w:val="003067B6"/>
    <w:rsid w:val="0030680A"/>
    <w:rsid w:val="00306C57"/>
    <w:rsid w:val="003071A5"/>
    <w:rsid w:val="003073C2"/>
    <w:rsid w:val="00307A54"/>
    <w:rsid w:val="00307B04"/>
    <w:rsid w:val="00307C08"/>
    <w:rsid w:val="003102CA"/>
    <w:rsid w:val="00310ADE"/>
    <w:rsid w:val="00310B7A"/>
    <w:rsid w:val="00310BC7"/>
    <w:rsid w:val="00310C00"/>
    <w:rsid w:val="00310C11"/>
    <w:rsid w:val="00310E6C"/>
    <w:rsid w:val="003117BB"/>
    <w:rsid w:val="003117D4"/>
    <w:rsid w:val="00311ABC"/>
    <w:rsid w:val="00311B5C"/>
    <w:rsid w:val="00311C65"/>
    <w:rsid w:val="003126DD"/>
    <w:rsid w:val="003127C2"/>
    <w:rsid w:val="00312A7D"/>
    <w:rsid w:val="003135D7"/>
    <w:rsid w:val="003136AA"/>
    <w:rsid w:val="00313890"/>
    <w:rsid w:val="00313905"/>
    <w:rsid w:val="00313CC7"/>
    <w:rsid w:val="00313F57"/>
    <w:rsid w:val="0031420A"/>
    <w:rsid w:val="00314276"/>
    <w:rsid w:val="0031428C"/>
    <w:rsid w:val="0031433D"/>
    <w:rsid w:val="00314558"/>
    <w:rsid w:val="00314F69"/>
    <w:rsid w:val="0031507F"/>
    <w:rsid w:val="00315313"/>
    <w:rsid w:val="0031558B"/>
    <w:rsid w:val="00315A8D"/>
    <w:rsid w:val="00315BEA"/>
    <w:rsid w:val="00315DA5"/>
    <w:rsid w:val="00316187"/>
    <w:rsid w:val="003164D3"/>
    <w:rsid w:val="003165EC"/>
    <w:rsid w:val="0031664E"/>
    <w:rsid w:val="00316685"/>
    <w:rsid w:val="00316688"/>
    <w:rsid w:val="0031687E"/>
    <w:rsid w:val="00316921"/>
    <w:rsid w:val="00316B0F"/>
    <w:rsid w:val="0031701C"/>
    <w:rsid w:val="003170B8"/>
    <w:rsid w:val="00317598"/>
    <w:rsid w:val="00317675"/>
    <w:rsid w:val="00317AB1"/>
    <w:rsid w:val="00317CB0"/>
    <w:rsid w:val="00317D26"/>
    <w:rsid w:val="00320104"/>
    <w:rsid w:val="00320126"/>
    <w:rsid w:val="0032016C"/>
    <w:rsid w:val="003205A7"/>
    <w:rsid w:val="00320725"/>
    <w:rsid w:val="00320842"/>
    <w:rsid w:val="00320884"/>
    <w:rsid w:val="003208C8"/>
    <w:rsid w:val="00320B55"/>
    <w:rsid w:val="00320C2B"/>
    <w:rsid w:val="0032111F"/>
    <w:rsid w:val="003211DB"/>
    <w:rsid w:val="00321B6E"/>
    <w:rsid w:val="00321D7A"/>
    <w:rsid w:val="00321DBB"/>
    <w:rsid w:val="0032277E"/>
    <w:rsid w:val="0032278C"/>
    <w:rsid w:val="003227D0"/>
    <w:rsid w:val="003228A8"/>
    <w:rsid w:val="003229B0"/>
    <w:rsid w:val="003229D6"/>
    <w:rsid w:val="00322A01"/>
    <w:rsid w:val="00322C87"/>
    <w:rsid w:val="00322D3D"/>
    <w:rsid w:val="0032379D"/>
    <w:rsid w:val="00323E86"/>
    <w:rsid w:val="00323F1B"/>
    <w:rsid w:val="00324755"/>
    <w:rsid w:val="003247A5"/>
    <w:rsid w:val="00324A74"/>
    <w:rsid w:val="00324ACD"/>
    <w:rsid w:val="00324E32"/>
    <w:rsid w:val="0032573F"/>
    <w:rsid w:val="00325B7E"/>
    <w:rsid w:val="00325BC5"/>
    <w:rsid w:val="00325F87"/>
    <w:rsid w:val="00326144"/>
    <w:rsid w:val="003263EE"/>
    <w:rsid w:val="00326CCD"/>
    <w:rsid w:val="00326D82"/>
    <w:rsid w:val="00326F39"/>
    <w:rsid w:val="0032748E"/>
    <w:rsid w:val="003274C4"/>
    <w:rsid w:val="00327548"/>
    <w:rsid w:val="00327655"/>
    <w:rsid w:val="00327AA3"/>
    <w:rsid w:val="00327C00"/>
    <w:rsid w:val="00327E84"/>
    <w:rsid w:val="00330568"/>
    <w:rsid w:val="00330BB0"/>
    <w:rsid w:val="00330E51"/>
    <w:rsid w:val="00331139"/>
    <w:rsid w:val="003313CD"/>
    <w:rsid w:val="0033169B"/>
    <w:rsid w:val="003316E0"/>
    <w:rsid w:val="00331A0A"/>
    <w:rsid w:val="00331AFA"/>
    <w:rsid w:val="00331BB9"/>
    <w:rsid w:val="00332050"/>
    <w:rsid w:val="003324D8"/>
    <w:rsid w:val="00332659"/>
    <w:rsid w:val="003328B1"/>
    <w:rsid w:val="00332ADD"/>
    <w:rsid w:val="00332CEF"/>
    <w:rsid w:val="003331B1"/>
    <w:rsid w:val="003332D8"/>
    <w:rsid w:val="0033339E"/>
    <w:rsid w:val="00333AEF"/>
    <w:rsid w:val="00333F54"/>
    <w:rsid w:val="00334049"/>
    <w:rsid w:val="003344A0"/>
    <w:rsid w:val="00334872"/>
    <w:rsid w:val="003349E4"/>
    <w:rsid w:val="00334F82"/>
    <w:rsid w:val="003357B8"/>
    <w:rsid w:val="00335951"/>
    <w:rsid w:val="00335A9D"/>
    <w:rsid w:val="00335D87"/>
    <w:rsid w:val="00335E74"/>
    <w:rsid w:val="0033617A"/>
    <w:rsid w:val="0033633B"/>
    <w:rsid w:val="00336B23"/>
    <w:rsid w:val="00337057"/>
    <w:rsid w:val="00337751"/>
    <w:rsid w:val="00337949"/>
    <w:rsid w:val="00337996"/>
    <w:rsid w:val="003400F1"/>
    <w:rsid w:val="003400F8"/>
    <w:rsid w:val="00340582"/>
    <w:rsid w:val="003407FE"/>
    <w:rsid w:val="00340880"/>
    <w:rsid w:val="00340915"/>
    <w:rsid w:val="003409E7"/>
    <w:rsid w:val="00340A59"/>
    <w:rsid w:val="00340BAF"/>
    <w:rsid w:val="003413FF"/>
    <w:rsid w:val="003416B9"/>
    <w:rsid w:val="00341EE0"/>
    <w:rsid w:val="003421C5"/>
    <w:rsid w:val="00342261"/>
    <w:rsid w:val="00342417"/>
    <w:rsid w:val="003428E1"/>
    <w:rsid w:val="0034299D"/>
    <w:rsid w:val="00342B50"/>
    <w:rsid w:val="00343C4E"/>
    <w:rsid w:val="00343D0F"/>
    <w:rsid w:val="00343F50"/>
    <w:rsid w:val="0034400A"/>
    <w:rsid w:val="0034455B"/>
    <w:rsid w:val="00344770"/>
    <w:rsid w:val="0034478D"/>
    <w:rsid w:val="00344829"/>
    <w:rsid w:val="00344BEB"/>
    <w:rsid w:val="00344D3E"/>
    <w:rsid w:val="00344E0F"/>
    <w:rsid w:val="00344E67"/>
    <w:rsid w:val="00344FC7"/>
    <w:rsid w:val="0034506F"/>
    <w:rsid w:val="003450D3"/>
    <w:rsid w:val="00345204"/>
    <w:rsid w:val="00345441"/>
    <w:rsid w:val="00345510"/>
    <w:rsid w:val="0034567D"/>
    <w:rsid w:val="00345D9B"/>
    <w:rsid w:val="00346043"/>
    <w:rsid w:val="00346145"/>
    <w:rsid w:val="00346BC6"/>
    <w:rsid w:val="00346D38"/>
    <w:rsid w:val="0034730B"/>
    <w:rsid w:val="003475B1"/>
    <w:rsid w:val="00347AF3"/>
    <w:rsid w:val="0035005A"/>
    <w:rsid w:val="003501CA"/>
    <w:rsid w:val="00350290"/>
    <w:rsid w:val="00350780"/>
    <w:rsid w:val="00350811"/>
    <w:rsid w:val="00350A42"/>
    <w:rsid w:val="00350E97"/>
    <w:rsid w:val="00351221"/>
    <w:rsid w:val="003512D3"/>
    <w:rsid w:val="00351C65"/>
    <w:rsid w:val="00351DB5"/>
    <w:rsid w:val="0035202C"/>
    <w:rsid w:val="0035238E"/>
    <w:rsid w:val="003530A8"/>
    <w:rsid w:val="00353219"/>
    <w:rsid w:val="00353B49"/>
    <w:rsid w:val="00353EC7"/>
    <w:rsid w:val="003541DD"/>
    <w:rsid w:val="00354252"/>
    <w:rsid w:val="003544F4"/>
    <w:rsid w:val="00354548"/>
    <w:rsid w:val="003549CA"/>
    <w:rsid w:val="00354C55"/>
    <w:rsid w:val="00354C64"/>
    <w:rsid w:val="00354C94"/>
    <w:rsid w:val="00354CB4"/>
    <w:rsid w:val="00354EEC"/>
    <w:rsid w:val="0035527A"/>
    <w:rsid w:val="0035556F"/>
    <w:rsid w:val="00355625"/>
    <w:rsid w:val="00355A36"/>
    <w:rsid w:val="00355A98"/>
    <w:rsid w:val="00355D8D"/>
    <w:rsid w:val="00355DB2"/>
    <w:rsid w:val="00355EAF"/>
    <w:rsid w:val="00355F1B"/>
    <w:rsid w:val="00356158"/>
    <w:rsid w:val="003561CE"/>
    <w:rsid w:val="003563F7"/>
    <w:rsid w:val="0035689F"/>
    <w:rsid w:val="00356CAA"/>
    <w:rsid w:val="003570F6"/>
    <w:rsid w:val="003573C7"/>
    <w:rsid w:val="00357814"/>
    <w:rsid w:val="00357AFC"/>
    <w:rsid w:val="00357DCE"/>
    <w:rsid w:val="00357DF6"/>
    <w:rsid w:val="00357F55"/>
    <w:rsid w:val="00357FF4"/>
    <w:rsid w:val="0036039C"/>
    <w:rsid w:val="00360716"/>
    <w:rsid w:val="00360F5E"/>
    <w:rsid w:val="0036103F"/>
    <w:rsid w:val="003612EE"/>
    <w:rsid w:val="0036132E"/>
    <w:rsid w:val="003615E7"/>
    <w:rsid w:val="00361968"/>
    <w:rsid w:val="00361E61"/>
    <w:rsid w:val="003621AC"/>
    <w:rsid w:val="0036247B"/>
    <w:rsid w:val="003629AC"/>
    <w:rsid w:val="003629D9"/>
    <w:rsid w:val="00362BD9"/>
    <w:rsid w:val="00362DA0"/>
    <w:rsid w:val="00363101"/>
    <w:rsid w:val="003638B3"/>
    <w:rsid w:val="003639BB"/>
    <w:rsid w:val="003639DD"/>
    <w:rsid w:val="00363A36"/>
    <w:rsid w:val="00363B59"/>
    <w:rsid w:val="00363D8B"/>
    <w:rsid w:val="00363DA8"/>
    <w:rsid w:val="003640FA"/>
    <w:rsid w:val="003643E2"/>
    <w:rsid w:val="00364593"/>
    <w:rsid w:val="0036470D"/>
    <w:rsid w:val="00364924"/>
    <w:rsid w:val="0036494C"/>
    <w:rsid w:val="00364BB5"/>
    <w:rsid w:val="00364F36"/>
    <w:rsid w:val="00365218"/>
    <w:rsid w:val="00365395"/>
    <w:rsid w:val="0036562B"/>
    <w:rsid w:val="00365D03"/>
    <w:rsid w:val="00366057"/>
    <w:rsid w:val="0036614F"/>
    <w:rsid w:val="003664EE"/>
    <w:rsid w:val="00366540"/>
    <w:rsid w:val="003665D7"/>
    <w:rsid w:val="00366758"/>
    <w:rsid w:val="003667FF"/>
    <w:rsid w:val="00366A68"/>
    <w:rsid w:val="00366E44"/>
    <w:rsid w:val="00367598"/>
    <w:rsid w:val="00367A48"/>
    <w:rsid w:val="00370403"/>
    <w:rsid w:val="00370538"/>
    <w:rsid w:val="00370618"/>
    <w:rsid w:val="0037074D"/>
    <w:rsid w:val="00370B0A"/>
    <w:rsid w:val="00370DE0"/>
    <w:rsid w:val="003710AA"/>
    <w:rsid w:val="003711AD"/>
    <w:rsid w:val="0037155F"/>
    <w:rsid w:val="003715C9"/>
    <w:rsid w:val="0037188E"/>
    <w:rsid w:val="00371C79"/>
    <w:rsid w:val="00371EDB"/>
    <w:rsid w:val="00371EEA"/>
    <w:rsid w:val="00372297"/>
    <w:rsid w:val="003724E8"/>
    <w:rsid w:val="00372AD8"/>
    <w:rsid w:val="00372DF2"/>
    <w:rsid w:val="003733E6"/>
    <w:rsid w:val="00373615"/>
    <w:rsid w:val="00373B9E"/>
    <w:rsid w:val="00373EDB"/>
    <w:rsid w:val="003740B3"/>
    <w:rsid w:val="0037498D"/>
    <w:rsid w:val="00374B04"/>
    <w:rsid w:val="00374B39"/>
    <w:rsid w:val="0037549E"/>
    <w:rsid w:val="00375998"/>
    <w:rsid w:val="00375A8F"/>
    <w:rsid w:val="00375A9D"/>
    <w:rsid w:val="00375C19"/>
    <w:rsid w:val="00376261"/>
    <w:rsid w:val="0037645F"/>
    <w:rsid w:val="003766C9"/>
    <w:rsid w:val="0037688D"/>
    <w:rsid w:val="00376A2A"/>
    <w:rsid w:val="00376E28"/>
    <w:rsid w:val="003771C0"/>
    <w:rsid w:val="00377577"/>
    <w:rsid w:val="00377A00"/>
    <w:rsid w:val="003802B0"/>
    <w:rsid w:val="00380424"/>
    <w:rsid w:val="00380474"/>
    <w:rsid w:val="0038064E"/>
    <w:rsid w:val="00380802"/>
    <w:rsid w:val="003808DA"/>
    <w:rsid w:val="003809E2"/>
    <w:rsid w:val="00380E4A"/>
    <w:rsid w:val="00380F1F"/>
    <w:rsid w:val="0038115D"/>
    <w:rsid w:val="003812D7"/>
    <w:rsid w:val="00381803"/>
    <w:rsid w:val="00381823"/>
    <w:rsid w:val="0038196C"/>
    <w:rsid w:val="0038229F"/>
    <w:rsid w:val="0038292B"/>
    <w:rsid w:val="0038293E"/>
    <w:rsid w:val="00382CDA"/>
    <w:rsid w:val="0038328B"/>
    <w:rsid w:val="003836DC"/>
    <w:rsid w:val="003837A4"/>
    <w:rsid w:val="00383B02"/>
    <w:rsid w:val="00383B1C"/>
    <w:rsid w:val="00383CD5"/>
    <w:rsid w:val="00383E2E"/>
    <w:rsid w:val="00383E68"/>
    <w:rsid w:val="003840CB"/>
    <w:rsid w:val="00384490"/>
    <w:rsid w:val="003844D6"/>
    <w:rsid w:val="0038480D"/>
    <w:rsid w:val="0038487E"/>
    <w:rsid w:val="00384946"/>
    <w:rsid w:val="00384B8A"/>
    <w:rsid w:val="0038532A"/>
    <w:rsid w:val="003853BE"/>
    <w:rsid w:val="003855C6"/>
    <w:rsid w:val="00385926"/>
    <w:rsid w:val="00385C18"/>
    <w:rsid w:val="00385CE6"/>
    <w:rsid w:val="0038641D"/>
    <w:rsid w:val="003868BD"/>
    <w:rsid w:val="00386A7F"/>
    <w:rsid w:val="00386C7D"/>
    <w:rsid w:val="00386CDA"/>
    <w:rsid w:val="00387400"/>
    <w:rsid w:val="0038782D"/>
    <w:rsid w:val="0038798C"/>
    <w:rsid w:val="00387A47"/>
    <w:rsid w:val="0039037B"/>
    <w:rsid w:val="0039059A"/>
    <w:rsid w:val="003908D4"/>
    <w:rsid w:val="00390929"/>
    <w:rsid w:val="003909EC"/>
    <w:rsid w:val="00390AD4"/>
    <w:rsid w:val="00390F01"/>
    <w:rsid w:val="0039186B"/>
    <w:rsid w:val="00391914"/>
    <w:rsid w:val="003924BC"/>
    <w:rsid w:val="00392612"/>
    <w:rsid w:val="003929A0"/>
    <w:rsid w:val="00392DE4"/>
    <w:rsid w:val="00392F88"/>
    <w:rsid w:val="003934E6"/>
    <w:rsid w:val="0039353F"/>
    <w:rsid w:val="0039359F"/>
    <w:rsid w:val="00393614"/>
    <w:rsid w:val="00393686"/>
    <w:rsid w:val="0039373B"/>
    <w:rsid w:val="003938B6"/>
    <w:rsid w:val="0039399A"/>
    <w:rsid w:val="00393DFD"/>
    <w:rsid w:val="003940DF"/>
    <w:rsid w:val="00394329"/>
    <w:rsid w:val="00394772"/>
    <w:rsid w:val="0039477B"/>
    <w:rsid w:val="003948F5"/>
    <w:rsid w:val="00394A70"/>
    <w:rsid w:val="0039550E"/>
    <w:rsid w:val="0039559E"/>
    <w:rsid w:val="00395888"/>
    <w:rsid w:val="003959DA"/>
    <w:rsid w:val="00395AB5"/>
    <w:rsid w:val="00395BAF"/>
    <w:rsid w:val="00395BB0"/>
    <w:rsid w:val="00395DB0"/>
    <w:rsid w:val="00395F36"/>
    <w:rsid w:val="0039650F"/>
    <w:rsid w:val="00396850"/>
    <w:rsid w:val="00396D5E"/>
    <w:rsid w:val="00396DA8"/>
    <w:rsid w:val="003971B1"/>
    <w:rsid w:val="003978DE"/>
    <w:rsid w:val="003978E1"/>
    <w:rsid w:val="00397B03"/>
    <w:rsid w:val="00397CBF"/>
    <w:rsid w:val="003A0C2D"/>
    <w:rsid w:val="003A147D"/>
    <w:rsid w:val="003A1613"/>
    <w:rsid w:val="003A18CC"/>
    <w:rsid w:val="003A1BA5"/>
    <w:rsid w:val="003A2658"/>
    <w:rsid w:val="003A2D81"/>
    <w:rsid w:val="003A2F67"/>
    <w:rsid w:val="003A3114"/>
    <w:rsid w:val="003A3409"/>
    <w:rsid w:val="003A3455"/>
    <w:rsid w:val="003A3CBA"/>
    <w:rsid w:val="003A404C"/>
    <w:rsid w:val="003A4500"/>
    <w:rsid w:val="003A495F"/>
    <w:rsid w:val="003A508F"/>
    <w:rsid w:val="003A5255"/>
    <w:rsid w:val="003A569B"/>
    <w:rsid w:val="003A57A6"/>
    <w:rsid w:val="003A5E18"/>
    <w:rsid w:val="003A5F88"/>
    <w:rsid w:val="003A5FB2"/>
    <w:rsid w:val="003A66CA"/>
    <w:rsid w:val="003A6726"/>
    <w:rsid w:val="003A67C7"/>
    <w:rsid w:val="003A6B7E"/>
    <w:rsid w:val="003A714B"/>
    <w:rsid w:val="003A7504"/>
    <w:rsid w:val="003A7559"/>
    <w:rsid w:val="003A78FC"/>
    <w:rsid w:val="003A791F"/>
    <w:rsid w:val="003A7A2F"/>
    <w:rsid w:val="003A7E2F"/>
    <w:rsid w:val="003A7EA2"/>
    <w:rsid w:val="003B0513"/>
    <w:rsid w:val="003B0FD1"/>
    <w:rsid w:val="003B14CC"/>
    <w:rsid w:val="003B17E3"/>
    <w:rsid w:val="003B194F"/>
    <w:rsid w:val="003B1B21"/>
    <w:rsid w:val="003B20E8"/>
    <w:rsid w:val="003B2172"/>
    <w:rsid w:val="003B23D3"/>
    <w:rsid w:val="003B23E0"/>
    <w:rsid w:val="003B25E6"/>
    <w:rsid w:val="003B2614"/>
    <w:rsid w:val="003B26F5"/>
    <w:rsid w:val="003B313B"/>
    <w:rsid w:val="003B32BC"/>
    <w:rsid w:val="003B3F52"/>
    <w:rsid w:val="003B4394"/>
    <w:rsid w:val="003B4B7B"/>
    <w:rsid w:val="003B4C76"/>
    <w:rsid w:val="003B4CED"/>
    <w:rsid w:val="003B5658"/>
    <w:rsid w:val="003B5EF4"/>
    <w:rsid w:val="003B6408"/>
    <w:rsid w:val="003B64B8"/>
    <w:rsid w:val="003B6614"/>
    <w:rsid w:val="003B6CA0"/>
    <w:rsid w:val="003B6F1E"/>
    <w:rsid w:val="003B7073"/>
    <w:rsid w:val="003B73F3"/>
    <w:rsid w:val="003B7431"/>
    <w:rsid w:val="003B7512"/>
    <w:rsid w:val="003B7517"/>
    <w:rsid w:val="003B7623"/>
    <w:rsid w:val="003B78F9"/>
    <w:rsid w:val="003B7A06"/>
    <w:rsid w:val="003B7F09"/>
    <w:rsid w:val="003C099A"/>
    <w:rsid w:val="003C0D55"/>
    <w:rsid w:val="003C125C"/>
    <w:rsid w:val="003C12B4"/>
    <w:rsid w:val="003C12E7"/>
    <w:rsid w:val="003C1830"/>
    <w:rsid w:val="003C1A13"/>
    <w:rsid w:val="003C1C40"/>
    <w:rsid w:val="003C2322"/>
    <w:rsid w:val="003C2859"/>
    <w:rsid w:val="003C29F4"/>
    <w:rsid w:val="003C2CBB"/>
    <w:rsid w:val="003C321D"/>
    <w:rsid w:val="003C33AC"/>
    <w:rsid w:val="003C3444"/>
    <w:rsid w:val="003C36CC"/>
    <w:rsid w:val="003C3900"/>
    <w:rsid w:val="003C3E9D"/>
    <w:rsid w:val="003C3F96"/>
    <w:rsid w:val="003C4683"/>
    <w:rsid w:val="003C4B7A"/>
    <w:rsid w:val="003C4CF5"/>
    <w:rsid w:val="003C4D27"/>
    <w:rsid w:val="003C4F45"/>
    <w:rsid w:val="003C4FC7"/>
    <w:rsid w:val="003C51D2"/>
    <w:rsid w:val="003C5517"/>
    <w:rsid w:val="003C5577"/>
    <w:rsid w:val="003C558F"/>
    <w:rsid w:val="003C56ED"/>
    <w:rsid w:val="003C5D59"/>
    <w:rsid w:val="003C5DC0"/>
    <w:rsid w:val="003C60D2"/>
    <w:rsid w:val="003C6275"/>
    <w:rsid w:val="003C62EE"/>
    <w:rsid w:val="003C67B0"/>
    <w:rsid w:val="003C6CF5"/>
    <w:rsid w:val="003C7261"/>
    <w:rsid w:val="003C7440"/>
    <w:rsid w:val="003C7728"/>
    <w:rsid w:val="003C7892"/>
    <w:rsid w:val="003C799A"/>
    <w:rsid w:val="003C7A70"/>
    <w:rsid w:val="003C7CCB"/>
    <w:rsid w:val="003D07D2"/>
    <w:rsid w:val="003D0BB1"/>
    <w:rsid w:val="003D0BBA"/>
    <w:rsid w:val="003D0BF5"/>
    <w:rsid w:val="003D0C2B"/>
    <w:rsid w:val="003D12B3"/>
    <w:rsid w:val="003D184F"/>
    <w:rsid w:val="003D1A9C"/>
    <w:rsid w:val="003D1CA5"/>
    <w:rsid w:val="003D1E73"/>
    <w:rsid w:val="003D2161"/>
    <w:rsid w:val="003D21A3"/>
    <w:rsid w:val="003D28EA"/>
    <w:rsid w:val="003D2C59"/>
    <w:rsid w:val="003D309C"/>
    <w:rsid w:val="003D30D6"/>
    <w:rsid w:val="003D323B"/>
    <w:rsid w:val="003D345F"/>
    <w:rsid w:val="003D3460"/>
    <w:rsid w:val="003D34E7"/>
    <w:rsid w:val="003D3583"/>
    <w:rsid w:val="003D35C6"/>
    <w:rsid w:val="003D3773"/>
    <w:rsid w:val="003D3799"/>
    <w:rsid w:val="003D3998"/>
    <w:rsid w:val="003D4038"/>
    <w:rsid w:val="003D42AB"/>
    <w:rsid w:val="003D4423"/>
    <w:rsid w:val="003D4590"/>
    <w:rsid w:val="003D4683"/>
    <w:rsid w:val="003D4729"/>
    <w:rsid w:val="003D4745"/>
    <w:rsid w:val="003D48A7"/>
    <w:rsid w:val="003D49AE"/>
    <w:rsid w:val="003D49C0"/>
    <w:rsid w:val="003D4E1D"/>
    <w:rsid w:val="003D4E78"/>
    <w:rsid w:val="003D5011"/>
    <w:rsid w:val="003D506C"/>
    <w:rsid w:val="003D52E5"/>
    <w:rsid w:val="003D54A5"/>
    <w:rsid w:val="003D560A"/>
    <w:rsid w:val="003D56DC"/>
    <w:rsid w:val="003D57F9"/>
    <w:rsid w:val="003D5BDF"/>
    <w:rsid w:val="003D5E60"/>
    <w:rsid w:val="003D60B3"/>
    <w:rsid w:val="003D640F"/>
    <w:rsid w:val="003D6973"/>
    <w:rsid w:val="003D698B"/>
    <w:rsid w:val="003D69B2"/>
    <w:rsid w:val="003D69DE"/>
    <w:rsid w:val="003D6D3D"/>
    <w:rsid w:val="003D6D45"/>
    <w:rsid w:val="003D6D5D"/>
    <w:rsid w:val="003D7589"/>
    <w:rsid w:val="003D790E"/>
    <w:rsid w:val="003D79DF"/>
    <w:rsid w:val="003E01A2"/>
    <w:rsid w:val="003E06FB"/>
    <w:rsid w:val="003E0AB6"/>
    <w:rsid w:val="003E0ADA"/>
    <w:rsid w:val="003E0BDA"/>
    <w:rsid w:val="003E0C22"/>
    <w:rsid w:val="003E0D2F"/>
    <w:rsid w:val="003E10F2"/>
    <w:rsid w:val="003E124C"/>
    <w:rsid w:val="003E1A3A"/>
    <w:rsid w:val="003E1AF4"/>
    <w:rsid w:val="003E1D3B"/>
    <w:rsid w:val="003E22A4"/>
    <w:rsid w:val="003E244D"/>
    <w:rsid w:val="003E28D9"/>
    <w:rsid w:val="003E2A4A"/>
    <w:rsid w:val="003E2B33"/>
    <w:rsid w:val="003E2EF8"/>
    <w:rsid w:val="003E337E"/>
    <w:rsid w:val="003E3517"/>
    <w:rsid w:val="003E36C3"/>
    <w:rsid w:val="003E3A25"/>
    <w:rsid w:val="003E3A70"/>
    <w:rsid w:val="003E3C2D"/>
    <w:rsid w:val="003E3D58"/>
    <w:rsid w:val="003E3DD0"/>
    <w:rsid w:val="003E4293"/>
    <w:rsid w:val="003E48FE"/>
    <w:rsid w:val="003E4C22"/>
    <w:rsid w:val="003E4EEC"/>
    <w:rsid w:val="003E51E1"/>
    <w:rsid w:val="003E591E"/>
    <w:rsid w:val="003E5A20"/>
    <w:rsid w:val="003E638F"/>
    <w:rsid w:val="003E6507"/>
    <w:rsid w:val="003E7373"/>
    <w:rsid w:val="003E781A"/>
    <w:rsid w:val="003E7AA5"/>
    <w:rsid w:val="003E7C5B"/>
    <w:rsid w:val="003E7D78"/>
    <w:rsid w:val="003F010B"/>
    <w:rsid w:val="003F036B"/>
    <w:rsid w:val="003F07B5"/>
    <w:rsid w:val="003F0D3C"/>
    <w:rsid w:val="003F0EAE"/>
    <w:rsid w:val="003F0FEA"/>
    <w:rsid w:val="003F11AC"/>
    <w:rsid w:val="003F1355"/>
    <w:rsid w:val="003F1C79"/>
    <w:rsid w:val="003F1E85"/>
    <w:rsid w:val="003F20C8"/>
    <w:rsid w:val="003F2227"/>
    <w:rsid w:val="003F26D9"/>
    <w:rsid w:val="003F28AF"/>
    <w:rsid w:val="003F2B79"/>
    <w:rsid w:val="003F2B9F"/>
    <w:rsid w:val="003F2C62"/>
    <w:rsid w:val="003F2DFF"/>
    <w:rsid w:val="003F2E04"/>
    <w:rsid w:val="003F2F00"/>
    <w:rsid w:val="003F2F59"/>
    <w:rsid w:val="003F3095"/>
    <w:rsid w:val="003F31F1"/>
    <w:rsid w:val="003F360A"/>
    <w:rsid w:val="003F3649"/>
    <w:rsid w:val="003F3877"/>
    <w:rsid w:val="003F38AC"/>
    <w:rsid w:val="003F3969"/>
    <w:rsid w:val="003F3A5D"/>
    <w:rsid w:val="003F3DFA"/>
    <w:rsid w:val="003F3E3B"/>
    <w:rsid w:val="003F4021"/>
    <w:rsid w:val="003F4721"/>
    <w:rsid w:val="003F4A98"/>
    <w:rsid w:val="003F4DB8"/>
    <w:rsid w:val="003F4F01"/>
    <w:rsid w:val="003F51A1"/>
    <w:rsid w:val="003F54F7"/>
    <w:rsid w:val="003F5911"/>
    <w:rsid w:val="003F5A4A"/>
    <w:rsid w:val="003F5CD6"/>
    <w:rsid w:val="003F5E2F"/>
    <w:rsid w:val="003F69DA"/>
    <w:rsid w:val="003F6B42"/>
    <w:rsid w:val="003F6EC7"/>
    <w:rsid w:val="003F77AE"/>
    <w:rsid w:val="003F7B7E"/>
    <w:rsid w:val="00400446"/>
    <w:rsid w:val="0040061A"/>
    <w:rsid w:val="004008A6"/>
    <w:rsid w:val="00401115"/>
    <w:rsid w:val="00401214"/>
    <w:rsid w:val="00401D01"/>
    <w:rsid w:val="00401D36"/>
    <w:rsid w:val="00401E33"/>
    <w:rsid w:val="0040220D"/>
    <w:rsid w:val="004024C2"/>
    <w:rsid w:val="00402772"/>
    <w:rsid w:val="004028ED"/>
    <w:rsid w:val="00402C68"/>
    <w:rsid w:val="00403060"/>
    <w:rsid w:val="00403236"/>
    <w:rsid w:val="004037D2"/>
    <w:rsid w:val="00403ECD"/>
    <w:rsid w:val="00404004"/>
    <w:rsid w:val="00404058"/>
    <w:rsid w:val="004041F8"/>
    <w:rsid w:val="00404300"/>
    <w:rsid w:val="00404555"/>
    <w:rsid w:val="004046D2"/>
    <w:rsid w:val="004048A4"/>
    <w:rsid w:val="00404E69"/>
    <w:rsid w:val="00404FE8"/>
    <w:rsid w:val="00405084"/>
    <w:rsid w:val="0040562B"/>
    <w:rsid w:val="004058F6"/>
    <w:rsid w:val="00406075"/>
    <w:rsid w:val="0040622A"/>
    <w:rsid w:val="00406D94"/>
    <w:rsid w:val="00406DA6"/>
    <w:rsid w:val="00406E67"/>
    <w:rsid w:val="00406E6D"/>
    <w:rsid w:val="00407082"/>
    <w:rsid w:val="004075E2"/>
    <w:rsid w:val="0040777F"/>
    <w:rsid w:val="00407A1C"/>
    <w:rsid w:val="00407A97"/>
    <w:rsid w:val="00407B0B"/>
    <w:rsid w:val="00407FF8"/>
    <w:rsid w:val="00410062"/>
    <w:rsid w:val="00410197"/>
    <w:rsid w:val="00410309"/>
    <w:rsid w:val="00410317"/>
    <w:rsid w:val="00410455"/>
    <w:rsid w:val="0041046A"/>
    <w:rsid w:val="00410584"/>
    <w:rsid w:val="004106A2"/>
    <w:rsid w:val="004106A6"/>
    <w:rsid w:val="00410716"/>
    <w:rsid w:val="00410898"/>
    <w:rsid w:val="00410B05"/>
    <w:rsid w:val="00410B10"/>
    <w:rsid w:val="00411920"/>
    <w:rsid w:val="00411BFA"/>
    <w:rsid w:val="00411D20"/>
    <w:rsid w:val="004120D8"/>
    <w:rsid w:val="004123D5"/>
    <w:rsid w:val="00412508"/>
    <w:rsid w:val="00412709"/>
    <w:rsid w:val="00412B18"/>
    <w:rsid w:val="00412B4A"/>
    <w:rsid w:val="00412D34"/>
    <w:rsid w:val="004130C5"/>
    <w:rsid w:val="00413991"/>
    <w:rsid w:val="00413AC5"/>
    <w:rsid w:val="00413B7A"/>
    <w:rsid w:val="00413BBB"/>
    <w:rsid w:val="00413D22"/>
    <w:rsid w:val="00413DA8"/>
    <w:rsid w:val="00414959"/>
    <w:rsid w:val="00414DA9"/>
    <w:rsid w:val="0041504B"/>
    <w:rsid w:val="004157FC"/>
    <w:rsid w:val="00415BA2"/>
    <w:rsid w:val="00415CDE"/>
    <w:rsid w:val="00415D84"/>
    <w:rsid w:val="004160E4"/>
    <w:rsid w:val="0041629A"/>
    <w:rsid w:val="00416524"/>
    <w:rsid w:val="0041662E"/>
    <w:rsid w:val="00416A61"/>
    <w:rsid w:val="00416D1A"/>
    <w:rsid w:val="00416E20"/>
    <w:rsid w:val="00416EE0"/>
    <w:rsid w:val="0041726A"/>
    <w:rsid w:val="00417297"/>
    <w:rsid w:val="004179E5"/>
    <w:rsid w:val="00417A9B"/>
    <w:rsid w:val="00417B4B"/>
    <w:rsid w:val="00417ED5"/>
    <w:rsid w:val="00420043"/>
    <w:rsid w:val="00420223"/>
    <w:rsid w:val="004202A3"/>
    <w:rsid w:val="004204DD"/>
    <w:rsid w:val="00420541"/>
    <w:rsid w:val="004209B2"/>
    <w:rsid w:val="00420B39"/>
    <w:rsid w:val="00420C43"/>
    <w:rsid w:val="00420EA8"/>
    <w:rsid w:val="004215E2"/>
    <w:rsid w:val="00421BAD"/>
    <w:rsid w:val="00421BF7"/>
    <w:rsid w:val="00422110"/>
    <w:rsid w:val="00422892"/>
    <w:rsid w:val="00422A54"/>
    <w:rsid w:val="00422B20"/>
    <w:rsid w:val="00422F70"/>
    <w:rsid w:val="00422F8A"/>
    <w:rsid w:val="004232F4"/>
    <w:rsid w:val="00423522"/>
    <w:rsid w:val="004236C0"/>
    <w:rsid w:val="0042386F"/>
    <w:rsid w:val="004238ED"/>
    <w:rsid w:val="00423E11"/>
    <w:rsid w:val="00423E15"/>
    <w:rsid w:val="00423E3A"/>
    <w:rsid w:val="00423F8D"/>
    <w:rsid w:val="004240DA"/>
    <w:rsid w:val="0042491F"/>
    <w:rsid w:val="00424C94"/>
    <w:rsid w:val="004256CA"/>
    <w:rsid w:val="00425A32"/>
    <w:rsid w:val="00425B59"/>
    <w:rsid w:val="00425BDC"/>
    <w:rsid w:val="004263B2"/>
    <w:rsid w:val="00426A77"/>
    <w:rsid w:val="00426DBF"/>
    <w:rsid w:val="00426EF5"/>
    <w:rsid w:val="004279B0"/>
    <w:rsid w:val="004279D6"/>
    <w:rsid w:val="0043007F"/>
    <w:rsid w:val="004304F0"/>
    <w:rsid w:val="004304F2"/>
    <w:rsid w:val="004305E6"/>
    <w:rsid w:val="00430628"/>
    <w:rsid w:val="004306DC"/>
    <w:rsid w:val="0043083C"/>
    <w:rsid w:val="00430934"/>
    <w:rsid w:val="00430E70"/>
    <w:rsid w:val="0043158E"/>
    <w:rsid w:val="00431C5E"/>
    <w:rsid w:val="00431D10"/>
    <w:rsid w:val="00431EC1"/>
    <w:rsid w:val="00431EFA"/>
    <w:rsid w:val="00432110"/>
    <w:rsid w:val="00432975"/>
    <w:rsid w:val="00432B43"/>
    <w:rsid w:val="00432BCA"/>
    <w:rsid w:val="00432ED2"/>
    <w:rsid w:val="00433459"/>
    <w:rsid w:val="00433656"/>
    <w:rsid w:val="004336EB"/>
    <w:rsid w:val="00433725"/>
    <w:rsid w:val="00433828"/>
    <w:rsid w:val="004339CC"/>
    <w:rsid w:val="00433C28"/>
    <w:rsid w:val="00434037"/>
    <w:rsid w:val="004342AA"/>
    <w:rsid w:val="004342CC"/>
    <w:rsid w:val="004345F1"/>
    <w:rsid w:val="0043474B"/>
    <w:rsid w:val="0043477B"/>
    <w:rsid w:val="00434BD4"/>
    <w:rsid w:val="00434D97"/>
    <w:rsid w:val="00434ED2"/>
    <w:rsid w:val="00434F2D"/>
    <w:rsid w:val="00434F59"/>
    <w:rsid w:val="0043513D"/>
    <w:rsid w:val="0043518C"/>
    <w:rsid w:val="00435218"/>
    <w:rsid w:val="00435333"/>
    <w:rsid w:val="004355DC"/>
    <w:rsid w:val="0043564D"/>
    <w:rsid w:val="00435F99"/>
    <w:rsid w:val="0043682D"/>
    <w:rsid w:val="00436AD5"/>
    <w:rsid w:val="00437061"/>
    <w:rsid w:val="00437326"/>
    <w:rsid w:val="00437707"/>
    <w:rsid w:val="00437769"/>
    <w:rsid w:val="004377C9"/>
    <w:rsid w:val="00437B2E"/>
    <w:rsid w:val="004400CC"/>
    <w:rsid w:val="00440CAE"/>
    <w:rsid w:val="00441034"/>
    <w:rsid w:val="00441234"/>
    <w:rsid w:val="00441BB0"/>
    <w:rsid w:val="00441EF7"/>
    <w:rsid w:val="00441F3D"/>
    <w:rsid w:val="004423DA"/>
    <w:rsid w:val="00442A29"/>
    <w:rsid w:val="00442B47"/>
    <w:rsid w:val="00442BF0"/>
    <w:rsid w:val="00442C5A"/>
    <w:rsid w:val="00442F0B"/>
    <w:rsid w:val="0044314C"/>
    <w:rsid w:val="004432D3"/>
    <w:rsid w:val="00443772"/>
    <w:rsid w:val="00443C17"/>
    <w:rsid w:val="004446A0"/>
    <w:rsid w:val="004448B0"/>
    <w:rsid w:val="004448E5"/>
    <w:rsid w:val="00444B8F"/>
    <w:rsid w:val="004450D6"/>
    <w:rsid w:val="00445328"/>
    <w:rsid w:val="00445417"/>
    <w:rsid w:val="0044546B"/>
    <w:rsid w:val="00445473"/>
    <w:rsid w:val="004455D0"/>
    <w:rsid w:val="0044572C"/>
    <w:rsid w:val="00445A65"/>
    <w:rsid w:val="00445C6F"/>
    <w:rsid w:val="00445EF5"/>
    <w:rsid w:val="00445F26"/>
    <w:rsid w:val="004468C7"/>
    <w:rsid w:val="00446BCC"/>
    <w:rsid w:val="00446C4E"/>
    <w:rsid w:val="00446EBC"/>
    <w:rsid w:val="0044706D"/>
    <w:rsid w:val="00447180"/>
    <w:rsid w:val="004475ED"/>
    <w:rsid w:val="004477F3"/>
    <w:rsid w:val="004479F3"/>
    <w:rsid w:val="004479F8"/>
    <w:rsid w:val="00447E19"/>
    <w:rsid w:val="00447F52"/>
    <w:rsid w:val="0045011E"/>
    <w:rsid w:val="00450280"/>
    <w:rsid w:val="00450323"/>
    <w:rsid w:val="00450894"/>
    <w:rsid w:val="004509A2"/>
    <w:rsid w:val="00450E49"/>
    <w:rsid w:val="00450FA5"/>
    <w:rsid w:val="00450FD8"/>
    <w:rsid w:val="0045137A"/>
    <w:rsid w:val="004519FD"/>
    <w:rsid w:val="00452007"/>
    <w:rsid w:val="00452193"/>
    <w:rsid w:val="00452339"/>
    <w:rsid w:val="0045244D"/>
    <w:rsid w:val="004527DB"/>
    <w:rsid w:val="004528D0"/>
    <w:rsid w:val="00452D19"/>
    <w:rsid w:val="00452D73"/>
    <w:rsid w:val="00452DE1"/>
    <w:rsid w:val="00453069"/>
    <w:rsid w:val="00453785"/>
    <w:rsid w:val="00453C33"/>
    <w:rsid w:val="00453EE7"/>
    <w:rsid w:val="00454426"/>
    <w:rsid w:val="0045470B"/>
    <w:rsid w:val="004547CB"/>
    <w:rsid w:val="00454823"/>
    <w:rsid w:val="00454B2E"/>
    <w:rsid w:val="00454BAF"/>
    <w:rsid w:val="00454E1D"/>
    <w:rsid w:val="00454E73"/>
    <w:rsid w:val="004551F1"/>
    <w:rsid w:val="004554B6"/>
    <w:rsid w:val="00455530"/>
    <w:rsid w:val="004555FA"/>
    <w:rsid w:val="00455715"/>
    <w:rsid w:val="00455740"/>
    <w:rsid w:val="00455B83"/>
    <w:rsid w:val="00455BEF"/>
    <w:rsid w:val="00455D1D"/>
    <w:rsid w:val="00455E81"/>
    <w:rsid w:val="00455F3B"/>
    <w:rsid w:val="00456084"/>
    <w:rsid w:val="00456232"/>
    <w:rsid w:val="004565D1"/>
    <w:rsid w:val="004566C3"/>
    <w:rsid w:val="00456773"/>
    <w:rsid w:val="004568D4"/>
    <w:rsid w:val="00456962"/>
    <w:rsid w:val="00456E58"/>
    <w:rsid w:val="00457165"/>
    <w:rsid w:val="00457287"/>
    <w:rsid w:val="00457562"/>
    <w:rsid w:val="004577AA"/>
    <w:rsid w:val="00457F09"/>
    <w:rsid w:val="00460114"/>
    <w:rsid w:val="0046019B"/>
    <w:rsid w:val="00460422"/>
    <w:rsid w:val="00460B7B"/>
    <w:rsid w:val="00460DF0"/>
    <w:rsid w:val="004611D2"/>
    <w:rsid w:val="0046128E"/>
    <w:rsid w:val="0046184B"/>
    <w:rsid w:val="00461A7C"/>
    <w:rsid w:val="00461D1F"/>
    <w:rsid w:val="00461DAC"/>
    <w:rsid w:val="004620FA"/>
    <w:rsid w:val="00462528"/>
    <w:rsid w:val="00462611"/>
    <w:rsid w:val="00462884"/>
    <w:rsid w:val="004628C9"/>
    <w:rsid w:val="00462D23"/>
    <w:rsid w:val="00463136"/>
    <w:rsid w:val="00463194"/>
    <w:rsid w:val="00463992"/>
    <w:rsid w:val="00463C69"/>
    <w:rsid w:val="00463FC4"/>
    <w:rsid w:val="0046451E"/>
    <w:rsid w:val="0046493F"/>
    <w:rsid w:val="00464A6E"/>
    <w:rsid w:val="00464C1B"/>
    <w:rsid w:val="00464EA9"/>
    <w:rsid w:val="00464FB2"/>
    <w:rsid w:val="00465342"/>
    <w:rsid w:val="00465DED"/>
    <w:rsid w:val="00466366"/>
    <w:rsid w:val="004664BE"/>
    <w:rsid w:val="004665DC"/>
    <w:rsid w:val="00466657"/>
    <w:rsid w:val="00466744"/>
    <w:rsid w:val="00466907"/>
    <w:rsid w:val="00466FAD"/>
    <w:rsid w:val="0046731F"/>
    <w:rsid w:val="004674EA"/>
    <w:rsid w:val="00467500"/>
    <w:rsid w:val="00467791"/>
    <w:rsid w:val="00467904"/>
    <w:rsid w:val="00467AFD"/>
    <w:rsid w:val="004708B6"/>
    <w:rsid w:val="00470D87"/>
    <w:rsid w:val="00470EB1"/>
    <w:rsid w:val="00470F5E"/>
    <w:rsid w:val="0047177C"/>
    <w:rsid w:val="00471988"/>
    <w:rsid w:val="00471DE4"/>
    <w:rsid w:val="00472130"/>
    <w:rsid w:val="0047231D"/>
    <w:rsid w:val="0047237A"/>
    <w:rsid w:val="00472739"/>
    <w:rsid w:val="00472CD6"/>
    <w:rsid w:val="00473124"/>
    <w:rsid w:val="00473727"/>
    <w:rsid w:val="00473D84"/>
    <w:rsid w:val="0047400E"/>
    <w:rsid w:val="0047433C"/>
    <w:rsid w:val="00474BD8"/>
    <w:rsid w:val="00475712"/>
    <w:rsid w:val="004758AC"/>
    <w:rsid w:val="00475D53"/>
    <w:rsid w:val="00475F54"/>
    <w:rsid w:val="00476137"/>
    <w:rsid w:val="004764A6"/>
    <w:rsid w:val="004767DF"/>
    <w:rsid w:val="00477588"/>
    <w:rsid w:val="0047776D"/>
    <w:rsid w:val="004777B3"/>
    <w:rsid w:val="00477B51"/>
    <w:rsid w:val="00477D0E"/>
    <w:rsid w:val="00477E8F"/>
    <w:rsid w:val="00477F8B"/>
    <w:rsid w:val="0048025F"/>
    <w:rsid w:val="00480261"/>
    <w:rsid w:val="004808E0"/>
    <w:rsid w:val="00480D2D"/>
    <w:rsid w:val="00480EBA"/>
    <w:rsid w:val="00481046"/>
    <w:rsid w:val="0048130D"/>
    <w:rsid w:val="0048136A"/>
    <w:rsid w:val="0048188B"/>
    <w:rsid w:val="00481AED"/>
    <w:rsid w:val="00481BC4"/>
    <w:rsid w:val="00481F17"/>
    <w:rsid w:val="00482115"/>
    <w:rsid w:val="00482EB7"/>
    <w:rsid w:val="004836B6"/>
    <w:rsid w:val="004839A7"/>
    <w:rsid w:val="004839F0"/>
    <w:rsid w:val="00483D87"/>
    <w:rsid w:val="0048413F"/>
    <w:rsid w:val="004841B5"/>
    <w:rsid w:val="00484216"/>
    <w:rsid w:val="004843D8"/>
    <w:rsid w:val="00484551"/>
    <w:rsid w:val="0048494A"/>
    <w:rsid w:val="00484C75"/>
    <w:rsid w:val="00485235"/>
    <w:rsid w:val="004855AC"/>
    <w:rsid w:val="004855FD"/>
    <w:rsid w:val="00485C89"/>
    <w:rsid w:val="00485EE1"/>
    <w:rsid w:val="0048626B"/>
    <w:rsid w:val="004862D0"/>
    <w:rsid w:val="004863EE"/>
    <w:rsid w:val="004865E0"/>
    <w:rsid w:val="004868F5"/>
    <w:rsid w:val="00486B5E"/>
    <w:rsid w:val="00486E2B"/>
    <w:rsid w:val="00486E8C"/>
    <w:rsid w:val="00487409"/>
    <w:rsid w:val="0048766A"/>
    <w:rsid w:val="0048776F"/>
    <w:rsid w:val="00487890"/>
    <w:rsid w:val="00487A3D"/>
    <w:rsid w:val="00487A8D"/>
    <w:rsid w:val="0049050B"/>
    <w:rsid w:val="00490926"/>
    <w:rsid w:val="00490BF5"/>
    <w:rsid w:val="00490CB2"/>
    <w:rsid w:val="00490D1E"/>
    <w:rsid w:val="00490F6D"/>
    <w:rsid w:val="00490FAC"/>
    <w:rsid w:val="004916FD"/>
    <w:rsid w:val="00491920"/>
    <w:rsid w:val="00491998"/>
    <w:rsid w:val="00491A5C"/>
    <w:rsid w:val="00491D8E"/>
    <w:rsid w:val="00491ED1"/>
    <w:rsid w:val="004922C7"/>
    <w:rsid w:val="0049273F"/>
    <w:rsid w:val="0049285F"/>
    <w:rsid w:val="00492CBC"/>
    <w:rsid w:val="00492EE3"/>
    <w:rsid w:val="00492FCC"/>
    <w:rsid w:val="00493445"/>
    <w:rsid w:val="0049358C"/>
    <w:rsid w:val="004936C2"/>
    <w:rsid w:val="00493718"/>
    <w:rsid w:val="004938EE"/>
    <w:rsid w:val="00493AAF"/>
    <w:rsid w:val="0049402A"/>
    <w:rsid w:val="00494653"/>
    <w:rsid w:val="004948AE"/>
    <w:rsid w:val="00494921"/>
    <w:rsid w:val="00494A79"/>
    <w:rsid w:val="00495257"/>
    <w:rsid w:val="00495D42"/>
    <w:rsid w:val="00495FD2"/>
    <w:rsid w:val="0049634B"/>
    <w:rsid w:val="00496374"/>
    <w:rsid w:val="004964C4"/>
    <w:rsid w:val="00496615"/>
    <w:rsid w:val="00497121"/>
    <w:rsid w:val="00497472"/>
    <w:rsid w:val="00497B55"/>
    <w:rsid w:val="00497C58"/>
    <w:rsid w:val="00497E82"/>
    <w:rsid w:val="00497FB9"/>
    <w:rsid w:val="004A002C"/>
    <w:rsid w:val="004A07BC"/>
    <w:rsid w:val="004A07C8"/>
    <w:rsid w:val="004A080B"/>
    <w:rsid w:val="004A095E"/>
    <w:rsid w:val="004A0DCC"/>
    <w:rsid w:val="004A0E9B"/>
    <w:rsid w:val="004A1087"/>
    <w:rsid w:val="004A12E6"/>
    <w:rsid w:val="004A12EE"/>
    <w:rsid w:val="004A185E"/>
    <w:rsid w:val="004A18BC"/>
    <w:rsid w:val="004A1B5E"/>
    <w:rsid w:val="004A1BB5"/>
    <w:rsid w:val="004A1C48"/>
    <w:rsid w:val="004A1C9F"/>
    <w:rsid w:val="004A1E04"/>
    <w:rsid w:val="004A1FC7"/>
    <w:rsid w:val="004A209D"/>
    <w:rsid w:val="004A289A"/>
    <w:rsid w:val="004A29A9"/>
    <w:rsid w:val="004A2A84"/>
    <w:rsid w:val="004A2E5F"/>
    <w:rsid w:val="004A33AC"/>
    <w:rsid w:val="004A345A"/>
    <w:rsid w:val="004A35AF"/>
    <w:rsid w:val="004A37EA"/>
    <w:rsid w:val="004A3CAD"/>
    <w:rsid w:val="004A3D02"/>
    <w:rsid w:val="004A3FD9"/>
    <w:rsid w:val="004A4087"/>
    <w:rsid w:val="004A4BD3"/>
    <w:rsid w:val="004A53B9"/>
    <w:rsid w:val="004A53E4"/>
    <w:rsid w:val="004A5469"/>
    <w:rsid w:val="004A577C"/>
    <w:rsid w:val="004A5B67"/>
    <w:rsid w:val="004A5C23"/>
    <w:rsid w:val="004A5CE9"/>
    <w:rsid w:val="004A68A1"/>
    <w:rsid w:val="004A6B98"/>
    <w:rsid w:val="004A6C9C"/>
    <w:rsid w:val="004A6D82"/>
    <w:rsid w:val="004A7652"/>
    <w:rsid w:val="004A766B"/>
    <w:rsid w:val="004B00A0"/>
    <w:rsid w:val="004B0308"/>
    <w:rsid w:val="004B0886"/>
    <w:rsid w:val="004B0E6D"/>
    <w:rsid w:val="004B0F0E"/>
    <w:rsid w:val="004B12F4"/>
    <w:rsid w:val="004B132C"/>
    <w:rsid w:val="004B13FD"/>
    <w:rsid w:val="004B1C55"/>
    <w:rsid w:val="004B1F2E"/>
    <w:rsid w:val="004B235D"/>
    <w:rsid w:val="004B2541"/>
    <w:rsid w:val="004B2CA8"/>
    <w:rsid w:val="004B31D2"/>
    <w:rsid w:val="004B3FB0"/>
    <w:rsid w:val="004B4157"/>
    <w:rsid w:val="004B41B0"/>
    <w:rsid w:val="004B41C1"/>
    <w:rsid w:val="004B4286"/>
    <w:rsid w:val="004B43BA"/>
    <w:rsid w:val="004B4DC5"/>
    <w:rsid w:val="004B4F9D"/>
    <w:rsid w:val="004B500A"/>
    <w:rsid w:val="004B5AB3"/>
    <w:rsid w:val="004B5B63"/>
    <w:rsid w:val="004B6287"/>
    <w:rsid w:val="004B631D"/>
    <w:rsid w:val="004B635A"/>
    <w:rsid w:val="004B6605"/>
    <w:rsid w:val="004B6975"/>
    <w:rsid w:val="004B697B"/>
    <w:rsid w:val="004B6F17"/>
    <w:rsid w:val="004B73BB"/>
    <w:rsid w:val="004B7884"/>
    <w:rsid w:val="004B79F6"/>
    <w:rsid w:val="004B7F73"/>
    <w:rsid w:val="004C034F"/>
    <w:rsid w:val="004C0447"/>
    <w:rsid w:val="004C0458"/>
    <w:rsid w:val="004C0825"/>
    <w:rsid w:val="004C0CCB"/>
    <w:rsid w:val="004C0E6D"/>
    <w:rsid w:val="004C1190"/>
    <w:rsid w:val="004C1201"/>
    <w:rsid w:val="004C18F4"/>
    <w:rsid w:val="004C1940"/>
    <w:rsid w:val="004C1CCC"/>
    <w:rsid w:val="004C1F1C"/>
    <w:rsid w:val="004C209F"/>
    <w:rsid w:val="004C21B7"/>
    <w:rsid w:val="004C21F8"/>
    <w:rsid w:val="004C227D"/>
    <w:rsid w:val="004C232C"/>
    <w:rsid w:val="004C2459"/>
    <w:rsid w:val="004C25D5"/>
    <w:rsid w:val="004C26E9"/>
    <w:rsid w:val="004C2E05"/>
    <w:rsid w:val="004C2EB2"/>
    <w:rsid w:val="004C2F70"/>
    <w:rsid w:val="004C3357"/>
    <w:rsid w:val="004C35E8"/>
    <w:rsid w:val="004C3AC6"/>
    <w:rsid w:val="004C3C10"/>
    <w:rsid w:val="004C3F5C"/>
    <w:rsid w:val="004C4359"/>
    <w:rsid w:val="004C4D1A"/>
    <w:rsid w:val="004C4DCA"/>
    <w:rsid w:val="004C51F5"/>
    <w:rsid w:val="004C5619"/>
    <w:rsid w:val="004C5B64"/>
    <w:rsid w:val="004C60A4"/>
    <w:rsid w:val="004C6601"/>
    <w:rsid w:val="004C689F"/>
    <w:rsid w:val="004C6F14"/>
    <w:rsid w:val="004C7222"/>
    <w:rsid w:val="004C73B8"/>
    <w:rsid w:val="004C7507"/>
    <w:rsid w:val="004C7869"/>
    <w:rsid w:val="004C786B"/>
    <w:rsid w:val="004C7FC1"/>
    <w:rsid w:val="004D012A"/>
    <w:rsid w:val="004D03AB"/>
    <w:rsid w:val="004D041B"/>
    <w:rsid w:val="004D073B"/>
    <w:rsid w:val="004D07E9"/>
    <w:rsid w:val="004D0892"/>
    <w:rsid w:val="004D0D93"/>
    <w:rsid w:val="004D0EC7"/>
    <w:rsid w:val="004D1200"/>
    <w:rsid w:val="004D188F"/>
    <w:rsid w:val="004D19FE"/>
    <w:rsid w:val="004D1E1D"/>
    <w:rsid w:val="004D1E73"/>
    <w:rsid w:val="004D1EE1"/>
    <w:rsid w:val="004D200E"/>
    <w:rsid w:val="004D2807"/>
    <w:rsid w:val="004D29AF"/>
    <w:rsid w:val="004D2A7C"/>
    <w:rsid w:val="004D3743"/>
    <w:rsid w:val="004D3936"/>
    <w:rsid w:val="004D3BA9"/>
    <w:rsid w:val="004D3CCD"/>
    <w:rsid w:val="004D4158"/>
    <w:rsid w:val="004D43FE"/>
    <w:rsid w:val="004D45CB"/>
    <w:rsid w:val="004D47C2"/>
    <w:rsid w:val="004D492E"/>
    <w:rsid w:val="004D4AB2"/>
    <w:rsid w:val="004D4B0A"/>
    <w:rsid w:val="004D53BF"/>
    <w:rsid w:val="004D54FB"/>
    <w:rsid w:val="004D566A"/>
    <w:rsid w:val="004D58E2"/>
    <w:rsid w:val="004D5A81"/>
    <w:rsid w:val="004D5BF6"/>
    <w:rsid w:val="004D5C5A"/>
    <w:rsid w:val="004D6093"/>
    <w:rsid w:val="004D6339"/>
    <w:rsid w:val="004D6347"/>
    <w:rsid w:val="004D64CE"/>
    <w:rsid w:val="004D681A"/>
    <w:rsid w:val="004D6860"/>
    <w:rsid w:val="004D6A41"/>
    <w:rsid w:val="004D6AA3"/>
    <w:rsid w:val="004D6AA8"/>
    <w:rsid w:val="004D724F"/>
    <w:rsid w:val="004D73CB"/>
    <w:rsid w:val="004D7446"/>
    <w:rsid w:val="004D7695"/>
    <w:rsid w:val="004D7AF4"/>
    <w:rsid w:val="004D7BBF"/>
    <w:rsid w:val="004D7C2E"/>
    <w:rsid w:val="004D7EFE"/>
    <w:rsid w:val="004D7F45"/>
    <w:rsid w:val="004E0045"/>
    <w:rsid w:val="004E05B0"/>
    <w:rsid w:val="004E0911"/>
    <w:rsid w:val="004E0A19"/>
    <w:rsid w:val="004E0B10"/>
    <w:rsid w:val="004E0DB1"/>
    <w:rsid w:val="004E0DF4"/>
    <w:rsid w:val="004E11D2"/>
    <w:rsid w:val="004E1D22"/>
    <w:rsid w:val="004E1F07"/>
    <w:rsid w:val="004E1F11"/>
    <w:rsid w:val="004E1F4D"/>
    <w:rsid w:val="004E2018"/>
    <w:rsid w:val="004E2219"/>
    <w:rsid w:val="004E2423"/>
    <w:rsid w:val="004E24CC"/>
    <w:rsid w:val="004E2838"/>
    <w:rsid w:val="004E2868"/>
    <w:rsid w:val="004E28FF"/>
    <w:rsid w:val="004E2D7F"/>
    <w:rsid w:val="004E2E4F"/>
    <w:rsid w:val="004E3BB8"/>
    <w:rsid w:val="004E3EBC"/>
    <w:rsid w:val="004E40DF"/>
    <w:rsid w:val="004E42B9"/>
    <w:rsid w:val="004E4356"/>
    <w:rsid w:val="004E5005"/>
    <w:rsid w:val="004E50FF"/>
    <w:rsid w:val="004E599A"/>
    <w:rsid w:val="004E5D49"/>
    <w:rsid w:val="004E6075"/>
    <w:rsid w:val="004E627D"/>
    <w:rsid w:val="004E62A3"/>
    <w:rsid w:val="004E6822"/>
    <w:rsid w:val="004E6C45"/>
    <w:rsid w:val="004E6D33"/>
    <w:rsid w:val="004E6F9A"/>
    <w:rsid w:val="004E744E"/>
    <w:rsid w:val="004F035F"/>
    <w:rsid w:val="004F0372"/>
    <w:rsid w:val="004F0CB9"/>
    <w:rsid w:val="004F0D83"/>
    <w:rsid w:val="004F0DDE"/>
    <w:rsid w:val="004F0FDA"/>
    <w:rsid w:val="004F0FDF"/>
    <w:rsid w:val="004F10C2"/>
    <w:rsid w:val="004F1191"/>
    <w:rsid w:val="004F1D23"/>
    <w:rsid w:val="004F1FFC"/>
    <w:rsid w:val="004F2003"/>
    <w:rsid w:val="004F25BD"/>
    <w:rsid w:val="004F25DD"/>
    <w:rsid w:val="004F2818"/>
    <w:rsid w:val="004F2CF7"/>
    <w:rsid w:val="004F2EBF"/>
    <w:rsid w:val="004F2EC7"/>
    <w:rsid w:val="004F2FE9"/>
    <w:rsid w:val="004F320C"/>
    <w:rsid w:val="004F35E8"/>
    <w:rsid w:val="004F3641"/>
    <w:rsid w:val="004F36F6"/>
    <w:rsid w:val="004F3FDC"/>
    <w:rsid w:val="004F4851"/>
    <w:rsid w:val="004F509A"/>
    <w:rsid w:val="004F5164"/>
    <w:rsid w:val="004F5730"/>
    <w:rsid w:val="004F57A9"/>
    <w:rsid w:val="004F639A"/>
    <w:rsid w:val="004F6594"/>
    <w:rsid w:val="004F6BB0"/>
    <w:rsid w:val="004F74EB"/>
    <w:rsid w:val="004F752A"/>
    <w:rsid w:val="004F7D65"/>
    <w:rsid w:val="0050000C"/>
    <w:rsid w:val="005008E0"/>
    <w:rsid w:val="00500C02"/>
    <w:rsid w:val="00500C34"/>
    <w:rsid w:val="00500D1C"/>
    <w:rsid w:val="00500D78"/>
    <w:rsid w:val="005010A8"/>
    <w:rsid w:val="005010B1"/>
    <w:rsid w:val="00501426"/>
    <w:rsid w:val="0050173B"/>
    <w:rsid w:val="005018F1"/>
    <w:rsid w:val="00501B57"/>
    <w:rsid w:val="00501B7A"/>
    <w:rsid w:val="00501D6B"/>
    <w:rsid w:val="005022F2"/>
    <w:rsid w:val="00502319"/>
    <w:rsid w:val="00502ADC"/>
    <w:rsid w:val="005036F5"/>
    <w:rsid w:val="00503705"/>
    <w:rsid w:val="0050377A"/>
    <w:rsid w:val="005037FF"/>
    <w:rsid w:val="00503845"/>
    <w:rsid w:val="00503994"/>
    <w:rsid w:val="00503B9D"/>
    <w:rsid w:val="0050434F"/>
    <w:rsid w:val="00504504"/>
    <w:rsid w:val="00504BF1"/>
    <w:rsid w:val="00504D95"/>
    <w:rsid w:val="0050528E"/>
    <w:rsid w:val="00505504"/>
    <w:rsid w:val="0050562C"/>
    <w:rsid w:val="005056E9"/>
    <w:rsid w:val="00505903"/>
    <w:rsid w:val="00505DE5"/>
    <w:rsid w:val="00505E61"/>
    <w:rsid w:val="00505EFE"/>
    <w:rsid w:val="00505FC8"/>
    <w:rsid w:val="00506087"/>
    <w:rsid w:val="00506119"/>
    <w:rsid w:val="00506251"/>
    <w:rsid w:val="00506912"/>
    <w:rsid w:val="0050698A"/>
    <w:rsid w:val="005069F8"/>
    <w:rsid w:val="005069FB"/>
    <w:rsid w:val="00506B08"/>
    <w:rsid w:val="00506D0E"/>
    <w:rsid w:val="00506EB8"/>
    <w:rsid w:val="0050702E"/>
    <w:rsid w:val="00507148"/>
    <w:rsid w:val="00507298"/>
    <w:rsid w:val="00507348"/>
    <w:rsid w:val="00507855"/>
    <w:rsid w:val="0050789B"/>
    <w:rsid w:val="005078B1"/>
    <w:rsid w:val="00507A6A"/>
    <w:rsid w:val="00507E7A"/>
    <w:rsid w:val="005101D3"/>
    <w:rsid w:val="00510602"/>
    <w:rsid w:val="00510B8A"/>
    <w:rsid w:val="00510EC5"/>
    <w:rsid w:val="005110FD"/>
    <w:rsid w:val="00511377"/>
    <w:rsid w:val="005113CF"/>
    <w:rsid w:val="005114EE"/>
    <w:rsid w:val="005119A7"/>
    <w:rsid w:val="00511AB0"/>
    <w:rsid w:val="00511CBE"/>
    <w:rsid w:val="00511D8E"/>
    <w:rsid w:val="00511F14"/>
    <w:rsid w:val="00511F3E"/>
    <w:rsid w:val="0051250F"/>
    <w:rsid w:val="00512E01"/>
    <w:rsid w:val="00512FD1"/>
    <w:rsid w:val="005131C2"/>
    <w:rsid w:val="00513238"/>
    <w:rsid w:val="00513621"/>
    <w:rsid w:val="00513A71"/>
    <w:rsid w:val="00513AA6"/>
    <w:rsid w:val="00513C54"/>
    <w:rsid w:val="0051402C"/>
    <w:rsid w:val="0051413A"/>
    <w:rsid w:val="00514195"/>
    <w:rsid w:val="00514201"/>
    <w:rsid w:val="005145B5"/>
    <w:rsid w:val="00514C11"/>
    <w:rsid w:val="00515073"/>
    <w:rsid w:val="005154C9"/>
    <w:rsid w:val="00515759"/>
    <w:rsid w:val="005157F5"/>
    <w:rsid w:val="00515A9B"/>
    <w:rsid w:val="00515C49"/>
    <w:rsid w:val="00515C56"/>
    <w:rsid w:val="00515C83"/>
    <w:rsid w:val="00516365"/>
    <w:rsid w:val="005167D8"/>
    <w:rsid w:val="00516AB9"/>
    <w:rsid w:val="00516E24"/>
    <w:rsid w:val="0051717C"/>
    <w:rsid w:val="0051743C"/>
    <w:rsid w:val="0051748D"/>
    <w:rsid w:val="0051749E"/>
    <w:rsid w:val="00517633"/>
    <w:rsid w:val="00517E61"/>
    <w:rsid w:val="0052002A"/>
    <w:rsid w:val="00520044"/>
    <w:rsid w:val="00520261"/>
    <w:rsid w:val="0052044F"/>
    <w:rsid w:val="0052098E"/>
    <w:rsid w:val="00520A5D"/>
    <w:rsid w:val="00520A6D"/>
    <w:rsid w:val="00521097"/>
    <w:rsid w:val="005217C7"/>
    <w:rsid w:val="005217EA"/>
    <w:rsid w:val="00521B4F"/>
    <w:rsid w:val="00521E37"/>
    <w:rsid w:val="00522A17"/>
    <w:rsid w:val="00523363"/>
    <w:rsid w:val="00523478"/>
    <w:rsid w:val="005235F4"/>
    <w:rsid w:val="00523EF3"/>
    <w:rsid w:val="00523FCA"/>
    <w:rsid w:val="00524071"/>
    <w:rsid w:val="005242EA"/>
    <w:rsid w:val="00524640"/>
    <w:rsid w:val="005247A2"/>
    <w:rsid w:val="00524840"/>
    <w:rsid w:val="005249E5"/>
    <w:rsid w:val="00524A01"/>
    <w:rsid w:val="00524B3E"/>
    <w:rsid w:val="00524BCF"/>
    <w:rsid w:val="00524CB4"/>
    <w:rsid w:val="00524D6E"/>
    <w:rsid w:val="00524FAB"/>
    <w:rsid w:val="005254FA"/>
    <w:rsid w:val="00525A11"/>
    <w:rsid w:val="00525AB0"/>
    <w:rsid w:val="00525BE1"/>
    <w:rsid w:val="00525C77"/>
    <w:rsid w:val="00525E29"/>
    <w:rsid w:val="00525F22"/>
    <w:rsid w:val="00525F6C"/>
    <w:rsid w:val="00526201"/>
    <w:rsid w:val="0052678E"/>
    <w:rsid w:val="0052684C"/>
    <w:rsid w:val="00526A7C"/>
    <w:rsid w:val="00527582"/>
    <w:rsid w:val="00527695"/>
    <w:rsid w:val="005276DF"/>
    <w:rsid w:val="0052787D"/>
    <w:rsid w:val="00527BFA"/>
    <w:rsid w:val="00527C45"/>
    <w:rsid w:val="00527D28"/>
    <w:rsid w:val="00527F4F"/>
    <w:rsid w:val="0053002D"/>
    <w:rsid w:val="0053024A"/>
    <w:rsid w:val="00530318"/>
    <w:rsid w:val="0053064C"/>
    <w:rsid w:val="00530930"/>
    <w:rsid w:val="00531342"/>
    <w:rsid w:val="0053145B"/>
    <w:rsid w:val="005315FA"/>
    <w:rsid w:val="00531605"/>
    <w:rsid w:val="00531671"/>
    <w:rsid w:val="0053257C"/>
    <w:rsid w:val="00532D43"/>
    <w:rsid w:val="00532E0C"/>
    <w:rsid w:val="00532E89"/>
    <w:rsid w:val="00533670"/>
    <w:rsid w:val="00533793"/>
    <w:rsid w:val="00533854"/>
    <w:rsid w:val="00533939"/>
    <w:rsid w:val="0053398F"/>
    <w:rsid w:val="00533B5E"/>
    <w:rsid w:val="00533F2B"/>
    <w:rsid w:val="00534744"/>
    <w:rsid w:val="00534B95"/>
    <w:rsid w:val="00534CF4"/>
    <w:rsid w:val="00534E2F"/>
    <w:rsid w:val="00534E88"/>
    <w:rsid w:val="0053529C"/>
    <w:rsid w:val="00535649"/>
    <w:rsid w:val="00535762"/>
    <w:rsid w:val="00536197"/>
    <w:rsid w:val="005362C4"/>
    <w:rsid w:val="00536495"/>
    <w:rsid w:val="005368F1"/>
    <w:rsid w:val="00536D29"/>
    <w:rsid w:val="00536D39"/>
    <w:rsid w:val="00537159"/>
    <w:rsid w:val="005373DB"/>
    <w:rsid w:val="0053750A"/>
    <w:rsid w:val="00537761"/>
    <w:rsid w:val="005379A6"/>
    <w:rsid w:val="00537C13"/>
    <w:rsid w:val="00540161"/>
    <w:rsid w:val="00540904"/>
    <w:rsid w:val="00540B15"/>
    <w:rsid w:val="0054122C"/>
    <w:rsid w:val="00541496"/>
    <w:rsid w:val="00541819"/>
    <w:rsid w:val="00541ADC"/>
    <w:rsid w:val="00541C3A"/>
    <w:rsid w:val="00541EE1"/>
    <w:rsid w:val="0054271D"/>
    <w:rsid w:val="0054299B"/>
    <w:rsid w:val="00542FA0"/>
    <w:rsid w:val="0054303A"/>
    <w:rsid w:val="0054334A"/>
    <w:rsid w:val="00543700"/>
    <w:rsid w:val="0054375A"/>
    <w:rsid w:val="005437F9"/>
    <w:rsid w:val="00543F3D"/>
    <w:rsid w:val="0054411D"/>
    <w:rsid w:val="00544270"/>
    <w:rsid w:val="005443EE"/>
    <w:rsid w:val="005444FC"/>
    <w:rsid w:val="0054451F"/>
    <w:rsid w:val="00544869"/>
    <w:rsid w:val="005448A7"/>
    <w:rsid w:val="00544ADF"/>
    <w:rsid w:val="00544DC3"/>
    <w:rsid w:val="00544F63"/>
    <w:rsid w:val="00544F7C"/>
    <w:rsid w:val="00545087"/>
    <w:rsid w:val="00545093"/>
    <w:rsid w:val="00545544"/>
    <w:rsid w:val="0054563B"/>
    <w:rsid w:val="00545749"/>
    <w:rsid w:val="00545886"/>
    <w:rsid w:val="00545CF7"/>
    <w:rsid w:val="00545DFD"/>
    <w:rsid w:val="00545FF8"/>
    <w:rsid w:val="00546051"/>
    <w:rsid w:val="00546228"/>
    <w:rsid w:val="00546242"/>
    <w:rsid w:val="00546684"/>
    <w:rsid w:val="00546DFE"/>
    <w:rsid w:val="00546E74"/>
    <w:rsid w:val="00546EC6"/>
    <w:rsid w:val="00546F23"/>
    <w:rsid w:val="0054701D"/>
    <w:rsid w:val="0054732C"/>
    <w:rsid w:val="00547BFA"/>
    <w:rsid w:val="00547D6E"/>
    <w:rsid w:val="00547E1E"/>
    <w:rsid w:val="00550366"/>
    <w:rsid w:val="00550539"/>
    <w:rsid w:val="0055077B"/>
    <w:rsid w:val="00550F7D"/>
    <w:rsid w:val="00551030"/>
    <w:rsid w:val="0055120B"/>
    <w:rsid w:val="00551A00"/>
    <w:rsid w:val="00551C97"/>
    <w:rsid w:val="00551FC1"/>
    <w:rsid w:val="00551FDB"/>
    <w:rsid w:val="00552166"/>
    <w:rsid w:val="005521BA"/>
    <w:rsid w:val="0055229F"/>
    <w:rsid w:val="005524BE"/>
    <w:rsid w:val="005526D2"/>
    <w:rsid w:val="00552982"/>
    <w:rsid w:val="00552A12"/>
    <w:rsid w:val="00552A63"/>
    <w:rsid w:val="00552F9F"/>
    <w:rsid w:val="00553344"/>
    <w:rsid w:val="005538AA"/>
    <w:rsid w:val="00553A86"/>
    <w:rsid w:val="00553D33"/>
    <w:rsid w:val="005540CA"/>
    <w:rsid w:val="005541D6"/>
    <w:rsid w:val="00554234"/>
    <w:rsid w:val="005542A1"/>
    <w:rsid w:val="005544EF"/>
    <w:rsid w:val="005545EE"/>
    <w:rsid w:val="005547C6"/>
    <w:rsid w:val="00554884"/>
    <w:rsid w:val="005549AB"/>
    <w:rsid w:val="00554B6A"/>
    <w:rsid w:val="00554D9A"/>
    <w:rsid w:val="00554E5C"/>
    <w:rsid w:val="00555604"/>
    <w:rsid w:val="005556E9"/>
    <w:rsid w:val="005558A2"/>
    <w:rsid w:val="00555C19"/>
    <w:rsid w:val="00555D1E"/>
    <w:rsid w:val="00555FD4"/>
    <w:rsid w:val="005560C0"/>
    <w:rsid w:val="0055623A"/>
    <w:rsid w:val="00556338"/>
    <w:rsid w:val="00556D4C"/>
    <w:rsid w:val="00556E05"/>
    <w:rsid w:val="005570E6"/>
    <w:rsid w:val="00557103"/>
    <w:rsid w:val="005574B6"/>
    <w:rsid w:val="005575DB"/>
    <w:rsid w:val="00557795"/>
    <w:rsid w:val="005601F0"/>
    <w:rsid w:val="0056021B"/>
    <w:rsid w:val="00560369"/>
    <w:rsid w:val="00560403"/>
    <w:rsid w:val="0056069B"/>
    <w:rsid w:val="0056074B"/>
    <w:rsid w:val="0056078C"/>
    <w:rsid w:val="00560B1F"/>
    <w:rsid w:val="00560D53"/>
    <w:rsid w:val="00560DEB"/>
    <w:rsid w:val="00560F66"/>
    <w:rsid w:val="00560F91"/>
    <w:rsid w:val="00561251"/>
    <w:rsid w:val="00561540"/>
    <w:rsid w:val="005615AB"/>
    <w:rsid w:val="005619BA"/>
    <w:rsid w:val="005621F4"/>
    <w:rsid w:val="00562581"/>
    <w:rsid w:val="005625FD"/>
    <w:rsid w:val="00562BB0"/>
    <w:rsid w:val="00562D70"/>
    <w:rsid w:val="00562E23"/>
    <w:rsid w:val="00562F22"/>
    <w:rsid w:val="00563080"/>
    <w:rsid w:val="00563092"/>
    <w:rsid w:val="005630AC"/>
    <w:rsid w:val="005630FA"/>
    <w:rsid w:val="00563116"/>
    <w:rsid w:val="00563118"/>
    <w:rsid w:val="0056312A"/>
    <w:rsid w:val="00563150"/>
    <w:rsid w:val="00563334"/>
    <w:rsid w:val="00563985"/>
    <w:rsid w:val="00563C95"/>
    <w:rsid w:val="00563E4B"/>
    <w:rsid w:val="00563E6C"/>
    <w:rsid w:val="005641F1"/>
    <w:rsid w:val="005643C1"/>
    <w:rsid w:val="0056489B"/>
    <w:rsid w:val="005649D1"/>
    <w:rsid w:val="00564A1F"/>
    <w:rsid w:val="00564C13"/>
    <w:rsid w:val="00564F5B"/>
    <w:rsid w:val="00564F7B"/>
    <w:rsid w:val="0056516C"/>
    <w:rsid w:val="00565304"/>
    <w:rsid w:val="00565A29"/>
    <w:rsid w:val="00565A7C"/>
    <w:rsid w:val="00565B27"/>
    <w:rsid w:val="00565F12"/>
    <w:rsid w:val="00565F65"/>
    <w:rsid w:val="00566152"/>
    <w:rsid w:val="00566208"/>
    <w:rsid w:val="00566399"/>
    <w:rsid w:val="00566946"/>
    <w:rsid w:val="00566A11"/>
    <w:rsid w:val="00566D73"/>
    <w:rsid w:val="00566DB7"/>
    <w:rsid w:val="005671FE"/>
    <w:rsid w:val="00567227"/>
    <w:rsid w:val="0056723E"/>
    <w:rsid w:val="00567744"/>
    <w:rsid w:val="0056780A"/>
    <w:rsid w:val="00567A26"/>
    <w:rsid w:val="00567A31"/>
    <w:rsid w:val="00567A8F"/>
    <w:rsid w:val="00567D33"/>
    <w:rsid w:val="005702C6"/>
    <w:rsid w:val="00570352"/>
    <w:rsid w:val="00570431"/>
    <w:rsid w:val="005704C7"/>
    <w:rsid w:val="005706A2"/>
    <w:rsid w:val="005706DA"/>
    <w:rsid w:val="005707AC"/>
    <w:rsid w:val="00570D7C"/>
    <w:rsid w:val="005711F9"/>
    <w:rsid w:val="00571A34"/>
    <w:rsid w:val="00571D0F"/>
    <w:rsid w:val="00571E48"/>
    <w:rsid w:val="00572546"/>
    <w:rsid w:val="00572612"/>
    <w:rsid w:val="00572E45"/>
    <w:rsid w:val="0057311B"/>
    <w:rsid w:val="005733E3"/>
    <w:rsid w:val="00573728"/>
    <w:rsid w:val="00573903"/>
    <w:rsid w:val="00573C83"/>
    <w:rsid w:val="00573CF7"/>
    <w:rsid w:val="00573CFE"/>
    <w:rsid w:val="00573ECB"/>
    <w:rsid w:val="005740C6"/>
    <w:rsid w:val="00574396"/>
    <w:rsid w:val="005749AC"/>
    <w:rsid w:val="00574AD5"/>
    <w:rsid w:val="00574B50"/>
    <w:rsid w:val="00574CE4"/>
    <w:rsid w:val="00574EB4"/>
    <w:rsid w:val="00575056"/>
    <w:rsid w:val="005756DA"/>
    <w:rsid w:val="00575BA8"/>
    <w:rsid w:val="00575D97"/>
    <w:rsid w:val="00575FCC"/>
    <w:rsid w:val="005763A9"/>
    <w:rsid w:val="00576747"/>
    <w:rsid w:val="00576D63"/>
    <w:rsid w:val="00577157"/>
    <w:rsid w:val="005779AF"/>
    <w:rsid w:val="0058035E"/>
    <w:rsid w:val="00580BF7"/>
    <w:rsid w:val="00580F2C"/>
    <w:rsid w:val="00581287"/>
    <w:rsid w:val="00581491"/>
    <w:rsid w:val="00581C27"/>
    <w:rsid w:val="00581E12"/>
    <w:rsid w:val="00581F6F"/>
    <w:rsid w:val="0058232E"/>
    <w:rsid w:val="005828DA"/>
    <w:rsid w:val="00582BD5"/>
    <w:rsid w:val="00582BF8"/>
    <w:rsid w:val="0058307F"/>
    <w:rsid w:val="00583170"/>
    <w:rsid w:val="005838D1"/>
    <w:rsid w:val="00583964"/>
    <w:rsid w:val="00583E82"/>
    <w:rsid w:val="0058430D"/>
    <w:rsid w:val="00584664"/>
    <w:rsid w:val="00584744"/>
    <w:rsid w:val="005849F4"/>
    <w:rsid w:val="00584CBF"/>
    <w:rsid w:val="00584E83"/>
    <w:rsid w:val="00585867"/>
    <w:rsid w:val="005859CD"/>
    <w:rsid w:val="00585BD8"/>
    <w:rsid w:val="00585CB6"/>
    <w:rsid w:val="0058602C"/>
    <w:rsid w:val="00586507"/>
    <w:rsid w:val="00586529"/>
    <w:rsid w:val="00586706"/>
    <w:rsid w:val="00586A9D"/>
    <w:rsid w:val="00587251"/>
    <w:rsid w:val="00587A1A"/>
    <w:rsid w:val="00590480"/>
    <w:rsid w:val="00590DA7"/>
    <w:rsid w:val="00590DEB"/>
    <w:rsid w:val="00591674"/>
    <w:rsid w:val="005916AD"/>
    <w:rsid w:val="00591DF3"/>
    <w:rsid w:val="00591EFC"/>
    <w:rsid w:val="00592006"/>
    <w:rsid w:val="00592071"/>
    <w:rsid w:val="005922B7"/>
    <w:rsid w:val="00592BF2"/>
    <w:rsid w:val="00592D0B"/>
    <w:rsid w:val="00592D2B"/>
    <w:rsid w:val="00592D83"/>
    <w:rsid w:val="00592EB3"/>
    <w:rsid w:val="0059376E"/>
    <w:rsid w:val="005938BD"/>
    <w:rsid w:val="00593912"/>
    <w:rsid w:val="005939BD"/>
    <w:rsid w:val="00593A6B"/>
    <w:rsid w:val="00593BC4"/>
    <w:rsid w:val="00593EBD"/>
    <w:rsid w:val="00593F55"/>
    <w:rsid w:val="0059400D"/>
    <w:rsid w:val="00594056"/>
    <w:rsid w:val="005940B3"/>
    <w:rsid w:val="005941CE"/>
    <w:rsid w:val="005942A4"/>
    <w:rsid w:val="00594B2C"/>
    <w:rsid w:val="00594FBF"/>
    <w:rsid w:val="00594FF4"/>
    <w:rsid w:val="00595254"/>
    <w:rsid w:val="005954B6"/>
    <w:rsid w:val="00595A51"/>
    <w:rsid w:val="00595B2E"/>
    <w:rsid w:val="00595BB8"/>
    <w:rsid w:val="00595C05"/>
    <w:rsid w:val="00595C29"/>
    <w:rsid w:val="00596275"/>
    <w:rsid w:val="0059633A"/>
    <w:rsid w:val="005964BD"/>
    <w:rsid w:val="00596CB8"/>
    <w:rsid w:val="00596ECE"/>
    <w:rsid w:val="0059731F"/>
    <w:rsid w:val="00597394"/>
    <w:rsid w:val="005974BD"/>
    <w:rsid w:val="00597772"/>
    <w:rsid w:val="005978F3"/>
    <w:rsid w:val="00597BB4"/>
    <w:rsid w:val="00597CBE"/>
    <w:rsid w:val="00597FA1"/>
    <w:rsid w:val="005A0665"/>
    <w:rsid w:val="005A0FA8"/>
    <w:rsid w:val="005A195F"/>
    <w:rsid w:val="005A1E45"/>
    <w:rsid w:val="005A1E50"/>
    <w:rsid w:val="005A1EDD"/>
    <w:rsid w:val="005A1FC7"/>
    <w:rsid w:val="005A265B"/>
    <w:rsid w:val="005A2779"/>
    <w:rsid w:val="005A2992"/>
    <w:rsid w:val="005A2BA1"/>
    <w:rsid w:val="005A2DE6"/>
    <w:rsid w:val="005A2E15"/>
    <w:rsid w:val="005A31D7"/>
    <w:rsid w:val="005A34AC"/>
    <w:rsid w:val="005A3697"/>
    <w:rsid w:val="005A37D2"/>
    <w:rsid w:val="005A38A9"/>
    <w:rsid w:val="005A3F43"/>
    <w:rsid w:val="005A3F5F"/>
    <w:rsid w:val="005A4071"/>
    <w:rsid w:val="005A4655"/>
    <w:rsid w:val="005A4954"/>
    <w:rsid w:val="005A49B7"/>
    <w:rsid w:val="005A501D"/>
    <w:rsid w:val="005A5331"/>
    <w:rsid w:val="005A5A05"/>
    <w:rsid w:val="005A5CA7"/>
    <w:rsid w:val="005A6044"/>
    <w:rsid w:val="005A620D"/>
    <w:rsid w:val="005A64D6"/>
    <w:rsid w:val="005A64E5"/>
    <w:rsid w:val="005A6A65"/>
    <w:rsid w:val="005A714B"/>
    <w:rsid w:val="005A718C"/>
    <w:rsid w:val="005A71C3"/>
    <w:rsid w:val="005A75DA"/>
    <w:rsid w:val="005A76B2"/>
    <w:rsid w:val="005A777E"/>
    <w:rsid w:val="005A7891"/>
    <w:rsid w:val="005A7B48"/>
    <w:rsid w:val="005A7F94"/>
    <w:rsid w:val="005A7FAA"/>
    <w:rsid w:val="005B00DF"/>
    <w:rsid w:val="005B0328"/>
    <w:rsid w:val="005B0447"/>
    <w:rsid w:val="005B0AD2"/>
    <w:rsid w:val="005B1622"/>
    <w:rsid w:val="005B166B"/>
    <w:rsid w:val="005B1721"/>
    <w:rsid w:val="005B1756"/>
    <w:rsid w:val="005B1EE7"/>
    <w:rsid w:val="005B1F5B"/>
    <w:rsid w:val="005B1FA8"/>
    <w:rsid w:val="005B20A8"/>
    <w:rsid w:val="005B254B"/>
    <w:rsid w:val="005B2AA8"/>
    <w:rsid w:val="005B2C1B"/>
    <w:rsid w:val="005B335A"/>
    <w:rsid w:val="005B3819"/>
    <w:rsid w:val="005B390B"/>
    <w:rsid w:val="005B39BD"/>
    <w:rsid w:val="005B39D4"/>
    <w:rsid w:val="005B3AB9"/>
    <w:rsid w:val="005B3AD3"/>
    <w:rsid w:val="005B41DB"/>
    <w:rsid w:val="005B4518"/>
    <w:rsid w:val="005B4A48"/>
    <w:rsid w:val="005B53D9"/>
    <w:rsid w:val="005B55D0"/>
    <w:rsid w:val="005B5637"/>
    <w:rsid w:val="005B57B9"/>
    <w:rsid w:val="005B5847"/>
    <w:rsid w:val="005B58FC"/>
    <w:rsid w:val="005B5AB5"/>
    <w:rsid w:val="005B5B9E"/>
    <w:rsid w:val="005B5C9D"/>
    <w:rsid w:val="005B5CFD"/>
    <w:rsid w:val="005B5D14"/>
    <w:rsid w:val="005B5FC8"/>
    <w:rsid w:val="005B603B"/>
    <w:rsid w:val="005B6121"/>
    <w:rsid w:val="005B634A"/>
    <w:rsid w:val="005B6472"/>
    <w:rsid w:val="005B69B8"/>
    <w:rsid w:val="005B6A12"/>
    <w:rsid w:val="005B7A64"/>
    <w:rsid w:val="005B7A68"/>
    <w:rsid w:val="005B7D01"/>
    <w:rsid w:val="005B7F03"/>
    <w:rsid w:val="005C0598"/>
    <w:rsid w:val="005C065B"/>
    <w:rsid w:val="005C0701"/>
    <w:rsid w:val="005C07BD"/>
    <w:rsid w:val="005C0F06"/>
    <w:rsid w:val="005C13C5"/>
    <w:rsid w:val="005C171D"/>
    <w:rsid w:val="005C1B73"/>
    <w:rsid w:val="005C2270"/>
    <w:rsid w:val="005C22BD"/>
    <w:rsid w:val="005C2404"/>
    <w:rsid w:val="005C2732"/>
    <w:rsid w:val="005C2D79"/>
    <w:rsid w:val="005C307D"/>
    <w:rsid w:val="005C30A3"/>
    <w:rsid w:val="005C310D"/>
    <w:rsid w:val="005C3587"/>
    <w:rsid w:val="005C3588"/>
    <w:rsid w:val="005C3B9A"/>
    <w:rsid w:val="005C3DFC"/>
    <w:rsid w:val="005C40AF"/>
    <w:rsid w:val="005C450C"/>
    <w:rsid w:val="005C455E"/>
    <w:rsid w:val="005C46CC"/>
    <w:rsid w:val="005C4948"/>
    <w:rsid w:val="005C4D60"/>
    <w:rsid w:val="005C4E42"/>
    <w:rsid w:val="005C511D"/>
    <w:rsid w:val="005C518E"/>
    <w:rsid w:val="005C54DF"/>
    <w:rsid w:val="005C5524"/>
    <w:rsid w:val="005C564F"/>
    <w:rsid w:val="005C57C6"/>
    <w:rsid w:val="005C62A6"/>
    <w:rsid w:val="005C650C"/>
    <w:rsid w:val="005C6541"/>
    <w:rsid w:val="005C6878"/>
    <w:rsid w:val="005C6C7D"/>
    <w:rsid w:val="005C6ED0"/>
    <w:rsid w:val="005C70CE"/>
    <w:rsid w:val="005C7282"/>
    <w:rsid w:val="005C7631"/>
    <w:rsid w:val="005C775D"/>
    <w:rsid w:val="005C799E"/>
    <w:rsid w:val="005C7C27"/>
    <w:rsid w:val="005C7E34"/>
    <w:rsid w:val="005C7FC1"/>
    <w:rsid w:val="005D0563"/>
    <w:rsid w:val="005D1144"/>
    <w:rsid w:val="005D1417"/>
    <w:rsid w:val="005D142A"/>
    <w:rsid w:val="005D1EAD"/>
    <w:rsid w:val="005D1F89"/>
    <w:rsid w:val="005D20D4"/>
    <w:rsid w:val="005D24FB"/>
    <w:rsid w:val="005D2A44"/>
    <w:rsid w:val="005D2B15"/>
    <w:rsid w:val="005D2D82"/>
    <w:rsid w:val="005D2E54"/>
    <w:rsid w:val="005D3370"/>
    <w:rsid w:val="005D340C"/>
    <w:rsid w:val="005D35FF"/>
    <w:rsid w:val="005D3975"/>
    <w:rsid w:val="005D3BFB"/>
    <w:rsid w:val="005D3CAF"/>
    <w:rsid w:val="005D3EA1"/>
    <w:rsid w:val="005D3F19"/>
    <w:rsid w:val="005D4117"/>
    <w:rsid w:val="005D46AD"/>
    <w:rsid w:val="005D48D5"/>
    <w:rsid w:val="005D4A30"/>
    <w:rsid w:val="005D4C4E"/>
    <w:rsid w:val="005D5208"/>
    <w:rsid w:val="005D5883"/>
    <w:rsid w:val="005D5918"/>
    <w:rsid w:val="005D5B07"/>
    <w:rsid w:val="005D611F"/>
    <w:rsid w:val="005D6179"/>
    <w:rsid w:val="005D62E4"/>
    <w:rsid w:val="005D638D"/>
    <w:rsid w:val="005D6856"/>
    <w:rsid w:val="005D6B7B"/>
    <w:rsid w:val="005D709A"/>
    <w:rsid w:val="005D733D"/>
    <w:rsid w:val="005D738B"/>
    <w:rsid w:val="005D76C0"/>
    <w:rsid w:val="005D7735"/>
    <w:rsid w:val="005D777D"/>
    <w:rsid w:val="005D7B08"/>
    <w:rsid w:val="005E0058"/>
    <w:rsid w:val="005E009B"/>
    <w:rsid w:val="005E0424"/>
    <w:rsid w:val="005E05CE"/>
    <w:rsid w:val="005E072D"/>
    <w:rsid w:val="005E0792"/>
    <w:rsid w:val="005E09C3"/>
    <w:rsid w:val="005E0BFC"/>
    <w:rsid w:val="005E0CBA"/>
    <w:rsid w:val="005E0EC9"/>
    <w:rsid w:val="005E1721"/>
    <w:rsid w:val="005E1832"/>
    <w:rsid w:val="005E1A3D"/>
    <w:rsid w:val="005E1B08"/>
    <w:rsid w:val="005E1B6A"/>
    <w:rsid w:val="005E20EE"/>
    <w:rsid w:val="005E22C8"/>
    <w:rsid w:val="005E2338"/>
    <w:rsid w:val="005E23D8"/>
    <w:rsid w:val="005E2535"/>
    <w:rsid w:val="005E2604"/>
    <w:rsid w:val="005E28A7"/>
    <w:rsid w:val="005E2A49"/>
    <w:rsid w:val="005E2E25"/>
    <w:rsid w:val="005E30D4"/>
    <w:rsid w:val="005E3598"/>
    <w:rsid w:val="005E37B5"/>
    <w:rsid w:val="005E3EFE"/>
    <w:rsid w:val="005E3F7E"/>
    <w:rsid w:val="005E41DB"/>
    <w:rsid w:val="005E4E98"/>
    <w:rsid w:val="005E571F"/>
    <w:rsid w:val="005E5944"/>
    <w:rsid w:val="005E5DDE"/>
    <w:rsid w:val="005E6225"/>
    <w:rsid w:val="005E67D3"/>
    <w:rsid w:val="005E6B1B"/>
    <w:rsid w:val="005E6BB8"/>
    <w:rsid w:val="005E6E52"/>
    <w:rsid w:val="005E71CE"/>
    <w:rsid w:val="005E72E5"/>
    <w:rsid w:val="005E7954"/>
    <w:rsid w:val="005E7C08"/>
    <w:rsid w:val="005E7C59"/>
    <w:rsid w:val="005E7D51"/>
    <w:rsid w:val="005E7FBD"/>
    <w:rsid w:val="005F007A"/>
    <w:rsid w:val="005F02E5"/>
    <w:rsid w:val="005F03FC"/>
    <w:rsid w:val="005F0473"/>
    <w:rsid w:val="005F05AE"/>
    <w:rsid w:val="005F0A6E"/>
    <w:rsid w:val="005F0ACF"/>
    <w:rsid w:val="005F0B72"/>
    <w:rsid w:val="005F0B9D"/>
    <w:rsid w:val="005F0C05"/>
    <w:rsid w:val="005F1331"/>
    <w:rsid w:val="005F1400"/>
    <w:rsid w:val="005F160C"/>
    <w:rsid w:val="005F1661"/>
    <w:rsid w:val="005F199F"/>
    <w:rsid w:val="005F1A52"/>
    <w:rsid w:val="005F1AA9"/>
    <w:rsid w:val="005F1CF8"/>
    <w:rsid w:val="005F1D56"/>
    <w:rsid w:val="005F1DD3"/>
    <w:rsid w:val="005F2026"/>
    <w:rsid w:val="005F2A53"/>
    <w:rsid w:val="005F2C7F"/>
    <w:rsid w:val="005F2DE6"/>
    <w:rsid w:val="005F301F"/>
    <w:rsid w:val="005F3167"/>
    <w:rsid w:val="005F33ED"/>
    <w:rsid w:val="005F342A"/>
    <w:rsid w:val="005F3528"/>
    <w:rsid w:val="005F3B52"/>
    <w:rsid w:val="005F3B63"/>
    <w:rsid w:val="005F3C1C"/>
    <w:rsid w:val="005F47C3"/>
    <w:rsid w:val="005F483A"/>
    <w:rsid w:val="005F48E5"/>
    <w:rsid w:val="005F4B22"/>
    <w:rsid w:val="005F4BE9"/>
    <w:rsid w:val="005F4F4E"/>
    <w:rsid w:val="005F4FB4"/>
    <w:rsid w:val="005F5083"/>
    <w:rsid w:val="005F55E7"/>
    <w:rsid w:val="005F5675"/>
    <w:rsid w:val="005F59F0"/>
    <w:rsid w:val="005F5B0B"/>
    <w:rsid w:val="005F5B91"/>
    <w:rsid w:val="005F5CDA"/>
    <w:rsid w:val="005F638C"/>
    <w:rsid w:val="005F6D19"/>
    <w:rsid w:val="005F7000"/>
    <w:rsid w:val="005F7078"/>
    <w:rsid w:val="005F72A5"/>
    <w:rsid w:val="005F73F1"/>
    <w:rsid w:val="005F74BB"/>
    <w:rsid w:val="005F77DA"/>
    <w:rsid w:val="005F7E57"/>
    <w:rsid w:val="005F7E84"/>
    <w:rsid w:val="006000D5"/>
    <w:rsid w:val="0060029D"/>
    <w:rsid w:val="006003B0"/>
    <w:rsid w:val="00600727"/>
    <w:rsid w:val="00600F12"/>
    <w:rsid w:val="00601136"/>
    <w:rsid w:val="006011BF"/>
    <w:rsid w:val="00601487"/>
    <w:rsid w:val="00601B58"/>
    <w:rsid w:val="00602141"/>
    <w:rsid w:val="00602444"/>
    <w:rsid w:val="0060245F"/>
    <w:rsid w:val="00602B53"/>
    <w:rsid w:val="00602EDE"/>
    <w:rsid w:val="006038B7"/>
    <w:rsid w:val="006044AB"/>
    <w:rsid w:val="006044FE"/>
    <w:rsid w:val="00604924"/>
    <w:rsid w:val="00604A61"/>
    <w:rsid w:val="00604DC6"/>
    <w:rsid w:val="006052C3"/>
    <w:rsid w:val="0060545C"/>
    <w:rsid w:val="006055F6"/>
    <w:rsid w:val="00605969"/>
    <w:rsid w:val="00605A04"/>
    <w:rsid w:val="00605BA4"/>
    <w:rsid w:val="00605C91"/>
    <w:rsid w:val="00605F9E"/>
    <w:rsid w:val="00605FE9"/>
    <w:rsid w:val="006061CE"/>
    <w:rsid w:val="0060646E"/>
    <w:rsid w:val="00606787"/>
    <w:rsid w:val="00606BF0"/>
    <w:rsid w:val="00606F45"/>
    <w:rsid w:val="00607511"/>
    <w:rsid w:val="006075DD"/>
    <w:rsid w:val="006076B2"/>
    <w:rsid w:val="00607B9F"/>
    <w:rsid w:val="00607C7E"/>
    <w:rsid w:val="00607F41"/>
    <w:rsid w:val="00610207"/>
    <w:rsid w:val="006102DD"/>
    <w:rsid w:val="006102DE"/>
    <w:rsid w:val="00610FAC"/>
    <w:rsid w:val="00611023"/>
    <w:rsid w:val="00611226"/>
    <w:rsid w:val="0061174F"/>
    <w:rsid w:val="00611CC5"/>
    <w:rsid w:val="00612416"/>
    <w:rsid w:val="00612478"/>
    <w:rsid w:val="0061297B"/>
    <w:rsid w:val="00612B27"/>
    <w:rsid w:val="00612C1F"/>
    <w:rsid w:val="00612DC8"/>
    <w:rsid w:val="00612EFD"/>
    <w:rsid w:val="00612F68"/>
    <w:rsid w:val="0061304F"/>
    <w:rsid w:val="00613446"/>
    <w:rsid w:val="006138D4"/>
    <w:rsid w:val="00613A8D"/>
    <w:rsid w:val="00613AB8"/>
    <w:rsid w:val="00613AC8"/>
    <w:rsid w:val="00613E23"/>
    <w:rsid w:val="00614224"/>
    <w:rsid w:val="00614429"/>
    <w:rsid w:val="006144EB"/>
    <w:rsid w:val="00614B1A"/>
    <w:rsid w:val="00614CD3"/>
    <w:rsid w:val="00615056"/>
    <w:rsid w:val="006156AE"/>
    <w:rsid w:val="0061587A"/>
    <w:rsid w:val="00616455"/>
    <w:rsid w:val="00616A04"/>
    <w:rsid w:val="00616D27"/>
    <w:rsid w:val="00617208"/>
    <w:rsid w:val="00617246"/>
    <w:rsid w:val="00617467"/>
    <w:rsid w:val="0061768C"/>
    <w:rsid w:val="00617759"/>
    <w:rsid w:val="00617FB3"/>
    <w:rsid w:val="00617FD3"/>
    <w:rsid w:val="006200D3"/>
    <w:rsid w:val="006204E7"/>
    <w:rsid w:val="006204F6"/>
    <w:rsid w:val="00620563"/>
    <w:rsid w:val="0062075D"/>
    <w:rsid w:val="006209BA"/>
    <w:rsid w:val="00620A84"/>
    <w:rsid w:val="00620B7F"/>
    <w:rsid w:val="00620EC6"/>
    <w:rsid w:val="00620EF2"/>
    <w:rsid w:val="0062127F"/>
    <w:rsid w:val="00621397"/>
    <w:rsid w:val="00621AAC"/>
    <w:rsid w:val="00621B84"/>
    <w:rsid w:val="00621D10"/>
    <w:rsid w:val="00622238"/>
    <w:rsid w:val="006227E6"/>
    <w:rsid w:val="00622D08"/>
    <w:rsid w:val="00623294"/>
    <w:rsid w:val="00623714"/>
    <w:rsid w:val="00623C50"/>
    <w:rsid w:val="006240D9"/>
    <w:rsid w:val="006241C9"/>
    <w:rsid w:val="0062457C"/>
    <w:rsid w:val="00624836"/>
    <w:rsid w:val="0062531B"/>
    <w:rsid w:val="0062538F"/>
    <w:rsid w:val="0062552E"/>
    <w:rsid w:val="006256B1"/>
    <w:rsid w:val="0062583F"/>
    <w:rsid w:val="0062587C"/>
    <w:rsid w:val="006259F6"/>
    <w:rsid w:val="006260B4"/>
    <w:rsid w:val="00626142"/>
    <w:rsid w:val="00626326"/>
    <w:rsid w:val="00626523"/>
    <w:rsid w:val="0062680B"/>
    <w:rsid w:val="006268F8"/>
    <w:rsid w:val="00626965"/>
    <w:rsid w:val="00626B8F"/>
    <w:rsid w:val="00627046"/>
    <w:rsid w:val="0062797F"/>
    <w:rsid w:val="00630796"/>
    <w:rsid w:val="00631069"/>
    <w:rsid w:val="006318CF"/>
    <w:rsid w:val="006319BE"/>
    <w:rsid w:val="00631A11"/>
    <w:rsid w:val="00631BBD"/>
    <w:rsid w:val="00631CF7"/>
    <w:rsid w:val="00631E01"/>
    <w:rsid w:val="00632395"/>
    <w:rsid w:val="00632527"/>
    <w:rsid w:val="00632556"/>
    <w:rsid w:val="00632976"/>
    <w:rsid w:val="00632AFF"/>
    <w:rsid w:val="00632FE1"/>
    <w:rsid w:val="006332DB"/>
    <w:rsid w:val="0063367D"/>
    <w:rsid w:val="00633818"/>
    <w:rsid w:val="006338F0"/>
    <w:rsid w:val="00633A42"/>
    <w:rsid w:val="00633BA2"/>
    <w:rsid w:val="00633E43"/>
    <w:rsid w:val="0063434F"/>
    <w:rsid w:val="006345ED"/>
    <w:rsid w:val="00634757"/>
    <w:rsid w:val="0063478F"/>
    <w:rsid w:val="0063491D"/>
    <w:rsid w:val="006349D8"/>
    <w:rsid w:val="00634B67"/>
    <w:rsid w:val="00634CE6"/>
    <w:rsid w:val="00634F72"/>
    <w:rsid w:val="006352A0"/>
    <w:rsid w:val="006352FF"/>
    <w:rsid w:val="006354B8"/>
    <w:rsid w:val="00635D75"/>
    <w:rsid w:val="00635F08"/>
    <w:rsid w:val="00636109"/>
    <w:rsid w:val="00636227"/>
    <w:rsid w:val="0063632C"/>
    <w:rsid w:val="006363CC"/>
    <w:rsid w:val="006367EA"/>
    <w:rsid w:val="00636C2B"/>
    <w:rsid w:val="00636F08"/>
    <w:rsid w:val="00637713"/>
    <w:rsid w:val="00637806"/>
    <w:rsid w:val="00637A6F"/>
    <w:rsid w:val="006400DD"/>
    <w:rsid w:val="006408B1"/>
    <w:rsid w:val="006408BD"/>
    <w:rsid w:val="00640D1D"/>
    <w:rsid w:val="00640D3F"/>
    <w:rsid w:val="006413E3"/>
    <w:rsid w:val="00641438"/>
    <w:rsid w:val="00641A4A"/>
    <w:rsid w:val="00641AFC"/>
    <w:rsid w:val="00641E18"/>
    <w:rsid w:val="006424BB"/>
    <w:rsid w:val="006424FF"/>
    <w:rsid w:val="0064254E"/>
    <w:rsid w:val="00642928"/>
    <w:rsid w:val="00642B6E"/>
    <w:rsid w:val="00642C23"/>
    <w:rsid w:val="00642F17"/>
    <w:rsid w:val="006430E5"/>
    <w:rsid w:val="006431F0"/>
    <w:rsid w:val="0064358C"/>
    <w:rsid w:val="00643675"/>
    <w:rsid w:val="00643712"/>
    <w:rsid w:val="00643909"/>
    <w:rsid w:val="00643DFF"/>
    <w:rsid w:val="0064441C"/>
    <w:rsid w:val="0064462E"/>
    <w:rsid w:val="00644964"/>
    <w:rsid w:val="0064496D"/>
    <w:rsid w:val="00644D84"/>
    <w:rsid w:val="00645625"/>
    <w:rsid w:val="0064574C"/>
    <w:rsid w:val="00645A72"/>
    <w:rsid w:val="00645AF1"/>
    <w:rsid w:val="00645D5F"/>
    <w:rsid w:val="006463CC"/>
    <w:rsid w:val="0064688E"/>
    <w:rsid w:val="0064729F"/>
    <w:rsid w:val="00647303"/>
    <w:rsid w:val="00647353"/>
    <w:rsid w:val="006479B7"/>
    <w:rsid w:val="00647A90"/>
    <w:rsid w:val="0065010C"/>
    <w:rsid w:val="006501C9"/>
    <w:rsid w:val="00650984"/>
    <w:rsid w:val="00651164"/>
    <w:rsid w:val="0065158F"/>
    <w:rsid w:val="006519AF"/>
    <w:rsid w:val="00651F66"/>
    <w:rsid w:val="006521D8"/>
    <w:rsid w:val="006527D0"/>
    <w:rsid w:val="00652A2F"/>
    <w:rsid w:val="00652AA4"/>
    <w:rsid w:val="00652B44"/>
    <w:rsid w:val="00652D97"/>
    <w:rsid w:val="00653314"/>
    <w:rsid w:val="0065332E"/>
    <w:rsid w:val="00653525"/>
    <w:rsid w:val="00653813"/>
    <w:rsid w:val="00653A51"/>
    <w:rsid w:val="00653EC3"/>
    <w:rsid w:val="00654118"/>
    <w:rsid w:val="006543EC"/>
    <w:rsid w:val="0065447B"/>
    <w:rsid w:val="00654574"/>
    <w:rsid w:val="0065489C"/>
    <w:rsid w:val="00654A07"/>
    <w:rsid w:val="006551DE"/>
    <w:rsid w:val="006554A8"/>
    <w:rsid w:val="00655AA7"/>
    <w:rsid w:val="00655AEB"/>
    <w:rsid w:val="00655C60"/>
    <w:rsid w:val="00655EC6"/>
    <w:rsid w:val="00656450"/>
    <w:rsid w:val="0065648C"/>
    <w:rsid w:val="006565B3"/>
    <w:rsid w:val="00656787"/>
    <w:rsid w:val="00656DBB"/>
    <w:rsid w:val="00656F19"/>
    <w:rsid w:val="00656FCF"/>
    <w:rsid w:val="0065766F"/>
    <w:rsid w:val="00657848"/>
    <w:rsid w:val="006578D4"/>
    <w:rsid w:val="00657B3D"/>
    <w:rsid w:val="00657F2F"/>
    <w:rsid w:val="00660174"/>
    <w:rsid w:val="006602E4"/>
    <w:rsid w:val="006607EF"/>
    <w:rsid w:val="006608DA"/>
    <w:rsid w:val="006609CD"/>
    <w:rsid w:val="00661246"/>
    <w:rsid w:val="00661645"/>
    <w:rsid w:val="00661C27"/>
    <w:rsid w:val="00662002"/>
    <w:rsid w:val="006622EE"/>
    <w:rsid w:val="006626CD"/>
    <w:rsid w:val="0066348B"/>
    <w:rsid w:val="006635FC"/>
    <w:rsid w:val="006638A0"/>
    <w:rsid w:val="006639CB"/>
    <w:rsid w:val="00663A9B"/>
    <w:rsid w:val="00663D1C"/>
    <w:rsid w:val="00663D84"/>
    <w:rsid w:val="00663EC6"/>
    <w:rsid w:val="0066401B"/>
    <w:rsid w:val="006643B9"/>
    <w:rsid w:val="006647B4"/>
    <w:rsid w:val="006648A7"/>
    <w:rsid w:val="00664A3E"/>
    <w:rsid w:val="0066543D"/>
    <w:rsid w:val="0066582F"/>
    <w:rsid w:val="00665BC3"/>
    <w:rsid w:val="00666148"/>
    <w:rsid w:val="00666216"/>
    <w:rsid w:val="00666496"/>
    <w:rsid w:val="00667AE9"/>
    <w:rsid w:val="00667D6A"/>
    <w:rsid w:val="006702F2"/>
    <w:rsid w:val="006706B6"/>
    <w:rsid w:val="00670A06"/>
    <w:rsid w:val="00670D70"/>
    <w:rsid w:val="00671114"/>
    <w:rsid w:val="006712B1"/>
    <w:rsid w:val="006718CE"/>
    <w:rsid w:val="00671BA2"/>
    <w:rsid w:val="00671DAE"/>
    <w:rsid w:val="006721DA"/>
    <w:rsid w:val="00672287"/>
    <w:rsid w:val="006722FF"/>
    <w:rsid w:val="00672386"/>
    <w:rsid w:val="006723BE"/>
    <w:rsid w:val="00672481"/>
    <w:rsid w:val="00672BF7"/>
    <w:rsid w:val="00672F59"/>
    <w:rsid w:val="00672F61"/>
    <w:rsid w:val="006732A7"/>
    <w:rsid w:val="00673B20"/>
    <w:rsid w:val="00673DE2"/>
    <w:rsid w:val="00673F20"/>
    <w:rsid w:val="00674344"/>
    <w:rsid w:val="006746EF"/>
    <w:rsid w:val="00674729"/>
    <w:rsid w:val="006747C0"/>
    <w:rsid w:val="006748EB"/>
    <w:rsid w:val="00674AE1"/>
    <w:rsid w:val="00675417"/>
    <w:rsid w:val="00675AFE"/>
    <w:rsid w:val="00676086"/>
    <w:rsid w:val="006760AA"/>
    <w:rsid w:val="0067623E"/>
    <w:rsid w:val="0067668E"/>
    <w:rsid w:val="00676761"/>
    <w:rsid w:val="00676A95"/>
    <w:rsid w:val="00676C20"/>
    <w:rsid w:val="006772ED"/>
    <w:rsid w:val="0067745E"/>
    <w:rsid w:val="00677496"/>
    <w:rsid w:val="0067784B"/>
    <w:rsid w:val="00677A14"/>
    <w:rsid w:val="00677AD4"/>
    <w:rsid w:val="00677B75"/>
    <w:rsid w:val="00677BF8"/>
    <w:rsid w:val="00677C99"/>
    <w:rsid w:val="00677E3B"/>
    <w:rsid w:val="00677EA0"/>
    <w:rsid w:val="00677FF1"/>
    <w:rsid w:val="006802D2"/>
    <w:rsid w:val="00680A2A"/>
    <w:rsid w:val="00680C33"/>
    <w:rsid w:val="00680F5E"/>
    <w:rsid w:val="00680F89"/>
    <w:rsid w:val="0068138A"/>
    <w:rsid w:val="006815FF"/>
    <w:rsid w:val="00682236"/>
    <w:rsid w:val="00682419"/>
    <w:rsid w:val="006824AC"/>
    <w:rsid w:val="006824B3"/>
    <w:rsid w:val="006826F8"/>
    <w:rsid w:val="0068283F"/>
    <w:rsid w:val="006829B7"/>
    <w:rsid w:val="00682D43"/>
    <w:rsid w:val="00682E71"/>
    <w:rsid w:val="00682E79"/>
    <w:rsid w:val="00682F45"/>
    <w:rsid w:val="0068306C"/>
    <w:rsid w:val="00683312"/>
    <w:rsid w:val="006836DE"/>
    <w:rsid w:val="006838FF"/>
    <w:rsid w:val="00683FF3"/>
    <w:rsid w:val="006842A0"/>
    <w:rsid w:val="00684418"/>
    <w:rsid w:val="0068481B"/>
    <w:rsid w:val="00684CFD"/>
    <w:rsid w:val="00684EA7"/>
    <w:rsid w:val="0068533C"/>
    <w:rsid w:val="00685377"/>
    <w:rsid w:val="006853BE"/>
    <w:rsid w:val="006855ED"/>
    <w:rsid w:val="00685733"/>
    <w:rsid w:val="0068585D"/>
    <w:rsid w:val="006858F6"/>
    <w:rsid w:val="00686029"/>
    <w:rsid w:val="006860BF"/>
    <w:rsid w:val="006863B1"/>
    <w:rsid w:val="006865E0"/>
    <w:rsid w:val="00686669"/>
    <w:rsid w:val="00686D7E"/>
    <w:rsid w:val="00687865"/>
    <w:rsid w:val="006878E0"/>
    <w:rsid w:val="00687B5A"/>
    <w:rsid w:val="00687B87"/>
    <w:rsid w:val="00687BCA"/>
    <w:rsid w:val="00687ED5"/>
    <w:rsid w:val="006904EB"/>
    <w:rsid w:val="00690BCF"/>
    <w:rsid w:val="00690C28"/>
    <w:rsid w:val="00690F1D"/>
    <w:rsid w:val="00691BBB"/>
    <w:rsid w:val="00691E1A"/>
    <w:rsid w:val="00691E2B"/>
    <w:rsid w:val="00692417"/>
    <w:rsid w:val="0069272F"/>
    <w:rsid w:val="00692981"/>
    <w:rsid w:val="00692F15"/>
    <w:rsid w:val="00692F6D"/>
    <w:rsid w:val="006933E6"/>
    <w:rsid w:val="006934E3"/>
    <w:rsid w:val="006940CC"/>
    <w:rsid w:val="006941A7"/>
    <w:rsid w:val="006946A1"/>
    <w:rsid w:val="00694D6F"/>
    <w:rsid w:val="00694ECC"/>
    <w:rsid w:val="006950BD"/>
    <w:rsid w:val="0069521F"/>
    <w:rsid w:val="00695496"/>
    <w:rsid w:val="00695DDD"/>
    <w:rsid w:val="006964AF"/>
    <w:rsid w:val="00696B2E"/>
    <w:rsid w:val="00696C05"/>
    <w:rsid w:val="00696D5A"/>
    <w:rsid w:val="0069708A"/>
    <w:rsid w:val="006972EB"/>
    <w:rsid w:val="00697326"/>
    <w:rsid w:val="0069750A"/>
    <w:rsid w:val="0069762E"/>
    <w:rsid w:val="006977A8"/>
    <w:rsid w:val="006977E8"/>
    <w:rsid w:val="00697A89"/>
    <w:rsid w:val="00697BD4"/>
    <w:rsid w:val="006A0540"/>
    <w:rsid w:val="006A0C88"/>
    <w:rsid w:val="006A0D7E"/>
    <w:rsid w:val="006A0F8F"/>
    <w:rsid w:val="006A11C2"/>
    <w:rsid w:val="006A156E"/>
    <w:rsid w:val="006A169B"/>
    <w:rsid w:val="006A193F"/>
    <w:rsid w:val="006A1943"/>
    <w:rsid w:val="006A22E4"/>
    <w:rsid w:val="006A258E"/>
    <w:rsid w:val="006A2726"/>
    <w:rsid w:val="006A2769"/>
    <w:rsid w:val="006A2CC3"/>
    <w:rsid w:val="006A3057"/>
    <w:rsid w:val="006A3086"/>
    <w:rsid w:val="006A35FE"/>
    <w:rsid w:val="006A3641"/>
    <w:rsid w:val="006A3990"/>
    <w:rsid w:val="006A3DDB"/>
    <w:rsid w:val="006A4780"/>
    <w:rsid w:val="006A48C4"/>
    <w:rsid w:val="006A49B0"/>
    <w:rsid w:val="006A4DD1"/>
    <w:rsid w:val="006A4F02"/>
    <w:rsid w:val="006A500C"/>
    <w:rsid w:val="006A5236"/>
    <w:rsid w:val="006A5245"/>
    <w:rsid w:val="006A5497"/>
    <w:rsid w:val="006A5578"/>
    <w:rsid w:val="006A5768"/>
    <w:rsid w:val="006A5DEA"/>
    <w:rsid w:val="006A6C07"/>
    <w:rsid w:val="006A6FE3"/>
    <w:rsid w:val="006A727C"/>
    <w:rsid w:val="006A7803"/>
    <w:rsid w:val="006A78C4"/>
    <w:rsid w:val="006A7A6A"/>
    <w:rsid w:val="006A7E4B"/>
    <w:rsid w:val="006A7F46"/>
    <w:rsid w:val="006B01E1"/>
    <w:rsid w:val="006B022C"/>
    <w:rsid w:val="006B02CA"/>
    <w:rsid w:val="006B0717"/>
    <w:rsid w:val="006B081F"/>
    <w:rsid w:val="006B097D"/>
    <w:rsid w:val="006B097F"/>
    <w:rsid w:val="006B0BCE"/>
    <w:rsid w:val="006B0DF0"/>
    <w:rsid w:val="006B0E27"/>
    <w:rsid w:val="006B0E95"/>
    <w:rsid w:val="006B12D7"/>
    <w:rsid w:val="006B13A8"/>
    <w:rsid w:val="006B1C73"/>
    <w:rsid w:val="006B1CC4"/>
    <w:rsid w:val="006B25CD"/>
    <w:rsid w:val="006B2795"/>
    <w:rsid w:val="006B2CA0"/>
    <w:rsid w:val="006B302B"/>
    <w:rsid w:val="006B309C"/>
    <w:rsid w:val="006B30E1"/>
    <w:rsid w:val="006B319A"/>
    <w:rsid w:val="006B349C"/>
    <w:rsid w:val="006B3851"/>
    <w:rsid w:val="006B3A21"/>
    <w:rsid w:val="006B3A9F"/>
    <w:rsid w:val="006B3B0B"/>
    <w:rsid w:val="006B3F09"/>
    <w:rsid w:val="006B3F1F"/>
    <w:rsid w:val="006B3F41"/>
    <w:rsid w:val="006B4438"/>
    <w:rsid w:val="006B470E"/>
    <w:rsid w:val="006B4B52"/>
    <w:rsid w:val="006B4DC6"/>
    <w:rsid w:val="006B4F0A"/>
    <w:rsid w:val="006B5EF7"/>
    <w:rsid w:val="006B629D"/>
    <w:rsid w:val="006B62AD"/>
    <w:rsid w:val="006B62DE"/>
    <w:rsid w:val="006B63F8"/>
    <w:rsid w:val="006B6477"/>
    <w:rsid w:val="006B6683"/>
    <w:rsid w:val="006B6AC8"/>
    <w:rsid w:val="006B70E6"/>
    <w:rsid w:val="006B724A"/>
    <w:rsid w:val="006B7325"/>
    <w:rsid w:val="006B7A43"/>
    <w:rsid w:val="006C02DD"/>
    <w:rsid w:val="006C0A60"/>
    <w:rsid w:val="006C0A8B"/>
    <w:rsid w:val="006C0B21"/>
    <w:rsid w:val="006C0C1B"/>
    <w:rsid w:val="006C0D5A"/>
    <w:rsid w:val="006C1189"/>
    <w:rsid w:val="006C129B"/>
    <w:rsid w:val="006C12B1"/>
    <w:rsid w:val="006C145C"/>
    <w:rsid w:val="006C148C"/>
    <w:rsid w:val="006C1492"/>
    <w:rsid w:val="006C188B"/>
    <w:rsid w:val="006C1A45"/>
    <w:rsid w:val="006C1A70"/>
    <w:rsid w:val="006C1B3F"/>
    <w:rsid w:val="006C1BFA"/>
    <w:rsid w:val="006C1C5D"/>
    <w:rsid w:val="006C20C0"/>
    <w:rsid w:val="006C2271"/>
    <w:rsid w:val="006C2ABE"/>
    <w:rsid w:val="006C2C3D"/>
    <w:rsid w:val="006C2CFD"/>
    <w:rsid w:val="006C3479"/>
    <w:rsid w:val="006C3576"/>
    <w:rsid w:val="006C383F"/>
    <w:rsid w:val="006C3E45"/>
    <w:rsid w:val="006C468C"/>
    <w:rsid w:val="006C4779"/>
    <w:rsid w:val="006C4A48"/>
    <w:rsid w:val="006C4ACF"/>
    <w:rsid w:val="006C4BE3"/>
    <w:rsid w:val="006C4F57"/>
    <w:rsid w:val="006C52CA"/>
    <w:rsid w:val="006C5A5B"/>
    <w:rsid w:val="006C5AC5"/>
    <w:rsid w:val="006C6102"/>
    <w:rsid w:val="006C6431"/>
    <w:rsid w:val="006C659F"/>
    <w:rsid w:val="006C69FC"/>
    <w:rsid w:val="006C6DE6"/>
    <w:rsid w:val="006C7617"/>
    <w:rsid w:val="006C7BA4"/>
    <w:rsid w:val="006C7CC9"/>
    <w:rsid w:val="006D00AE"/>
    <w:rsid w:val="006D0595"/>
    <w:rsid w:val="006D0817"/>
    <w:rsid w:val="006D0856"/>
    <w:rsid w:val="006D0BAB"/>
    <w:rsid w:val="006D0BCB"/>
    <w:rsid w:val="006D1143"/>
    <w:rsid w:val="006D1CA0"/>
    <w:rsid w:val="006D1EC8"/>
    <w:rsid w:val="006D2789"/>
    <w:rsid w:val="006D2849"/>
    <w:rsid w:val="006D2932"/>
    <w:rsid w:val="006D29C1"/>
    <w:rsid w:val="006D2C2F"/>
    <w:rsid w:val="006D2CF0"/>
    <w:rsid w:val="006D2D64"/>
    <w:rsid w:val="006D329E"/>
    <w:rsid w:val="006D32C6"/>
    <w:rsid w:val="006D33CF"/>
    <w:rsid w:val="006D3569"/>
    <w:rsid w:val="006D3658"/>
    <w:rsid w:val="006D3BA8"/>
    <w:rsid w:val="006D3F50"/>
    <w:rsid w:val="006D4160"/>
    <w:rsid w:val="006D4AD4"/>
    <w:rsid w:val="006D4ADA"/>
    <w:rsid w:val="006D4C16"/>
    <w:rsid w:val="006D4D9C"/>
    <w:rsid w:val="006D4E77"/>
    <w:rsid w:val="006D4F77"/>
    <w:rsid w:val="006D52E3"/>
    <w:rsid w:val="006D530B"/>
    <w:rsid w:val="006D5715"/>
    <w:rsid w:val="006D57E5"/>
    <w:rsid w:val="006D5AE3"/>
    <w:rsid w:val="006D5EAB"/>
    <w:rsid w:val="006D670B"/>
    <w:rsid w:val="006D7021"/>
    <w:rsid w:val="006D7539"/>
    <w:rsid w:val="006D754C"/>
    <w:rsid w:val="006D76CA"/>
    <w:rsid w:val="006D781E"/>
    <w:rsid w:val="006E0103"/>
    <w:rsid w:val="006E03FD"/>
    <w:rsid w:val="006E0530"/>
    <w:rsid w:val="006E0569"/>
    <w:rsid w:val="006E07F3"/>
    <w:rsid w:val="006E13D0"/>
    <w:rsid w:val="006E1698"/>
    <w:rsid w:val="006E1795"/>
    <w:rsid w:val="006E1A12"/>
    <w:rsid w:val="006E1D23"/>
    <w:rsid w:val="006E220C"/>
    <w:rsid w:val="006E23A3"/>
    <w:rsid w:val="006E242E"/>
    <w:rsid w:val="006E2508"/>
    <w:rsid w:val="006E2532"/>
    <w:rsid w:val="006E2981"/>
    <w:rsid w:val="006E2C4C"/>
    <w:rsid w:val="006E2E8D"/>
    <w:rsid w:val="006E2F9C"/>
    <w:rsid w:val="006E3531"/>
    <w:rsid w:val="006E3A9B"/>
    <w:rsid w:val="006E3C47"/>
    <w:rsid w:val="006E3F59"/>
    <w:rsid w:val="006E46A4"/>
    <w:rsid w:val="006E48F2"/>
    <w:rsid w:val="006E4A74"/>
    <w:rsid w:val="006E4CD3"/>
    <w:rsid w:val="006E4F6C"/>
    <w:rsid w:val="006E5547"/>
    <w:rsid w:val="006E583A"/>
    <w:rsid w:val="006E5F2B"/>
    <w:rsid w:val="006E6307"/>
    <w:rsid w:val="006E63AD"/>
    <w:rsid w:val="006E6913"/>
    <w:rsid w:val="006E69A2"/>
    <w:rsid w:val="006E6E02"/>
    <w:rsid w:val="006E712C"/>
    <w:rsid w:val="006E7652"/>
    <w:rsid w:val="006E7A8D"/>
    <w:rsid w:val="006E7AFB"/>
    <w:rsid w:val="006E7BF2"/>
    <w:rsid w:val="006E7E7C"/>
    <w:rsid w:val="006F05B5"/>
    <w:rsid w:val="006F0739"/>
    <w:rsid w:val="006F07DC"/>
    <w:rsid w:val="006F0B58"/>
    <w:rsid w:val="006F0FFE"/>
    <w:rsid w:val="006F1387"/>
    <w:rsid w:val="006F19EA"/>
    <w:rsid w:val="006F1E88"/>
    <w:rsid w:val="006F1EBC"/>
    <w:rsid w:val="006F21F2"/>
    <w:rsid w:val="006F241A"/>
    <w:rsid w:val="006F2634"/>
    <w:rsid w:val="006F2BD4"/>
    <w:rsid w:val="006F3159"/>
    <w:rsid w:val="006F31B3"/>
    <w:rsid w:val="006F31F8"/>
    <w:rsid w:val="006F327A"/>
    <w:rsid w:val="006F37B8"/>
    <w:rsid w:val="006F3C4D"/>
    <w:rsid w:val="006F4256"/>
    <w:rsid w:val="006F440F"/>
    <w:rsid w:val="006F4574"/>
    <w:rsid w:val="006F4CBA"/>
    <w:rsid w:val="006F51C0"/>
    <w:rsid w:val="006F525E"/>
    <w:rsid w:val="006F56E0"/>
    <w:rsid w:val="006F5DF2"/>
    <w:rsid w:val="006F62EE"/>
    <w:rsid w:val="006F6684"/>
    <w:rsid w:val="006F6B9F"/>
    <w:rsid w:val="006F6F8E"/>
    <w:rsid w:val="006F736D"/>
    <w:rsid w:val="006F76A7"/>
    <w:rsid w:val="006F773A"/>
    <w:rsid w:val="006F79CE"/>
    <w:rsid w:val="006F7AAD"/>
    <w:rsid w:val="0070019F"/>
    <w:rsid w:val="00700299"/>
    <w:rsid w:val="00700463"/>
    <w:rsid w:val="0070088F"/>
    <w:rsid w:val="007008D0"/>
    <w:rsid w:val="00700931"/>
    <w:rsid w:val="00700A23"/>
    <w:rsid w:val="00700D68"/>
    <w:rsid w:val="00701135"/>
    <w:rsid w:val="0070114D"/>
    <w:rsid w:val="007011FD"/>
    <w:rsid w:val="00701699"/>
    <w:rsid w:val="007019CE"/>
    <w:rsid w:val="00701A62"/>
    <w:rsid w:val="00701A7D"/>
    <w:rsid w:val="007021DB"/>
    <w:rsid w:val="0070234D"/>
    <w:rsid w:val="0070270B"/>
    <w:rsid w:val="007028BB"/>
    <w:rsid w:val="007028FF"/>
    <w:rsid w:val="00702D1B"/>
    <w:rsid w:val="007030B2"/>
    <w:rsid w:val="00703381"/>
    <w:rsid w:val="00703389"/>
    <w:rsid w:val="00703595"/>
    <w:rsid w:val="00703600"/>
    <w:rsid w:val="0070375D"/>
    <w:rsid w:val="0070394F"/>
    <w:rsid w:val="00703C07"/>
    <w:rsid w:val="00703C4E"/>
    <w:rsid w:val="00703E89"/>
    <w:rsid w:val="00703F75"/>
    <w:rsid w:val="007045A1"/>
    <w:rsid w:val="00704EB5"/>
    <w:rsid w:val="00704EDB"/>
    <w:rsid w:val="00705223"/>
    <w:rsid w:val="00705424"/>
    <w:rsid w:val="0070545E"/>
    <w:rsid w:val="00705A33"/>
    <w:rsid w:val="00706139"/>
    <w:rsid w:val="007065A4"/>
    <w:rsid w:val="007072BE"/>
    <w:rsid w:val="007074DB"/>
    <w:rsid w:val="0071067B"/>
    <w:rsid w:val="00710A14"/>
    <w:rsid w:val="00710B7A"/>
    <w:rsid w:val="00710D75"/>
    <w:rsid w:val="00710E06"/>
    <w:rsid w:val="00711241"/>
    <w:rsid w:val="00711336"/>
    <w:rsid w:val="00711944"/>
    <w:rsid w:val="00711C15"/>
    <w:rsid w:val="00711C65"/>
    <w:rsid w:val="00711E2A"/>
    <w:rsid w:val="0071242A"/>
    <w:rsid w:val="007127DA"/>
    <w:rsid w:val="00712BEC"/>
    <w:rsid w:val="00712C9A"/>
    <w:rsid w:val="00712D4B"/>
    <w:rsid w:val="00713313"/>
    <w:rsid w:val="0071372B"/>
    <w:rsid w:val="00713859"/>
    <w:rsid w:val="007138A4"/>
    <w:rsid w:val="00713A1C"/>
    <w:rsid w:val="007142D9"/>
    <w:rsid w:val="007144DC"/>
    <w:rsid w:val="007147A7"/>
    <w:rsid w:val="00714986"/>
    <w:rsid w:val="00714E76"/>
    <w:rsid w:val="00715286"/>
    <w:rsid w:val="00715590"/>
    <w:rsid w:val="007156CB"/>
    <w:rsid w:val="00715700"/>
    <w:rsid w:val="00715BBA"/>
    <w:rsid w:val="00715D6A"/>
    <w:rsid w:val="00715EF7"/>
    <w:rsid w:val="00716075"/>
    <w:rsid w:val="00716223"/>
    <w:rsid w:val="007167D8"/>
    <w:rsid w:val="00716883"/>
    <w:rsid w:val="007168CF"/>
    <w:rsid w:val="00716E73"/>
    <w:rsid w:val="007171A5"/>
    <w:rsid w:val="00717518"/>
    <w:rsid w:val="00717798"/>
    <w:rsid w:val="00717D1E"/>
    <w:rsid w:val="00717D9E"/>
    <w:rsid w:val="00717EA1"/>
    <w:rsid w:val="007200E5"/>
    <w:rsid w:val="007203B5"/>
    <w:rsid w:val="007204AA"/>
    <w:rsid w:val="0072060D"/>
    <w:rsid w:val="007209E3"/>
    <w:rsid w:val="00720D73"/>
    <w:rsid w:val="00720DA0"/>
    <w:rsid w:val="007211AA"/>
    <w:rsid w:val="00721E98"/>
    <w:rsid w:val="00721EFA"/>
    <w:rsid w:val="00722664"/>
    <w:rsid w:val="00722686"/>
    <w:rsid w:val="007228B0"/>
    <w:rsid w:val="00722F72"/>
    <w:rsid w:val="00722F77"/>
    <w:rsid w:val="00723122"/>
    <w:rsid w:val="007239A7"/>
    <w:rsid w:val="007239E5"/>
    <w:rsid w:val="00724187"/>
    <w:rsid w:val="00724235"/>
    <w:rsid w:val="007243BB"/>
    <w:rsid w:val="0072456E"/>
    <w:rsid w:val="00724591"/>
    <w:rsid w:val="0072484F"/>
    <w:rsid w:val="00724C73"/>
    <w:rsid w:val="00724D4A"/>
    <w:rsid w:val="007258ED"/>
    <w:rsid w:val="007259EF"/>
    <w:rsid w:val="00725B06"/>
    <w:rsid w:val="00725E3B"/>
    <w:rsid w:val="0072624E"/>
    <w:rsid w:val="0072667B"/>
    <w:rsid w:val="00726A5E"/>
    <w:rsid w:val="00726B1E"/>
    <w:rsid w:val="00726BB4"/>
    <w:rsid w:val="007279BD"/>
    <w:rsid w:val="00727A11"/>
    <w:rsid w:val="00727AF3"/>
    <w:rsid w:val="00727F2D"/>
    <w:rsid w:val="00730187"/>
    <w:rsid w:val="00730344"/>
    <w:rsid w:val="00730489"/>
    <w:rsid w:val="00730839"/>
    <w:rsid w:val="00730961"/>
    <w:rsid w:val="007309D4"/>
    <w:rsid w:val="00730E7A"/>
    <w:rsid w:val="00730F79"/>
    <w:rsid w:val="00731263"/>
    <w:rsid w:val="007313EE"/>
    <w:rsid w:val="007314AB"/>
    <w:rsid w:val="007316BF"/>
    <w:rsid w:val="007319B7"/>
    <w:rsid w:val="00731A32"/>
    <w:rsid w:val="00731A87"/>
    <w:rsid w:val="00731ABC"/>
    <w:rsid w:val="00731D37"/>
    <w:rsid w:val="00731DE4"/>
    <w:rsid w:val="00731E03"/>
    <w:rsid w:val="00732016"/>
    <w:rsid w:val="007320B8"/>
    <w:rsid w:val="0073212B"/>
    <w:rsid w:val="00732388"/>
    <w:rsid w:val="007323E2"/>
    <w:rsid w:val="0073262A"/>
    <w:rsid w:val="007326DD"/>
    <w:rsid w:val="0073277F"/>
    <w:rsid w:val="0073291C"/>
    <w:rsid w:val="00732BAC"/>
    <w:rsid w:val="0073313D"/>
    <w:rsid w:val="00733173"/>
    <w:rsid w:val="007335F0"/>
    <w:rsid w:val="00733963"/>
    <w:rsid w:val="007339F9"/>
    <w:rsid w:val="00733CCD"/>
    <w:rsid w:val="0073474A"/>
    <w:rsid w:val="0073487A"/>
    <w:rsid w:val="00734BF6"/>
    <w:rsid w:val="00735567"/>
    <w:rsid w:val="007355AC"/>
    <w:rsid w:val="00735650"/>
    <w:rsid w:val="00735877"/>
    <w:rsid w:val="007358C0"/>
    <w:rsid w:val="007359AC"/>
    <w:rsid w:val="00735CB8"/>
    <w:rsid w:val="0073627D"/>
    <w:rsid w:val="007362B9"/>
    <w:rsid w:val="0073645E"/>
    <w:rsid w:val="007368E6"/>
    <w:rsid w:val="00736A0B"/>
    <w:rsid w:val="00736BD1"/>
    <w:rsid w:val="00736BFD"/>
    <w:rsid w:val="00736ED6"/>
    <w:rsid w:val="00737CF8"/>
    <w:rsid w:val="00740226"/>
    <w:rsid w:val="007402FC"/>
    <w:rsid w:val="007403EB"/>
    <w:rsid w:val="00740993"/>
    <w:rsid w:val="007409F6"/>
    <w:rsid w:val="00740C4F"/>
    <w:rsid w:val="00740D0A"/>
    <w:rsid w:val="00740E20"/>
    <w:rsid w:val="00740E39"/>
    <w:rsid w:val="0074123D"/>
    <w:rsid w:val="007413A6"/>
    <w:rsid w:val="007418AD"/>
    <w:rsid w:val="00742C4A"/>
    <w:rsid w:val="00742CA9"/>
    <w:rsid w:val="00743098"/>
    <w:rsid w:val="00743601"/>
    <w:rsid w:val="00743736"/>
    <w:rsid w:val="00743A0E"/>
    <w:rsid w:val="007441D2"/>
    <w:rsid w:val="00744277"/>
    <w:rsid w:val="007444E3"/>
    <w:rsid w:val="007447C9"/>
    <w:rsid w:val="00744D01"/>
    <w:rsid w:val="00744F0F"/>
    <w:rsid w:val="00744F47"/>
    <w:rsid w:val="00745E23"/>
    <w:rsid w:val="007460D6"/>
    <w:rsid w:val="0074633E"/>
    <w:rsid w:val="0074636A"/>
    <w:rsid w:val="00746FE0"/>
    <w:rsid w:val="007470E8"/>
    <w:rsid w:val="0074750B"/>
    <w:rsid w:val="00747654"/>
    <w:rsid w:val="007476CC"/>
    <w:rsid w:val="00747B2F"/>
    <w:rsid w:val="00747EA9"/>
    <w:rsid w:val="00750531"/>
    <w:rsid w:val="00750557"/>
    <w:rsid w:val="00750C28"/>
    <w:rsid w:val="00750C9B"/>
    <w:rsid w:val="00751001"/>
    <w:rsid w:val="007515DB"/>
    <w:rsid w:val="00751846"/>
    <w:rsid w:val="0075199E"/>
    <w:rsid w:val="00751A39"/>
    <w:rsid w:val="00751A64"/>
    <w:rsid w:val="00751AB2"/>
    <w:rsid w:val="00751BA4"/>
    <w:rsid w:val="0075214D"/>
    <w:rsid w:val="007524F8"/>
    <w:rsid w:val="007527F1"/>
    <w:rsid w:val="007529B1"/>
    <w:rsid w:val="00752FFF"/>
    <w:rsid w:val="0075333C"/>
    <w:rsid w:val="007535AE"/>
    <w:rsid w:val="007536BA"/>
    <w:rsid w:val="007537E7"/>
    <w:rsid w:val="00753819"/>
    <w:rsid w:val="00753F99"/>
    <w:rsid w:val="0075402E"/>
    <w:rsid w:val="007540A1"/>
    <w:rsid w:val="00754472"/>
    <w:rsid w:val="00754810"/>
    <w:rsid w:val="00754E51"/>
    <w:rsid w:val="00755160"/>
    <w:rsid w:val="0075521F"/>
    <w:rsid w:val="0075564A"/>
    <w:rsid w:val="00755B6E"/>
    <w:rsid w:val="00756094"/>
    <w:rsid w:val="0075627E"/>
    <w:rsid w:val="0075642F"/>
    <w:rsid w:val="007566B6"/>
    <w:rsid w:val="00756909"/>
    <w:rsid w:val="007569BD"/>
    <w:rsid w:val="00756B04"/>
    <w:rsid w:val="00756B49"/>
    <w:rsid w:val="00756C23"/>
    <w:rsid w:val="00757092"/>
    <w:rsid w:val="00757889"/>
    <w:rsid w:val="00757C7F"/>
    <w:rsid w:val="007603AA"/>
    <w:rsid w:val="0076058D"/>
    <w:rsid w:val="007605BC"/>
    <w:rsid w:val="0076066F"/>
    <w:rsid w:val="007607FD"/>
    <w:rsid w:val="00760AC7"/>
    <w:rsid w:val="00760C5D"/>
    <w:rsid w:val="0076104F"/>
    <w:rsid w:val="007616C3"/>
    <w:rsid w:val="007618FC"/>
    <w:rsid w:val="00761D29"/>
    <w:rsid w:val="00761DBB"/>
    <w:rsid w:val="00761F0A"/>
    <w:rsid w:val="007621C8"/>
    <w:rsid w:val="00762476"/>
    <w:rsid w:val="007624CA"/>
    <w:rsid w:val="00762551"/>
    <w:rsid w:val="0076255E"/>
    <w:rsid w:val="00762B00"/>
    <w:rsid w:val="00762FD7"/>
    <w:rsid w:val="007630AA"/>
    <w:rsid w:val="007631D2"/>
    <w:rsid w:val="007636F0"/>
    <w:rsid w:val="007638A6"/>
    <w:rsid w:val="00763BD1"/>
    <w:rsid w:val="00763BDF"/>
    <w:rsid w:val="00763D96"/>
    <w:rsid w:val="00763EB8"/>
    <w:rsid w:val="00763FF3"/>
    <w:rsid w:val="0076416D"/>
    <w:rsid w:val="007644B6"/>
    <w:rsid w:val="00764874"/>
    <w:rsid w:val="00764C0A"/>
    <w:rsid w:val="00764D0A"/>
    <w:rsid w:val="00764DF1"/>
    <w:rsid w:val="00765530"/>
    <w:rsid w:val="00765542"/>
    <w:rsid w:val="0076580B"/>
    <w:rsid w:val="00765A9D"/>
    <w:rsid w:val="00765BDF"/>
    <w:rsid w:val="00765DA5"/>
    <w:rsid w:val="00766200"/>
    <w:rsid w:val="00766380"/>
    <w:rsid w:val="00766662"/>
    <w:rsid w:val="007668ED"/>
    <w:rsid w:val="007669D4"/>
    <w:rsid w:val="00766A93"/>
    <w:rsid w:val="00767316"/>
    <w:rsid w:val="007676B6"/>
    <w:rsid w:val="007678AF"/>
    <w:rsid w:val="00767932"/>
    <w:rsid w:val="00767CF6"/>
    <w:rsid w:val="00767E06"/>
    <w:rsid w:val="00767E37"/>
    <w:rsid w:val="00770449"/>
    <w:rsid w:val="007704AE"/>
    <w:rsid w:val="00771284"/>
    <w:rsid w:val="007713E3"/>
    <w:rsid w:val="007713E5"/>
    <w:rsid w:val="0077146C"/>
    <w:rsid w:val="00771528"/>
    <w:rsid w:val="007715B6"/>
    <w:rsid w:val="007716BE"/>
    <w:rsid w:val="00771C52"/>
    <w:rsid w:val="00771DCC"/>
    <w:rsid w:val="0077212F"/>
    <w:rsid w:val="00772695"/>
    <w:rsid w:val="007728DE"/>
    <w:rsid w:val="007732EC"/>
    <w:rsid w:val="0077392C"/>
    <w:rsid w:val="00773B9D"/>
    <w:rsid w:val="00773CAC"/>
    <w:rsid w:val="00773CD7"/>
    <w:rsid w:val="00774345"/>
    <w:rsid w:val="007743A9"/>
    <w:rsid w:val="00774EB7"/>
    <w:rsid w:val="00774F60"/>
    <w:rsid w:val="0077509C"/>
    <w:rsid w:val="0077539E"/>
    <w:rsid w:val="00775AA2"/>
    <w:rsid w:val="00775BF7"/>
    <w:rsid w:val="00776147"/>
    <w:rsid w:val="007762D2"/>
    <w:rsid w:val="0077638E"/>
    <w:rsid w:val="007766C7"/>
    <w:rsid w:val="00776822"/>
    <w:rsid w:val="00776877"/>
    <w:rsid w:val="00776E79"/>
    <w:rsid w:val="00776E9F"/>
    <w:rsid w:val="007777BE"/>
    <w:rsid w:val="00777DD1"/>
    <w:rsid w:val="0078008A"/>
    <w:rsid w:val="00780179"/>
    <w:rsid w:val="007807FF"/>
    <w:rsid w:val="0078083F"/>
    <w:rsid w:val="00780D77"/>
    <w:rsid w:val="007813B1"/>
    <w:rsid w:val="00781913"/>
    <w:rsid w:val="00781DF8"/>
    <w:rsid w:val="0078236F"/>
    <w:rsid w:val="007825FD"/>
    <w:rsid w:val="00782660"/>
    <w:rsid w:val="007826CC"/>
    <w:rsid w:val="00782811"/>
    <w:rsid w:val="007828BE"/>
    <w:rsid w:val="00782C25"/>
    <w:rsid w:val="00782C69"/>
    <w:rsid w:val="00783005"/>
    <w:rsid w:val="0078323D"/>
    <w:rsid w:val="0078333A"/>
    <w:rsid w:val="00783808"/>
    <w:rsid w:val="00783D26"/>
    <w:rsid w:val="00783E22"/>
    <w:rsid w:val="00783E2E"/>
    <w:rsid w:val="00783F95"/>
    <w:rsid w:val="0078406F"/>
    <w:rsid w:val="007848D7"/>
    <w:rsid w:val="00784BF6"/>
    <w:rsid w:val="00784D90"/>
    <w:rsid w:val="007853EF"/>
    <w:rsid w:val="0078546A"/>
    <w:rsid w:val="00785623"/>
    <w:rsid w:val="007859EB"/>
    <w:rsid w:val="00785D19"/>
    <w:rsid w:val="00785D59"/>
    <w:rsid w:val="00786060"/>
    <w:rsid w:val="00786E07"/>
    <w:rsid w:val="00786EC7"/>
    <w:rsid w:val="00787140"/>
    <w:rsid w:val="00787474"/>
    <w:rsid w:val="007875E1"/>
    <w:rsid w:val="00790B39"/>
    <w:rsid w:val="00790C60"/>
    <w:rsid w:val="00790C71"/>
    <w:rsid w:val="00790E56"/>
    <w:rsid w:val="0079124A"/>
    <w:rsid w:val="00791405"/>
    <w:rsid w:val="007916AB"/>
    <w:rsid w:val="0079191A"/>
    <w:rsid w:val="00791B70"/>
    <w:rsid w:val="00791E80"/>
    <w:rsid w:val="00791F95"/>
    <w:rsid w:val="00792125"/>
    <w:rsid w:val="007921C1"/>
    <w:rsid w:val="00792313"/>
    <w:rsid w:val="0079232E"/>
    <w:rsid w:val="00792C6A"/>
    <w:rsid w:val="00792D49"/>
    <w:rsid w:val="00792E1B"/>
    <w:rsid w:val="00793264"/>
    <w:rsid w:val="00793928"/>
    <w:rsid w:val="007939B5"/>
    <w:rsid w:val="00793ADF"/>
    <w:rsid w:val="00793C10"/>
    <w:rsid w:val="00793CE6"/>
    <w:rsid w:val="00793E93"/>
    <w:rsid w:val="00793F0F"/>
    <w:rsid w:val="0079422B"/>
    <w:rsid w:val="00794418"/>
    <w:rsid w:val="00794427"/>
    <w:rsid w:val="007945D4"/>
    <w:rsid w:val="00794732"/>
    <w:rsid w:val="00794883"/>
    <w:rsid w:val="00794C39"/>
    <w:rsid w:val="00794EA0"/>
    <w:rsid w:val="00794F2A"/>
    <w:rsid w:val="00795A99"/>
    <w:rsid w:val="00795E70"/>
    <w:rsid w:val="007966B5"/>
    <w:rsid w:val="007969F4"/>
    <w:rsid w:val="00796AF5"/>
    <w:rsid w:val="00796C79"/>
    <w:rsid w:val="00796C92"/>
    <w:rsid w:val="00796E8D"/>
    <w:rsid w:val="007970CB"/>
    <w:rsid w:val="007974B2"/>
    <w:rsid w:val="00797B0B"/>
    <w:rsid w:val="00797C5B"/>
    <w:rsid w:val="007A02C3"/>
    <w:rsid w:val="007A076F"/>
    <w:rsid w:val="007A09AD"/>
    <w:rsid w:val="007A0BFE"/>
    <w:rsid w:val="007A1034"/>
    <w:rsid w:val="007A1379"/>
    <w:rsid w:val="007A15F5"/>
    <w:rsid w:val="007A180C"/>
    <w:rsid w:val="007A18AA"/>
    <w:rsid w:val="007A1B2B"/>
    <w:rsid w:val="007A24AE"/>
    <w:rsid w:val="007A265A"/>
    <w:rsid w:val="007A2A9D"/>
    <w:rsid w:val="007A32A2"/>
    <w:rsid w:val="007A335F"/>
    <w:rsid w:val="007A372E"/>
    <w:rsid w:val="007A38BF"/>
    <w:rsid w:val="007A39CC"/>
    <w:rsid w:val="007A3D8F"/>
    <w:rsid w:val="007A3F4C"/>
    <w:rsid w:val="007A443E"/>
    <w:rsid w:val="007A461E"/>
    <w:rsid w:val="007A482D"/>
    <w:rsid w:val="007A4900"/>
    <w:rsid w:val="007A4A35"/>
    <w:rsid w:val="007A4CE5"/>
    <w:rsid w:val="007A4E72"/>
    <w:rsid w:val="007A547E"/>
    <w:rsid w:val="007A56BE"/>
    <w:rsid w:val="007A57CF"/>
    <w:rsid w:val="007A59D1"/>
    <w:rsid w:val="007A5B3A"/>
    <w:rsid w:val="007A5E78"/>
    <w:rsid w:val="007A5EC3"/>
    <w:rsid w:val="007A60CA"/>
    <w:rsid w:val="007A6C87"/>
    <w:rsid w:val="007A6DF3"/>
    <w:rsid w:val="007A6DFE"/>
    <w:rsid w:val="007A70A4"/>
    <w:rsid w:val="007A7142"/>
    <w:rsid w:val="007A7320"/>
    <w:rsid w:val="007A7817"/>
    <w:rsid w:val="007A7923"/>
    <w:rsid w:val="007B0272"/>
    <w:rsid w:val="007B0579"/>
    <w:rsid w:val="007B0916"/>
    <w:rsid w:val="007B0D71"/>
    <w:rsid w:val="007B14A5"/>
    <w:rsid w:val="007B15E5"/>
    <w:rsid w:val="007B162F"/>
    <w:rsid w:val="007B169D"/>
    <w:rsid w:val="007B1BF0"/>
    <w:rsid w:val="007B1C21"/>
    <w:rsid w:val="007B1D5D"/>
    <w:rsid w:val="007B2818"/>
    <w:rsid w:val="007B2F08"/>
    <w:rsid w:val="007B2FCC"/>
    <w:rsid w:val="007B30E9"/>
    <w:rsid w:val="007B3251"/>
    <w:rsid w:val="007B34BE"/>
    <w:rsid w:val="007B34D5"/>
    <w:rsid w:val="007B3992"/>
    <w:rsid w:val="007B3C1D"/>
    <w:rsid w:val="007B3C52"/>
    <w:rsid w:val="007B40B9"/>
    <w:rsid w:val="007B43F7"/>
    <w:rsid w:val="007B4465"/>
    <w:rsid w:val="007B45AD"/>
    <w:rsid w:val="007B46D9"/>
    <w:rsid w:val="007B4DEC"/>
    <w:rsid w:val="007B4E5F"/>
    <w:rsid w:val="007B4E90"/>
    <w:rsid w:val="007B5227"/>
    <w:rsid w:val="007B56E8"/>
    <w:rsid w:val="007B56F6"/>
    <w:rsid w:val="007B5D2F"/>
    <w:rsid w:val="007B5EED"/>
    <w:rsid w:val="007B5EFA"/>
    <w:rsid w:val="007B62FA"/>
    <w:rsid w:val="007B63F6"/>
    <w:rsid w:val="007B65CE"/>
    <w:rsid w:val="007B6830"/>
    <w:rsid w:val="007B6D23"/>
    <w:rsid w:val="007B6E37"/>
    <w:rsid w:val="007B7091"/>
    <w:rsid w:val="007B724B"/>
    <w:rsid w:val="007B7294"/>
    <w:rsid w:val="007B736C"/>
    <w:rsid w:val="007B77E9"/>
    <w:rsid w:val="007B7D67"/>
    <w:rsid w:val="007C0371"/>
    <w:rsid w:val="007C0A59"/>
    <w:rsid w:val="007C110F"/>
    <w:rsid w:val="007C11F7"/>
    <w:rsid w:val="007C1246"/>
    <w:rsid w:val="007C1A49"/>
    <w:rsid w:val="007C1B6E"/>
    <w:rsid w:val="007C1F3F"/>
    <w:rsid w:val="007C2121"/>
    <w:rsid w:val="007C235B"/>
    <w:rsid w:val="007C2368"/>
    <w:rsid w:val="007C261B"/>
    <w:rsid w:val="007C28C6"/>
    <w:rsid w:val="007C299E"/>
    <w:rsid w:val="007C2C00"/>
    <w:rsid w:val="007C315B"/>
    <w:rsid w:val="007C3B83"/>
    <w:rsid w:val="007C3C6D"/>
    <w:rsid w:val="007C3F0A"/>
    <w:rsid w:val="007C409D"/>
    <w:rsid w:val="007C42BE"/>
    <w:rsid w:val="007C4982"/>
    <w:rsid w:val="007C5146"/>
    <w:rsid w:val="007C51A0"/>
    <w:rsid w:val="007C51EE"/>
    <w:rsid w:val="007C51FD"/>
    <w:rsid w:val="007C542C"/>
    <w:rsid w:val="007C5594"/>
    <w:rsid w:val="007C55D0"/>
    <w:rsid w:val="007C57DD"/>
    <w:rsid w:val="007C5801"/>
    <w:rsid w:val="007C5C96"/>
    <w:rsid w:val="007C5FB9"/>
    <w:rsid w:val="007C6269"/>
    <w:rsid w:val="007C690E"/>
    <w:rsid w:val="007C6D27"/>
    <w:rsid w:val="007C71B7"/>
    <w:rsid w:val="007C734E"/>
    <w:rsid w:val="007C7448"/>
    <w:rsid w:val="007C7DD5"/>
    <w:rsid w:val="007D083A"/>
    <w:rsid w:val="007D1273"/>
    <w:rsid w:val="007D17B4"/>
    <w:rsid w:val="007D18AE"/>
    <w:rsid w:val="007D1A7F"/>
    <w:rsid w:val="007D1AEB"/>
    <w:rsid w:val="007D25E4"/>
    <w:rsid w:val="007D2784"/>
    <w:rsid w:val="007D2791"/>
    <w:rsid w:val="007D2F24"/>
    <w:rsid w:val="007D2FFE"/>
    <w:rsid w:val="007D3097"/>
    <w:rsid w:val="007D32F9"/>
    <w:rsid w:val="007D34A6"/>
    <w:rsid w:val="007D35C5"/>
    <w:rsid w:val="007D37C8"/>
    <w:rsid w:val="007D37F2"/>
    <w:rsid w:val="007D382B"/>
    <w:rsid w:val="007D3EE5"/>
    <w:rsid w:val="007D41B0"/>
    <w:rsid w:val="007D4F6A"/>
    <w:rsid w:val="007D5A4C"/>
    <w:rsid w:val="007D5CE7"/>
    <w:rsid w:val="007D5E46"/>
    <w:rsid w:val="007D602A"/>
    <w:rsid w:val="007D65EB"/>
    <w:rsid w:val="007D6B17"/>
    <w:rsid w:val="007D7195"/>
    <w:rsid w:val="007D71FB"/>
    <w:rsid w:val="007D7512"/>
    <w:rsid w:val="007D7545"/>
    <w:rsid w:val="007E001E"/>
    <w:rsid w:val="007E0213"/>
    <w:rsid w:val="007E08D7"/>
    <w:rsid w:val="007E0B14"/>
    <w:rsid w:val="007E109B"/>
    <w:rsid w:val="007E1580"/>
    <w:rsid w:val="007E1756"/>
    <w:rsid w:val="007E176D"/>
    <w:rsid w:val="007E1810"/>
    <w:rsid w:val="007E2256"/>
    <w:rsid w:val="007E234A"/>
    <w:rsid w:val="007E25AC"/>
    <w:rsid w:val="007E2645"/>
    <w:rsid w:val="007E2656"/>
    <w:rsid w:val="007E2981"/>
    <w:rsid w:val="007E2F87"/>
    <w:rsid w:val="007E30E1"/>
    <w:rsid w:val="007E3148"/>
    <w:rsid w:val="007E3914"/>
    <w:rsid w:val="007E3938"/>
    <w:rsid w:val="007E3C2D"/>
    <w:rsid w:val="007E3E0F"/>
    <w:rsid w:val="007E4460"/>
    <w:rsid w:val="007E4620"/>
    <w:rsid w:val="007E4A71"/>
    <w:rsid w:val="007E4B69"/>
    <w:rsid w:val="007E4D63"/>
    <w:rsid w:val="007E4E4D"/>
    <w:rsid w:val="007E4F42"/>
    <w:rsid w:val="007E5058"/>
    <w:rsid w:val="007E50AC"/>
    <w:rsid w:val="007E50EA"/>
    <w:rsid w:val="007E579B"/>
    <w:rsid w:val="007E57C0"/>
    <w:rsid w:val="007E61B7"/>
    <w:rsid w:val="007E6791"/>
    <w:rsid w:val="007E71A2"/>
    <w:rsid w:val="007E771E"/>
    <w:rsid w:val="007E7D19"/>
    <w:rsid w:val="007E7E1D"/>
    <w:rsid w:val="007E7E59"/>
    <w:rsid w:val="007F010E"/>
    <w:rsid w:val="007F05DF"/>
    <w:rsid w:val="007F067F"/>
    <w:rsid w:val="007F099E"/>
    <w:rsid w:val="007F0E60"/>
    <w:rsid w:val="007F108F"/>
    <w:rsid w:val="007F1644"/>
    <w:rsid w:val="007F16E2"/>
    <w:rsid w:val="007F1768"/>
    <w:rsid w:val="007F1D69"/>
    <w:rsid w:val="007F1E7E"/>
    <w:rsid w:val="007F213A"/>
    <w:rsid w:val="007F21FE"/>
    <w:rsid w:val="007F22AD"/>
    <w:rsid w:val="007F25BD"/>
    <w:rsid w:val="007F2AC3"/>
    <w:rsid w:val="007F2C34"/>
    <w:rsid w:val="007F2F26"/>
    <w:rsid w:val="007F3180"/>
    <w:rsid w:val="007F3574"/>
    <w:rsid w:val="007F3B49"/>
    <w:rsid w:val="007F3DBA"/>
    <w:rsid w:val="007F3E3C"/>
    <w:rsid w:val="007F428C"/>
    <w:rsid w:val="007F4630"/>
    <w:rsid w:val="007F4894"/>
    <w:rsid w:val="007F48B7"/>
    <w:rsid w:val="007F4B8D"/>
    <w:rsid w:val="007F4F49"/>
    <w:rsid w:val="007F529E"/>
    <w:rsid w:val="007F59DF"/>
    <w:rsid w:val="007F5C32"/>
    <w:rsid w:val="007F5D2A"/>
    <w:rsid w:val="007F5FE9"/>
    <w:rsid w:val="007F6233"/>
    <w:rsid w:val="007F6699"/>
    <w:rsid w:val="007F6821"/>
    <w:rsid w:val="007F6E9E"/>
    <w:rsid w:val="007F6FBD"/>
    <w:rsid w:val="007F7277"/>
    <w:rsid w:val="007F7432"/>
    <w:rsid w:val="007F7538"/>
    <w:rsid w:val="007F791C"/>
    <w:rsid w:val="007F7D85"/>
    <w:rsid w:val="007F7E2B"/>
    <w:rsid w:val="007F7E7D"/>
    <w:rsid w:val="007F7F0A"/>
    <w:rsid w:val="00800CF2"/>
    <w:rsid w:val="008011EA"/>
    <w:rsid w:val="00801358"/>
    <w:rsid w:val="008013D3"/>
    <w:rsid w:val="00801597"/>
    <w:rsid w:val="008016C4"/>
    <w:rsid w:val="00801995"/>
    <w:rsid w:val="00801EEB"/>
    <w:rsid w:val="0080202D"/>
    <w:rsid w:val="008021B2"/>
    <w:rsid w:val="008028DF"/>
    <w:rsid w:val="00802C58"/>
    <w:rsid w:val="008030EF"/>
    <w:rsid w:val="008031D2"/>
    <w:rsid w:val="0080342F"/>
    <w:rsid w:val="008034D4"/>
    <w:rsid w:val="0080399E"/>
    <w:rsid w:val="008040BD"/>
    <w:rsid w:val="0080422D"/>
    <w:rsid w:val="00804871"/>
    <w:rsid w:val="00804A31"/>
    <w:rsid w:val="00805070"/>
    <w:rsid w:val="00805083"/>
    <w:rsid w:val="0080529F"/>
    <w:rsid w:val="008055AD"/>
    <w:rsid w:val="00805702"/>
    <w:rsid w:val="00805C40"/>
    <w:rsid w:val="00805C77"/>
    <w:rsid w:val="0080615D"/>
    <w:rsid w:val="0080625D"/>
    <w:rsid w:val="0080631D"/>
    <w:rsid w:val="00806706"/>
    <w:rsid w:val="00806783"/>
    <w:rsid w:val="0080699A"/>
    <w:rsid w:val="00806A58"/>
    <w:rsid w:val="00806ACE"/>
    <w:rsid w:val="00806C73"/>
    <w:rsid w:val="00806CDE"/>
    <w:rsid w:val="00806D9E"/>
    <w:rsid w:val="00806E3C"/>
    <w:rsid w:val="0080740B"/>
    <w:rsid w:val="00807512"/>
    <w:rsid w:val="0080796B"/>
    <w:rsid w:val="00807C5F"/>
    <w:rsid w:val="00807D2C"/>
    <w:rsid w:val="00807DCC"/>
    <w:rsid w:val="008104B3"/>
    <w:rsid w:val="008104ED"/>
    <w:rsid w:val="00810812"/>
    <w:rsid w:val="0081093E"/>
    <w:rsid w:val="008109EC"/>
    <w:rsid w:val="00810D83"/>
    <w:rsid w:val="008112FD"/>
    <w:rsid w:val="00811561"/>
    <w:rsid w:val="008116D0"/>
    <w:rsid w:val="008117D6"/>
    <w:rsid w:val="008117F0"/>
    <w:rsid w:val="008119A1"/>
    <w:rsid w:val="0081215E"/>
    <w:rsid w:val="0081260A"/>
    <w:rsid w:val="008127E1"/>
    <w:rsid w:val="00812A42"/>
    <w:rsid w:val="00812E74"/>
    <w:rsid w:val="0081303A"/>
    <w:rsid w:val="00813040"/>
    <w:rsid w:val="0081372C"/>
    <w:rsid w:val="008137A8"/>
    <w:rsid w:val="00813CB8"/>
    <w:rsid w:val="0081449E"/>
    <w:rsid w:val="008149F6"/>
    <w:rsid w:val="00814E16"/>
    <w:rsid w:val="0081546B"/>
    <w:rsid w:val="00815742"/>
    <w:rsid w:val="00815974"/>
    <w:rsid w:val="008159B8"/>
    <w:rsid w:val="00815AFA"/>
    <w:rsid w:val="00815CDB"/>
    <w:rsid w:val="00815EB4"/>
    <w:rsid w:val="00816252"/>
    <w:rsid w:val="00816F30"/>
    <w:rsid w:val="008170A9"/>
    <w:rsid w:val="008171B0"/>
    <w:rsid w:val="0081789B"/>
    <w:rsid w:val="00817F83"/>
    <w:rsid w:val="00817F86"/>
    <w:rsid w:val="0082057E"/>
    <w:rsid w:val="008205ED"/>
    <w:rsid w:val="00820A54"/>
    <w:rsid w:val="00820BD8"/>
    <w:rsid w:val="0082125E"/>
    <w:rsid w:val="008215EC"/>
    <w:rsid w:val="00821981"/>
    <w:rsid w:val="008219EB"/>
    <w:rsid w:val="00821B6A"/>
    <w:rsid w:val="00821D07"/>
    <w:rsid w:val="00822203"/>
    <w:rsid w:val="008224C5"/>
    <w:rsid w:val="008228AC"/>
    <w:rsid w:val="0082360C"/>
    <w:rsid w:val="00823F99"/>
    <w:rsid w:val="00824008"/>
    <w:rsid w:val="008241C9"/>
    <w:rsid w:val="0082436C"/>
    <w:rsid w:val="008244AF"/>
    <w:rsid w:val="008248C1"/>
    <w:rsid w:val="00824BB7"/>
    <w:rsid w:val="00824C45"/>
    <w:rsid w:val="00825355"/>
    <w:rsid w:val="00825637"/>
    <w:rsid w:val="00825F9C"/>
    <w:rsid w:val="00826AB6"/>
    <w:rsid w:val="00826B0B"/>
    <w:rsid w:val="00826BA0"/>
    <w:rsid w:val="00826D04"/>
    <w:rsid w:val="00827296"/>
    <w:rsid w:val="00827313"/>
    <w:rsid w:val="00827652"/>
    <w:rsid w:val="00827A34"/>
    <w:rsid w:val="00827EE3"/>
    <w:rsid w:val="00830420"/>
    <w:rsid w:val="008307CD"/>
    <w:rsid w:val="0083099E"/>
    <w:rsid w:val="00830AE1"/>
    <w:rsid w:val="00830D86"/>
    <w:rsid w:val="00830FDE"/>
    <w:rsid w:val="00831358"/>
    <w:rsid w:val="00831394"/>
    <w:rsid w:val="00831873"/>
    <w:rsid w:val="00831D62"/>
    <w:rsid w:val="00831DBE"/>
    <w:rsid w:val="00831DD1"/>
    <w:rsid w:val="008322C3"/>
    <w:rsid w:val="008323F9"/>
    <w:rsid w:val="00832585"/>
    <w:rsid w:val="0083261B"/>
    <w:rsid w:val="008327BD"/>
    <w:rsid w:val="0083297F"/>
    <w:rsid w:val="00832983"/>
    <w:rsid w:val="00832DFB"/>
    <w:rsid w:val="00833734"/>
    <w:rsid w:val="00833A54"/>
    <w:rsid w:val="00833D56"/>
    <w:rsid w:val="00833DC9"/>
    <w:rsid w:val="00833E69"/>
    <w:rsid w:val="0083403A"/>
    <w:rsid w:val="00834334"/>
    <w:rsid w:val="008343DF"/>
    <w:rsid w:val="00834502"/>
    <w:rsid w:val="00834A3D"/>
    <w:rsid w:val="00834A46"/>
    <w:rsid w:val="00834A92"/>
    <w:rsid w:val="00834C78"/>
    <w:rsid w:val="00835170"/>
    <w:rsid w:val="008351B5"/>
    <w:rsid w:val="00835590"/>
    <w:rsid w:val="00835CE1"/>
    <w:rsid w:val="008361B6"/>
    <w:rsid w:val="0083643A"/>
    <w:rsid w:val="00836665"/>
    <w:rsid w:val="00836BD4"/>
    <w:rsid w:val="00836BD5"/>
    <w:rsid w:val="0083738F"/>
    <w:rsid w:val="00837438"/>
    <w:rsid w:val="00837475"/>
    <w:rsid w:val="0083751C"/>
    <w:rsid w:val="00837ADC"/>
    <w:rsid w:val="00837B40"/>
    <w:rsid w:val="00837BC6"/>
    <w:rsid w:val="00837E85"/>
    <w:rsid w:val="00837FBA"/>
    <w:rsid w:val="00840049"/>
    <w:rsid w:val="0084018F"/>
    <w:rsid w:val="008404D7"/>
    <w:rsid w:val="008408A5"/>
    <w:rsid w:val="00840A06"/>
    <w:rsid w:val="00840C4F"/>
    <w:rsid w:val="008413FD"/>
    <w:rsid w:val="0084143C"/>
    <w:rsid w:val="008414EB"/>
    <w:rsid w:val="00841923"/>
    <w:rsid w:val="00841B47"/>
    <w:rsid w:val="00841B91"/>
    <w:rsid w:val="008424D4"/>
    <w:rsid w:val="0084274E"/>
    <w:rsid w:val="00842A84"/>
    <w:rsid w:val="00842A95"/>
    <w:rsid w:val="00842C12"/>
    <w:rsid w:val="00843073"/>
    <w:rsid w:val="0084357B"/>
    <w:rsid w:val="008436B6"/>
    <w:rsid w:val="00843742"/>
    <w:rsid w:val="008437A6"/>
    <w:rsid w:val="0084396D"/>
    <w:rsid w:val="00843A33"/>
    <w:rsid w:val="00844137"/>
    <w:rsid w:val="00844286"/>
    <w:rsid w:val="008449D0"/>
    <w:rsid w:val="00844BE6"/>
    <w:rsid w:val="00844C6F"/>
    <w:rsid w:val="00844CF4"/>
    <w:rsid w:val="00845259"/>
    <w:rsid w:val="00845725"/>
    <w:rsid w:val="008459E2"/>
    <w:rsid w:val="00845CD5"/>
    <w:rsid w:val="008462DF"/>
    <w:rsid w:val="008465B0"/>
    <w:rsid w:val="00846817"/>
    <w:rsid w:val="00846B66"/>
    <w:rsid w:val="00846E73"/>
    <w:rsid w:val="00846EA4"/>
    <w:rsid w:val="00847170"/>
    <w:rsid w:val="00847235"/>
    <w:rsid w:val="00847381"/>
    <w:rsid w:val="00847411"/>
    <w:rsid w:val="00847574"/>
    <w:rsid w:val="008477FF"/>
    <w:rsid w:val="00847854"/>
    <w:rsid w:val="00847A18"/>
    <w:rsid w:val="00847BB4"/>
    <w:rsid w:val="00847D30"/>
    <w:rsid w:val="00847F6D"/>
    <w:rsid w:val="00850177"/>
    <w:rsid w:val="00850771"/>
    <w:rsid w:val="00850BD0"/>
    <w:rsid w:val="00850D08"/>
    <w:rsid w:val="008516FC"/>
    <w:rsid w:val="00851818"/>
    <w:rsid w:val="0085181A"/>
    <w:rsid w:val="00851A5F"/>
    <w:rsid w:val="00851BD4"/>
    <w:rsid w:val="00851F25"/>
    <w:rsid w:val="0085209F"/>
    <w:rsid w:val="0085233B"/>
    <w:rsid w:val="00852483"/>
    <w:rsid w:val="00852C8E"/>
    <w:rsid w:val="00852EB6"/>
    <w:rsid w:val="008530C5"/>
    <w:rsid w:val="008530E3"/>
    <w:rsid w:val="008531EE"/>
    <w:rsid w:val="0085320B"/>
    <w:rsid w:val="00853644"/>
    <w:rsid w:val="008538CC"/>
    <w:rsid w:val="008539D5"/>
    <w:rsid w:val="0085415F"/>
    <w:rsid w:val="008542BD"/>
    <w:rsid w:val="0085470A"/>
    <w:rsid w:val="00854A2B"/>
    <w:rsid w:val="00854C13"/>
    <w:rsid w:val="00854CAC"/>
    <w:rsid w:val="00854EBE"/>
    <w:rsid w:val="0085572E"/>
    <w:rsid w:val="00855A79"/>
    <w:rsid w:val="00855C2F"/>
    <w:rsid w:val="00855D2F"/>
    <w:rsid w:val="00855E67"/>
    <w:rsid w:val="00856022"/>
    <w:rsid w:val="008565D5"/>
    <w:rsid w:val="00856CC1"/>
    <w:rsid w:val="00856EEB"/>
    <w:rsid w:val="0085721C"/>
    <w:rsid w:val="00857CA7"/>
    <w:rsid w:val="00857EF3"/>
    <w:rsid w:val="0086002A"/>
    <w:rsid w:val="008600D9"/>
    <w:rsid w:val="008603EA"/>
    <w:rsid w:val="00860517"/>
    <w:rsid w:val="00860CAD"/>
    <w:rsid w:val="00860E90"/>
    <w:rsid w:val="008616A6"/>
    <w:rsid w:val="008617D4"/>
    <w:rsid w:val="0086213B"/>
    <w:rsid w:val="008621CB"/>
    <w:rsid w:val="0086239B"/>
    <w:rsid w:val="0086289B"/>
    <w:rsid w:val="00862A93"/>
    <w:rsid w:val="00862ACD"/>
    <w:rsid w:val="008630B0"/>
    <w:rsid w:val="00863437"/>
    <w:rsid w:val="00863D29"/>
    <w:rsid w:val="0086408C"/>
    <w:rsid w:val="008641D6"/>
    <w:rsid w:val="008641E0"/>
    <w:rsid w:val="008648D3"/>
    <w:rsid w:val="00864B92"/>
    <w:rsid w:val="00864EE1"/>
    <w:rsid w:val="00865031"/>
    <w:rsid w:val="008653CF"/>
    <w:rsid w:val="00865520"/>
    <w:rsid w:val="0086571A"/>
    <w:rsid w:val="008658B9"/>
    <w:rsid w:val="00865C17"/>
    <w:rsid w:val="00865F00"/>
    <w:rsid w:val="008663DC"/>
    <w:rsid w:val="0086664B"/>
    <w:rsid w:val="00866712"/>
    <w:rsid w:val="00866CDA"/>
    <w:rsid w:val="00867197"/>
    <w:rsid w:val="008674C6"/>
    <w:rsid w:val="008674CA"/>
    <w:rsid w:val="008675A4"/>
    <w:rsid w:val="00867685"/>
    <w:rsid w:val="00867722"/>
    <w:rsid w:val="008702FB"/>
    <w:rsid w:val="00870726"/>
    <w:rsid w:val="0087075C"/>
    <w:rsid w:val="008714A0"/>
    <w:rsid w:val="008716EF"/>
    <w:rsid w:val="00871868"/>
    <w:rsid w:val="00871894"/>
    <w:rsid w:val="00871923"/>
    <w:rsid w:val="008719D2"/>
    <w:rsid w:val="00871A73"/>
    <w:rsid w:val="00871BD2"/>
    <w:rsid w:val="00871C56"/>
    <w:rsid w:val="00871F35"/>
    <w:rsid w:val="0087293E"/>
    <w:rsid w:val="00872992"/>
    <w:rsid w:val="00872A3E"/>
    <w:rsid w:val="00872A86"/>
    <w:rsid w:val="00872D25"/>
    <w:rsid w:val="00872F17"/>
    <w:rsid w:val="008730F0"/>
    <w:rsid w:val="00873328"/>
    <w:rsid w:val="0087334B"/>
    <w:rsid w:val="0087349E"/>
    <w:rsid w:val="00873513"/>
    <w:rsid w:val="008737AF"/>
    <w:rsid w:val="00873B1C"/>
    <w:rsid w:val="00873E11"/>
    <w:rsid w:val="0087445E"/>
    <w:rsid w:val="008746B7"/>
    <w:rsid w:val="00874B89"/>
    <w:rsid w:val="00874C75"/>
    <w:rsid w:val="00874DEF"/>
    <w:rsid w:val="008752C6"/>
    <w:rsid w:val="00875A47"/>
    <w:rsid w:val="00875CC7"/>
    <w:rsid w:val="0087611D"/>
    <w:rsid w:val="0087634E"/>
    <w:rsid w:val="00876401"/>
    <w:rsid w:val="008765FF"/>
    <w:rsid w:val="00876825"/>
    <w:rsid w:val="00876C80"/>
    <w:rsid w:val="00876F0F"/>
    <w:rsid w:val="008770B6"/>
    <w:rsid w:val="00877262"/>
    <w:rsid w:val="00877C38"/>
    <w:rsid w:val="00877DDD"/>
    <w:rsid w:val="00880350"/>
    <w:rsid w:val="00880616"/>
    <w:rsid w:val="0088115D"/>
    <w:rsid w:val="008813B8"/>
    <w:rsid w:val="008816E9"/>
    <w:rsid w:val="00881743"/>
    <w:rsid w:val="008819A2"/>
    <w:rsid w:val="00881AC0"/>
    <w:rsid w:val="00881BC6"/>
    <w:rsid w:val="00881E1A"/>
    <w:rsid w:val="0088250C"/>
    <w:rsid w:val="00882706"/>
    <w:rsid w:val="0088288A"/>
    <w:rsid w:val="00882962"/>
    <w:rsid w:val="00882DD4"/>
    <w:rsid w:val="00882E42"/>
    <w:rsid w:val="00882FF7"/>
    <w:rsid w:val="00883132"/>
    <w:rsid w:val="0088327A"/>
    <w:rsid w:val="0088337F"/>
    <w:rsid w:val="008833F7"/>
    <w:rsid w:val="00883A3F"/>
    <w:rsid w:val="00883AE9"/>
    <w:rsid w:val="00883BF7"/>
    <w:rsid w:val="00883EF6"/>
    <w:rsid w:val="00883F42"/>
    <w:rsid w:val="00884763"/>
    <w:rsid w:val="00884B91"/>
    <w:rsid w:val="00884C29"/>
    <w:rsid w:val="008859B1"/>
    <w:rsid w:val="00885C58"/>
    <w:rsid w:val="008868ED"/>
    <w:rsid w:val="00886A35"/>
    <w:rsid w:val="00886D35"/>
    <w:rsid w:val="00886E34"/>
    <w:rsid w:val="00886ED4"/>
    <w:rsid w:val="0088731F"/>
    <w:rsid w:val="0088769C"/>
    <w:rsid w:val="00887856"/>
    <w:rsid w:val="008879F9"/>
    <w:rsid w:val="00887AAB"/>
    <w:rsid w:val="00887BFE"/>
    <w:rsid w:val="00887C40"/>
    <w:rsid w:val="00890060"/>
    <w:rsid w:val="00890316"/>
    <w:rsid w:val="008906ED"/>
    <w:rsid w:val="00890778"/>
    <w:rsid w:val="008908B8"/>
    <w:rsid w:val="00890991"/>
    <w:rsid w:val="00890C3B"/>
    <w:rsid w:val="00890C6E"/>
    <w:rsid w:val="00890FA5"/>
    <w:rsid w:val="008912A8"/>
    <w:rsid w:val="008914BB"/>
    <w:rsid w:val="008919C6"/>
    <w:rsid w:val="00891C38"/>
    <w:rsid w:val="00891CF1"/>
    <w:rsid w:val="00892529"/>
    <w:rsid w:val="00892965"/>
    <w:rsid w:val="00892F0E"/>
    <w:rsid w:val="00893116"/>
    <w:rsid w:val="008935D7"/>
    <w:rsid w:val="0089362B"/>
    <w:rsid w:val="00893A3A"/>
    <w:rsid w:val="00893B0F"/>
    <w:rsid w:val="00893B9F"/>
    <w:rsid w:val="00893BD5"/>
    <w:rsid w:val="00893FFE"/>
    <w:rsid w:val="00894206"/>
    <w:rsid w:val="0089447C"/>
    <w:rsid w:val="00894BB7"/>
    <w:rsid w:val="00894E95"/>
    <w:rsid w:val="00894EDB"/>
    <w:rsid w:val="00895AAE"/>
    <w:rsid w:val="00895B8B"/>
    <w:rsid w:val="008961BB"/>
    <w:rsid w:val="00896440"/>
    <w:rsid w:val="00896665"/>
    <w:rsid w:val="008968A2"/>
    <w:rsid w:val="008968B9"/>
    <w:rsid w:val="00897042"/>
    <w:rsid w:val="00897157"/>
    <w:rsid w:val="0089742D"/>
    <w:rsid w:val="00897743"/>
    <w:rsid w:val="008977D7"/>
    <w:rsid w:val="0089785B"/>
    <w:rsid w:val="008979A9"/>
    <w:rsid w:val="008A0108"/>
    <w:rsid w:val="008A0743"/>
    <w:rsid w:val="008A0972"/>
    <w:rsid w:val="008A09E6"/>
    <w:rsid w:val="008A0AA8"/>
    <w:rsid w:val="008A0B2D"/>
    <w:rsid w:val="008A0C25"/>
    <w:rsid w:val="008A10E7"/>
    <w:rsid w:val="008A121F"/>
    <w:rsid w:val="008A1496"/>
    <w:rsid w:val="008A1740"/>
    <w:rsid w:val="008A1794"/>
    <w:rsid w:val="008A1922"/>
    <w:rsid w:val="008A197D"/>
    <w:rsid w:val="008A1D99"/>
    <w:rsid w:val="008A1EC3"/>
    <w:rsid w:val="008A22E6"/>
    <w:rsid w:val="008A27FA"/>
    <w:rsid w:val="008A2EE0"/>
    <w:rsid w:val="008A310D"/>
    <w:rsid w:val="008A33B1"/>
    <w:rsid w:val="008A370E"/>
    <w:rsid w:val="008A37B8"/>
    <w:rsid w:val="008A3849"/>
    <w:rsid w:val="008A3B33"/>
    <w:rsid w:val="008A3D6D"/>
    <w:rsid w:val="008A3D7E"/>
    <w:rsid w:val="008A413D"/>
    <w:rsid w:val="008A43E0"/>
    <w:rsid w:val="008A459D"/>
    <w:rsid w:val="008A466D"/>
    <w:rsid w:val="008A46F6"/>
    <w:rsid w:val="008A4BAB"/>
    <w:rsid w:val="008A5196"/>
    <w:rsid w:val="008A525A"/>
    <w:rsid w:val="008A533D"/>
    <w:rsid w:val="008A54B9"/>
    <w:rsid w:val="008A54DE"/>
    <w:rsid w:val="008A5A5C"/>
    <w:rsid w:val="008A5E1F"/>
    <w:rsid w:val="008A63B5"/>
    <w:rsid w:val="008A644E"/>
    <w:rsid w:val="008A67B3"/>
    <w:rsid w:val="008A6C70"/>
    <w:rsid w:val="008A79FB"/>
    <w:rsid w:val="008A7D9A"/>
    <w:rsid w:val="008B01BB"/>
    <w:rsid w:val="008B01FA"/>
    <w:rsid w:val="008B03D0"/>
    <w:rsid w:val="008B05FA"/>
    <w:rsid w:val="008B0AC7"/>
    <w:rsid w:val="008B1042"/>
    <w:rsid w:val="008B1295"/>
    <w:rsid w:val="008B1F45"/>
    <w:rsid w:val="008B26F0"/>
    <w:rsid w:val="008B2A0C"/>
    <w:rsid w:val="008B2C53"/>
    <w:rsid w:val="008B2CF7"/>
    <w:rsid w:val="008B2F3D"/>
    <w:rsid w:val="008B33D3"/>
    <w:rsid w:val="008B4063"/>
    <w:rsid w:val="008B4359"/>
    <w:rsid w:val="008B44F9"/>
    <w:rsid w:val="008B4523"/>
    <w:rsid w:val="008B4997"/>
    <w:rsid w:val="008B4DA6"/>
    <w:rsid w:val="008B5123"/>
    <w:rsid w:val="008B536A"/>
    <w:rsid w:val="008B60E5"/>
    <w:rsid w:val="008B61A0"/>
    <w:rsid w:val="008B61AC"/>
    <w:rsid w:val="008B6246"/>
    <w:rsid w:val="008B6346"/>
    <w:rsid w:val="008B6719"/>
    <w:rsid w:val="008B6ADB"/>
    <w:rsid w:val="008B6D45"/>
    <w:rsid w:val="008B705B"/>
    <w:rsid w:val="008B7421"/>
    <w:rsid w:val="008B7834"/>
    <w:rsid w:val="008B7953"/>
    <w:rsid w:val="008B7CD0"/>
    <w:rsid w:val="008B7E30"/>
    <w:rsid w:val="008C000F"/>
    <w:rsid w:val="008C00A3"/>
    <w:rsid w:val="008C00B2"/>
    <w:rsid w:val="008C013F"/>
    <w:rsid w:val="008C0426"/>
    <w:rsid w:val="008C0F1A"/>
    <w:rsid w:val="008C113D"/>
    <w:rsid w:val="008C11D8"/>
    <w:rsid w:val="008C1310"/>
    <w:rsid w:val="008C1A90"/>
    <w:rsid w:val="008C1BC2"/>
    <w:rsid w:val="008C1CF8"/>
    <w:rsid w:val="008C2259"/>
    <w:rsid w:val="008C25EB"/>
    <w:rsid w:val="008C2AB9"/>
    <w:rsid w:val="008C2C82"/>
    <w:rsid w:val="008C327E"/>
    <w:rsid w:val="008C34B0"/>
    <w:rsid w:val="008C35F1"/>
    <w:rsid w:val="008C3699"/>
    <w:rsid w:val="008C3A65"/>
    <w:rsid w:val="008C3CC5"/>
    <w:rsid w:val="008C3DEF"/>
    <w:rsid w:val="008C3F05"/>
    <w:rsid w:val="008C48FF"/>
    <w:rsid w:val="008C4C68"/>
    <w:rsid w:val="008C4D47"/>
    <w:rsid w:val="008C54D2"/>
    <w:rsid w:val="008C54EE"/>
    <w:rsid w:val="008C5580"/>
    <w:rsid w:val="008C613A"/>
    <w:rsid w:val="008C6578"/>
    <w:rsid w:val="008C6814"/>
    <w:rsid w:val="008C6B43"/>
    <w:rsid w:val="008C6C1C"/>
    <w:rsid w:val="008C7445"/>
    <w:rsid w:val="008C75DE"/>
    <w:rsid w:val="008C7638"/>
    <w:rsid w:val="008C76EB"/>
    <w:rsid w:val="008C7767"/>
    <w:rsid w:val="008C77EC"/>
    <w:rsid w:val="008C78A2"/>
    <w:rsid w:val="008C78BE"/>
    <w:rsid w:val="008C7CDB"/>
    <w:rsid w:val="008D009B"/>
    <w:rsid w:val="008D02E5"/>
    <w:rsid w:val="008D0334"/>
    <w:rsid w:val="008D0534"/>
    <w:rsid w:val="008D064A"/>
    <w:rsid w:val="008D0703"/>
    <w:rsid w:val="008D0859"/>
    <w:rsid w:val="008D08AD"/>
    <w:rsid w:val="008D0CD0"/>
    <w:rsid w:val="008D0DED"/>
    <w:rsid w:val="008D0ED3"/>
    <w:rsid w:val="008D1231"/>
    <w:rsid w:val="008D1811"/>
    <w:rsid w:val="008D186E"/>
    <w:rsid w:val="008D2052"/>
    <w:rsid w:val="008D20F7"/>
    <w:rsid w:val="008D21F2"/>
    <w:rsid w:val="008D222F"/>
    <w:rsid w:val="008D23B6"/>
    <w:rsid w:val="008D250A"/>
    <w:rsid w:val="008D2799"/>
    <w:rsid w:val="008D287C"/>
    <w:rsid w:val="008D2AAD"/>
    <w:rsid w:val="008D2E8C"/>
    <w:rsid w:val="008D3323"/>
    <w:rsid w:val="008D347A"/>
    <w:rsid w:val="008D34EC"/>
    <w:rsid w:val="008D389E"/>
    <w:rsid w:val="008D3D62"/>
    <w:rsid w:val="008D3DF2"/>
    <w:rsid w:val="008D3E00"/>
    <w:rsid w:val="008D417B"/>
    <w:rsid w:val="008D42F4"/>
    <w:rsid w:val="008D5028"/>
    <w:rsid w:val="008D542B"/>
    <w:rsid w:val="008D5660"/>
    <w:rsid w:val="008D5C66"/>
    <w:rsid w:val="008D5E15"/>
    <w:rsid w:val="008D6165"/>
    <w:rsid w:val="008D6171"/>
    <w:rsid w:val="008D6227"/>
    <w:rsid w:val="008D6E65"/>
    <w:rsid w:val="008D6FCD"/>
    <w:rsid w:val="008D759B"/>
    <w:rsid w:val="008D7679"/>
    <w:rsid w:val="008D79C5"/>
    <w:rsid w:val="008D7AD6"/>
    <w:rsid w:val="008E0174"/>
    <w:rsid w:val="008E03B2"/>
    <w:rsid w:val="008E0575"/>
    <w:rsid w:val="008E0982"/>
    <w:rsid w:val="008E0B50"/>
    <w:rsid w:val="008E0C29"/>
    <w:rsid w:val="008E13D0"/>
    <w:rsid w:val="008E1660"/>
    <w:rsid w:val="008E18D7"/>
    <w:rsid w:val="008E1C2B"/>
    <w:rsid w:val="008E1DBF"/>
    <w:rsid w:val="008E209C"/>
    <w:rsid w:val="008E22D6"/>
    <w:rsid w:val="008E262C"/>
    <w:rsid w:val="008E29C6"/>
    <w:rsid w:val="008E2C47"/>
    <w:rsid w:val="008E2F34"/>
    <w:rsid w:val="008E3365"/>
    <w:rsid w:val="008E3944"/>
    <w:rsid w:val="008E3BD3"/>
    <w:rsid w:val="008E3CD9"/>
    <w:rsid w:val="008E3CFF"/>
    <w:rsid w:val="008E3D51"/>
    <w:rsid w:val="008E3E6A"/>
    <w:rsid w:val="008E478C"/>
    <w:rsid w:val="008E4942"/>
    <w:rsid w:val="008E4993"/>
    <w:rsid w:val="008E4DA9"/>
    <w:rsid w:val="008E4FB5"/>
    <w:rsid w:val="008E549F"/>
    <w:rsid w:val="008E59C0"/>
    <w:rsid w:val="008E5AE6"/>
    <w:rsid w:val="008E620A"/>
    <w:rsid w:val="008E62EE"/>
    <w:rsid w:val="008E6351"/>
    <w:rsid w:val="008E65BF"/>
    <w:rsid w:val="008E6E99"/>
    <w:rsid w:val="008E6FBC"/>
    <w:rsid w:val="008E73ED"/>
    <w:rsid w:val="008E797F"/>
    <w:rsid w:val="008E7C02"/>
    <w:rsid w:val="008E7CE8"/>
    <w:rsid w:val="008F0046"/>
    <w:rsid w:val="008F01A8"/>
    <w:rsid w:val="008F0290"/>
    <w:rsid w:val="008F0C17"/>
    <w:rsid w:val="008F0E38"/>
    <w:rsid w:val="008F0FC3"/>
    <w:rsid w:val="008F120C"/>
    <w:rsid w:val="008F12E4"/>
    <w:rsid w:val="008F15C7"/>
    <w:rsid w:val="008F17C4"/>
    <w:rsid w:val="008F1BC3"/>
    <w:rsid w:val="008F1D1C"/>
    <w:rsid w:val="008F2149"/>
    <w:rsid w:val="008F22F7"/>
    <w:rsid w:val="008F3139"/>
    <w:rsid w:val="008F319D"/>
    <w:rsid w:val="008F38C4"/>
    <w:rsid w:val="008F39DA"/>
    <w:rsid w:val="008F3CA8"/>
    <w:rsid w:val="008F3F9E"/>
    <w:rsid w:val="008F42DC"/>
    <w:rsid w:val="008F46A5"/>
    <w:rsid w:val="008F48FE"/>
    <w:rsid w:val="008F4BD4"/>
    <w:rsid w:val="008F4D3E"/>
    <w:rsid w:val="008F5849"/>
    <w:rsid w:val="008F598D"/>
    <w:rsid w:val="008F5A46"/>
    <w:rsid w:val="008F5E29"/>
    <w:rsid w:val="008F6082"/>
    <w:rsid w:val="008F61D0"/>
    <w:rsid w:val="008F629F"/>
    <w:rsid w:val="008F6559"/>
    <w:rsid w:val="008F68AB"/>
    <w:rsid w:val="008F69BD"/>
    <w:rsid w:val="008F69DA"/>
    <w:rsid w:val="008F6A1A"/>
    <w:rsid w:val="008F6B2C"/>
    <w:rsid w:val="008F6E4A"/>
    <w:rsid w:val="008F7020"/>
    <w:rsid w:val="008F71B9"/>
    <w:rsid w:val="008F7338"/>
    <w:rsid w:val="008F795B"/>
    <w:rsid w:val="008F7A2D"/>
    <w:rsid w:val="008F7A59"/>
    <w:rsid w:val="008F7B1E"/>
    <w:rsid w:val="009001AA"/>
    <w:rsid w:val="00900270"/>
    <w:rsid w:val="009005F1"/>
    <w:rsid w:val="00900BA6"/>
    <w:rsid w:val="00900F9E"/>
    <w:rsid w:val="00901567"/>
    <w:rsid w:val="0090158D"/>
    <w:rsid w:val="00901680"/>
    <w:rsid w:val="009017FC"/>
    <w:rsid w:val="009018B7"/>
    <w:rsid w:val="009019B9"/>
    <w:rsid w:val="00901A2B"/>
    <w:rsid w:val="00901BD6"/>
    <w:rsid w:val="00901F5C"/>
    <w:rsid w:val="0090223F"/>
    <w:rsid w:val="0090273D"/>
    <w:rsid w:val="00902C6E"/>
    <w:rsid w:val="00902FB1"/>
    <w:rsid w:val="009031EA"/>
    <w:rsid w:val="00903428"/>
    <w:rsid w:val="0090367C"/>
    <w:rsid w:val="009036F4"/>
    <w:rsid w:val="00903A73"/>
    <w:rsid w:val="00903C77"/>
    <w:rsid w:val="00903FA8"/>
    <w:rsid w:val="009041D4"/>
    <w:rsid w:val="00904360"/>
    <w:rsid w:val="00904637"/>
    <w:rsid w:val="0090486E"/>
    <w:rsid w:val="0090487D"/>
    <w:rsid w:val="009051F6"/>
    <w:rsid w:val="0090531D"/>
    <w:rsid w:val="0090558F"/>
    <w:rsid w:val="00905AC8"/>
    <w:rsid w:val="00905C03"/>
    <w:rsid w:val="00905C2B"/>
    <w:rsid w:val="00905DD1"/>
    <w:rsid w:val="00905E71"/>
    <w:rsid w:val="009060C8"/>
    <w:rsid w:val="00906862"/>
    <w:rsid w:val="0090700C"/>
    <w:rsid w:val="009077E7"/>
    <w:rsid w:val="00907AA9"/>
    <w:rsid w:val="00907D4D"/>
    <w:rsid w:val="0091011C"/>
    <w:rsid w:val="009102B0"/>
    <w:rsid w:val="00910561"/>
    <w:rsid w:val="00910BD4"/>
    <w:rsid w:val="00910E68"/>
    <w:rsid w:val="00911076"/>
    <w:rsid w:val="009112F6"/>
    <w:rsid w:val="009114E6"/>
    <w:rsid w:val="009114EF"/>
    <w:rsid w:val="0091189B"/>
    <w:rsid w:val="009119A5"/>
    <w:rsid w:val="00911CA4"/>
    <w:rsid w:val="00911E09"/>
    <w:rsid w:val="00912686"/>
    <w:rsid w:val="00912E75"/>
    <w:rsid w:val="00912ECF"/>
    <w:rsid w:val="00913207"/>
    <w:rsid w:val="009133AF"/>
    <w:rsid w:val="00913461"/>
    <w:rsid w:val="00913E2A"/>
    <w:rsid w:val="00913EF4"/>
    <w:rsid w:val="00914006"/>
    <w:rsid w:val="00914625"/>
    <w:rsid w:val="00914A9E"/>
    <w:rsid w:val="00914ED0"/>
    <w:rsid w:val="0091541D"/>
    <w:rsid w:val="00915C29"/>
    <w:rsid w:val="00916A54"/>
    <w:rsid w:val="00916B1C"/>
    <w:rsid w:val="00916D80"/>
    <w:rsid w:val="00917084"/>
    <w:rsid w:val="00917A98"/>
    <w:rsid w:val="00917EB4"/>
    <w:rsid w:val="00920856"/>
    <w:rsid w:val="009208AC"/>
    <w:rsid w:val="009208D9"/>
    <w:rsid w:val="00920C56"/>
    <w:rsid w:val="009211B4"/>
    <w:rsid w:val="00921599"/>
    <w:rsid w:val="0092164D"/>
    <w:rsid w:val="00921B1B"/>
    <w:rsid w:val="00922046"/>
    <w:rsid w:val="00922CF1"/>
    <w:rsid w:val="00922E48"/>
    <w:rsid w:val="00922FAE"/>
    <w:rsid w:val="00923609"/>
    <w:rsid w:val="00923A63"/>
    <w:rsid w:val="00923D60"/>
    <w:rsid w:val="00923E00"/>
    <w:rsid w:val="00924940"/>
    <w:rsid w:val="0092496A"/>
    <w:rsid w:val="009249D2"/>
    <w:rsid w:val="00924A08"/>
    <w:rsid w:val="00924D54"/>
    <w:rsid w:val="009252D7"/>
    <w:rsid w:val="0092558E"/>
    <w:rsid w:val="00925752"/>
    <w:rsid w:val="0092586D"/>
    <w:rsid w:val="00925911"/>
    <w:rsid w:val="009259B0"/>
    <w:rsid w:val="00925CD6"/>
    <w:rsid w:val="00926079"/>
    <w:rsid w:val="00926557"/>
    <w:rsid w:val="009275B5"/>
    <w:rsid w:val="00927D1B"/>
    <w:rsid w:val="00930362"/>
    <w:rsid w:val="0093045B"/>
    <w:rsid w:val="009305E9"/>
    <w:rsid w:val="0093090A"/>
    <w:rsid w:val="009313CB"/>
    <w:rsid w:val="00931A6D"/>
    <w:rsid w:val="00932074"/>
    <w:rsid w:val="009321BE"/>
    <w:rsid w:val="0093248F"/>
    <w:rsid w:val="009324A9"/>
    <w:rsid w:val="009324D3"/>
    <w:rsid w:val="00932781"/>
    <w:rsid w:val="00932852"/>
    <w:rsid w:val="00932AE7"/>
    <w:rsid w:val="00932E2E"/>
    <w:rsid w:val="00932E84"/>
    <w:rsid w:val="00933166"/>
    <w:rsid w:val="0093336B"/>
    <w:rsid w:val="00933683"/>
    <w:rsid w:val="00933C0F"/>
    <w:rsid w:val="0093404E"/>
    <w:rsid w:val="0093477C"/>
    <w:rsid w:val="00934848"/>
    <w:rsid w:val="00934990"/>
    <w:rsid w:val="009349D4"/>
    <w:rsid w:val="00934EA3"/>
    <w:rsid w:val="009351E6"/>
    <w:rsid w:val="0093544F"/>
    <w:rsid w:val="009357EA"/>
    <w:rsid w:val="00935D92"/>
    <w:rsid w:val="00935E48"/>
    <w:rsid w:val="0093687C"/>
    <w:rsid w:val="009369B2"/>
    <w:rsid w:val="00937012"/>
    <w:rsid w:val="0093702F"/>
    <w:rsid w:val="00937259"/>
    <w:rsid w:val="0093732C"/>
    <w:rsid w:val="00937646"/>
    <w:rsid w:val="00937714"/>
    <w:rsid w:val="009400DF"/>
    <w:rsid w:val="0094064F"/>
    <w:rsid w:val="009406E2"/>
    <w:rsid w:val="0094075B"/>
    <w:rsid w:val="00940917"/>
    <w:rsid w:val="00941018"/>
    <w:rsid w:val="00941278"/>
    <w:rsid w:val="00941405"/>
    <w:rsid w:val="00941560"/>
    <w:rsid w:val="00941B31"/>
    <w:rsid w:val="00941DC3"/>
    <w:rsid w:val="00941E21"/>
    <w:rsid w:val="00942252"/>
    <w:rsid w:val="0094241A"/>
    <w:rsid w:val="009424D7"/>
    <w:rsid w:val="009429E1"/>
    <w:rsid w:val="00942A8D"/>
    <w:rsid w:val="0094354D"/>
    <w:rsid w:val="009437BB"/>
    <w:rsid w:val="009439BB"/>
    <w:rsid w:val="00943CEF"/>
    <w:rsid w:val="0094425F"/>
    <w:rsid w:val="0094470B"/>
    <w:rsid w:val="00945120"/>
    <w:rsid w:val="00945147"/>
    <w:rsid w:val="009453D5"/>
    <w:rsid w:val="00945501"/>
    <w:rsid w:val="00945716"/>
    <w:rsid w:val="009459DD"/>
    <w:rsid w:val="00945BC4"/>
    <w:rsid w:val="00945C1F"/>
    <w:rsid w:val="0094676E"/>
    <w:rsid w:val="00946E61"/>
    <w:rsid w:val="00947224"/>
    <w:rsid w:val="00947308"/>
    <w:rsid w:val="0094740A"/>
    <w:rsid w:val="00947431"/>
    <w:rsid w:val="00947B55"/>
    <w:rsid w:val="00947E12"/>
    <w:rsid w:val="0095018F"/>
    <w:rsid w:val="00950D7D"/>
    <w:rsid w:val="00951075"/>
    <w:rsid w:val="009511FD"/>
    <w:rsid w:val="00951320"/>
    <w:rsid w:val="00951739"/>
    <w:rsid w:val="00951952"/>
    <w:rsid w:val="00952218"/>
    <w:rsid w:val="00952314"/>
    <w:rsid w:val="0095241A"/>
    <w:rsid w:val="009527B2"/>
    <w:rsid w:val="00952BE4"/>
    <w:rsid w:val="00953895"/>
    <w:rsid w:val="009541E1"/>
    <w:rsid w:val="009546C0"/>
    <w:rsid w:val="009546FE"/>
    <w:rsid w:val="00954C1D"/>
    <w:rsid w:val="00954FF1"/>
    <w:rsid w:val="009552DB"/>
    <w:rsid w:val="00955588"/>
    <w:rsid w:val="00956054"/>
    <w:rsid w:val="009560EE"/>
    <w:rsid w:val="009561ED"/>
    <w:rsid w:val="00956453"/>
    <w:rsid w:val="009564EB"/>
    <w:rsid w:val="0095650A"/>
    <w:rsid w:val="009568EB"/>
    <w:rsid w:val="00956961"/>
    <w:rsid w:val="009569E6"/>
    <w:rsid w:val="0095708C"/>
    <w:rsid w:val="009574D7"/>
    <w:rsid w:val="009577D9"/>
    <w:rsid w:val="00957AFD"/>
    <w:rsid w:val="00957BFA"/>
    <w:rsid w:val="00957C45"/>
    <w:rsid w:val="00957CF0"/>
    <w:rsid w:val="00957D1B"/>
    <w:rsid w:val="00960089"/>
    <w:rsid w:val="00960329"/>
    <w:rsid w:val="00960448"/>
    <w:rsid w:val="009609A6"/>
    <w:rsid w:val="00960AAA"/>
    <w:rsid w:val="00960E88"/>
    <w:rsid w:val="00960FB9"/>
    <w:rsid w:val="00961128"/>
    <w:rsid w:val="0096119C"/>
    <w:rsid w:val="00961807"/>
    <w:rsid w:val="009619D8"/>
    <w:rsid w:val="00961ABB"/>
    <w:rsid w:val="00961CB5"/>
    <w:rsid w:val="00961DE1"/>
    <w:rsid w:val="00962048"/>
    <w:rsid w:val="009622CA"/>
    <w:rsid w:val="009623D1"/>
    <w:rsid w:val="00962746"/>
    <w:rsid w:val="0096276D"/>
    <w:rsid w:val="009632D4"/>
    <w:rsid w:val="009632FA"/>
    <w:rsid w:val="0096356E"/>
    <w:rsid w:val="00963786"/>
    <w:rsid w:val="00963A9A"/>
    <w:rsid w:val="00963D49"/>
    <w:rsid w:val="00964364"/>
    <w:rsid w:val="0096440C"/>
    <w:rsid w:val="00964C3F"/>
    <w:rsid w:val="009651F0"/>
    <w:rsid w:val="009655DA"/>
    <w:rsid w:val="00965A27"/>
    <w:rsid w:val="00965B90"/>
    <w:rsid w:val="0096640A"/>
    <w:rsid w:val="0096688E"/>
    <w:rsid w:val="00966B4C"/>
    <w:rsid w:val="00966B5A"/>
    <w:rsid w:val="009674BB"/>
    <w:rsid w:val="00967716"/>
    <w:rsid w:val="00967825"/>
    <w:rsid w:val="00967E22"/>
    <w:rsid w:val="009700CB"/>
    <w:rsid w:val="009700D3"/>
    <w:rsid w:val="0097086C"/>
    <w:rsid w:val="00970ECC"/>
    <w:rsid w:val="00970F84"/>
    <w:rsid w:val="00971231"/>
    <w:rsid w:val="009714E0"/>
    <w:rsid w:val="00971595"/>
    <w:rsid w:val="009716F8"/>
    <w:rsid w:val="00971908"/>
    <w:rsid w:val="00971AF1"/>
    <w:rsid w:val="00971BCF"/>
    <w:rsid w:val="00971E04"/>
    <w:rsid w:val="0097211C"/>
    <w:rsid w:val="0097239A"/>
    <w:rsid w:val="009723CA"/>
    <w:rsid w:val="00972491"/>
    <w:rsid w:val="009725B4"/>
    <w:rsid w:val="009725C0"/>
    <w:rsid w:val="009738B1"/>
    <w:rsid w:val="00973BCF"/>
    <w:rsid w:val="009743B6"/>
    <w:rsid w:val="009745AE"/>
    <w:rsid w:val="0097473D"/>
    <w:rsid w:val="00974B09"/>
    <w:rsid w:val="00974B44"/>
    <w:rsid w:val="00974D79"/>
    <w:rsid w:val="00974F47"/>
    <w:rsid w:val="00975258"/>
    <w:rsid w:val="009752FC"/>
    <w:rsid w:val="00975D4A"/>
    <w:rsid w:val="00975DFB"/>
    <w:rsid w:val="009760EE"/>
    <w:rsid w:val="0097680C"/>
    <w:rsid w:val="00976B58"/>
    <w:rsid w:val="00976D11"/>
    <w:rsid w:val="0097722D"/>
    <w:rsid w:val="00977292"/>
    <w:rsid w:val="00977368"/>
    <w:rsid w:val="009773CA"/>
    <w:rsid w:val="00977579"/>
    <w:rsid w:val="00977815"/>
    <w:rsid w:val="00977889"/>
    <w:rsid w:val="00977E65"/>
    <w:rsid w:val="009803AD"/>
    <w:rsid w:val="00980AF6"/>
    <w:rsid w:val="00980C98"/>
    <w:rsid w:val="009810CE"/>
    <w:rsid w:val="0098144A"/>
    <w:rsid w:val="0098163D"/>
    <w:rsid w:val="00981A14"/>
    <w:rsid w:val="00982114"/>
    <w:rsid w:val="00982421"/>
    <w:rsid w:val="009827D3"/>
    <w:rsid w:val="00982964"/>
    <w:rsid w:val="00982F94"/>
    <w:rsid w:val="00983024"/>
    <w:rsid w:val="00983605"/>
    <w:rsid w:val="00983710"/>
    <w:rsid w:val="00983759"/>
    <w:rsid w:val="00983813"/>
    <w:rsid w:val="00983F21"/>
    <w:rsid w:val="0098452C"/>
    <w:rsid w:val="009846D8"/>
    <w:rsid w:val="0098476E"/>
    <w:rsid w:val="00984965"/>
    <w:rsid w:val="00984C3B"/>
    <w:rsid w:val="00984E61"/>
    <w:rsid w:val="00985655"/>
    <w:rsid w:val="009858C1"/>
    <w:rsid w:val="00985992"/>
    <w:rsid w:val="009859C9"/>
    <w:rsid w:val="009859F2"/>
    <w:rsid w:val="00985F28"/>
    <w:rsid w:val="00986113"/>
    <w:rsid w:val="009861F4"/>
    <w:rsid w:val="0098666E"/>
    <w:rsid w:val="0098688A"/>
    <w:rsid w:val="00986B89"/>
    <w:rsid w:val="00987249"/>
    <w:rsid w:val="0098728A"/>
    <w:rsid w:val="00987505"/>
    <w:rsid w:val="0098757E"/>
    <w:rsid w:val="0098767A"/>
    <w:rsid w:val="0098770C"/>
    <w:rsid w:val="009877A8"/>
    <w:rsid w:val="00987917"/>
    <w:rsid w:val="00987DD0"/>
    <w:rsid w:val="00987E08"/>
    <w:rsid w:val="009901A7"/>
    <w:rsid w:val="00990298"/>
    <w:rsid w:val="009906C5"/>
    <w:rsid w:val="00990717"/>
    <w:rsid w:val="00990AF2"/>
    <w:rsid w:val="00990D55"/>
    <w:rsid w:val="00990E91"/>
    <w:rsid w:val="00990FC5"/>
    <w:rsid w:val="0099139D"/>
    <w:rsid w:val="00991AE3"/>
    <w:rsid w:val="00991DE3"/>
    <w:rsid w:val="00991E40"/>
    <w:rsid w:val="00992538"/>
    <w:rsid w:val="0099268F"/>
    <w:rsid w:val="009929DA"/>
    <w:rsid w:val="00992E5E"/>
    <w:rsid w:val="0099399D"/>
    <w:rsid w:val="00993AAD"/>
    <w:rsid w:val="00993E87"/>
    <w:rsid w:val="009940FA"/>
    <w:rsid w:val="00994107"/>
    <w:rsid w:val="00994360"/>
    <w:rsid w:val="00994AF3"/>
    <w:rsid w:val="00994E11"/>
    <w:rsid w:val="009951A9"/>
    <w:rsid w:val="00995479"/>
    <w:rsid w:val="00995AB3"/>
    <w:rsid w:val="009961F2"/>
    <w:rsid w:val="00996821"/>
    <w:rsid w:val="0099682F"/>
    <w:rsid w:val="00996F05"/>
    <w:rsid w:val="009977CA"/>
    <w:rsid w:val="00997922"/>
    <w:rsid w:val="00997A6A"/>
    <w:rsid w:val="00997F28"/>
    <w:rsid w:val="00997F87"/>
    <w:rsid w:val="009A01A3"/>
    <w:rsid w:val="009A0441"/>
    <w:rsid w:val="009A083E"/>
    <w:rsid w:val="009A0F33"/>
    <w:rsid w:val="009A16DB"/>
    <w:rsid w:val="009A1894"/>
    <w:rsid w:val="009A1F60"/>
    <w:rsid w:val="009A2238"/>
    <w:rsid w:val="009A247B"/>
    <w:rsid w:val="009A2A97"/>
    <w:rsid w:val="009A2F2E"/>
    <w:rsid w:val="009A2F32"/>
    <w:rsid w:val="009A3078"/>
    <w:rsid w:val="009A3424"/>
    <w:rsid w:val="009A37A0"/>
    <w:rsid w:val="009A39D9"/>
    <w:rsid w:val="009A3A3A"/>
    <w:rsid w:val="009A40B5"/>
    <w:rsid w:val="009A4483"/>
    <w:rsid w:val="009A457C"/>
    <w:rsid w:val="009A4B98"/>
    <w:rsid w:val="009A4BA2"/>
    <w:rsid w:val="009A4C3D"/>
    <w:rsid w:val="009A4D01"/>
    <w:rsid w:val="009A4DDA"/>
    <w:rsid w:val="009A501C"/>
    <w:rsid w:val="009A511A"/>
    <w:rsid w:val="009A53D1"/>
    <w:rsid w:val="009A5498"/>
    <w:rsid w:val="009A5986"/>
    <w:rsid w:val="009A5AF0"/>
    <w:rsid w:val="009A5B63"/>
    <w:rsid w:val="009A5F37"/>
    <w:rsid w:val="009A65BC"/>
    <w:rsid w:val="009A6769"/>
    <w:rsid w:val="009A6B2E"/>
    <w:rsid w:val="009A6D1A"/>
    <w:rsid w:val="009A7324"/>
    <w:rsid w:val="009A76F8"/>
    <w:rsid w:val="009A773B"/>
    <w:rsid w:val="009A7856"/>
    <w:rsid w:val="009A7F1D"/>
    <w:rsid w:val="009B036B"/>
    <w:rsid w:val="009B0451"/>
    <w:rsid w:val="009B0769"/>
    <w:rsid w:val="009B098D"/>
    <w:rsid w:val="009B126C"/>
    <w:rsid w:val="009B13A6"/>
    <w:rsid w:val="009B13B3"/>
    <w:rsid w:val="009B13FB"/>
    <w:rsid w:val="009B1544"/>
    <w:rsid w:val="009B1995"/>
    <w:rsid w:val="009B1A35"/>
    <w:rsid w:val="009B1E31"/>
    <w:rsid w:val="009B1EB8"/>
    <w:rsid w:val="009B1F06"/>
    <w:rsid w:val="009B247C"/>
    <w:rsid w:val="009B273C"/>
    <w:rsid w:val="009B28CB"/>
    <w:rsid w:val="009B28DF"/>
    <w:rsid w:val="009B2A21"/>
    <w:rsid w:val="009B2B49"/>
    <w:rsid w:val="009B2F62"/>
    <w:rsid w:val="009B30F8"/>
    <w:rsid w:val="009B32C5"/>
    <w:rsid w:val="009B3AF9"/>
    <w:rsid w:val="009B3B4E"/>
    <w:rsid w:val="009B427C"/>
    <w:rsid w:val="009B4378"/>
    <w:rsid w:val="009B47B3"/>
    <w:rsid w:val="009B47DA"/>
    <w:rsid w:val="009B4823"/>
    <w:rsid w:val="009B493C"/>
    <w:rsid w:val="009B49AD"/>
    <w:rsid w:val="009B536E"/>
    <w:rsid w:val="009B563C"/>
    <w:rsid w:val="009B5B7B"/>
    <w:rsid w:val="009B5E09"/>
    <w:rsid w:val="009B5F49"/>
    <w:rsid w:val="009B633B"/>
    <w:rsid w:val="009B6345"/>
    <w:rsid w:val="009B6AC1"/>
    <w:rsid w:val="009B6BC2"/>
    <w:rsid w:val="009B6BCA"/>
    <w:rsid w:val="009B70D0"/>
    <w:rsid w:val="009B724E"/>
    <w:rsid w:val="009B72C0"/>
    <w:rsid w:val="009B74BF"/>
    <w:rsid w:val="009B7632"/>
    <w:rsid w:val="009B7D60"/>
    <w:rsid w:val="009B7E93"/>
    <w:rsid w:val="009C005E"/>
    <w:rsid w:val="009C0099"/>
    <w:rsid w:val="009C09B8"/>
    <w:rsid w:val="009C0EB5"/>
    <w:rsid w:val="009C0FF4"/>
    <w:rsid w:val="009C105A"/>
    <w:rsid w:val="009C114D"/>
    <w:rsid w:val="009C125E"/>
    <w:rsid w:val="009C12DC"/>
    <w:rsid w:val="009C1CC8"/>
    <w:rsid w:val="009C1F09"/>
    <w:rsid w:val="009C21D9"/>
    <w:rsid w:val="009C2435"/>
    <w:rsid w:val="009C2610"/>
    <w:rsid w:val="009C2639"/>
    <w:rsid w:val="009C2A8A"/>
    <w:rsid w:val="009C2AA5"/>
    <w:rsid w:val="009C2D16"/>
    <w:rsid w:val="009C336A"/>
    <w:rsid w:val="009C33BA"/>
    <w:rsid w:val="009C46EE"/>
    <w:rsid w:val="009C4DF3"/>
    <w:rsid w:val="009C4E77"/>
    <w:rsid w:val="009C550C"/>
    <w:rsid w:val="009C589A"/>
    <w:rsid w:val="009C5F54"/>
    <w:rsid w:val="009C6259"/>
    <w:rsid w:val="009C64FF"/>
    <w:rsid w:val="009C69E0"/>
    <w:rsid w:val="009C6A7A"/>
    <w:rsid w:val="009C6BF5"/>
    <w:rsid w:val="009C6EBC"/>
    <w:rsid w:val="009C7403"/>
    <w:rsid w:val="009C7507"/>
    <w:rsid w:val="009C79FC"/>
    <w:rsid w:val="009C7A43"/>
    <w:rsid w:val="009C7C8F"/>
    <w:rsid w:val="009D01B2"/>
    <w:rsid w:val="009D023D"/>
    <w:rsid w:val="009D06AA"/>
    <w:rsid w:val="009D06D8"/>
    <w:rsid w:val="009D0992"/>
    <w:rsid w:val="009D099D"/>
    <w:rsid w:val="009D09A7"/>
    <w:rsid w:val="009D0E02"/>
    <w:rsid w:val="009D0F53"/>
    <w:rsid w:val="009D11A3"/>
    <w:rsid w:val="009D1B74"/>
    <w:rsid w:val="009D231A"/>
    <w:rsid w:val="009D27D2"/>
    <w:rsid w:val="009D2CBB"/>
    <w:rsid w:val="009D2D24"/>
    <w:rsid w:val="009D2EB3"/>
    <w:rsid w:val="009D32C1"/>
    <w:rsid w:val="009D3532"/>
    <w:rsid w:val="009D37DD"/>
    <w:rsid w:val="009D38B5"/>
    <w:rsid w:val="009D3FA7"/>
    <w:rsid w:val="009D4419"/>
    <w:rsid w:val="009D46CF"/>
    <w:rsid w:val="009D4887"/>
    <w:rsid w:val="009D489D"/>
    <w:rsid w:val="009D4D39"/>
    <w:rsid w:val="009D5146"/>
    <w:rsid w:val="009D555A"/>
    <w:rsid w:val="009D5567"/>
    <w:rsid w:val="009D578A"/>
    <w:rsid w:val="009D57DA"/>
    <w:rsid w:val="009D59A7"/>
    <w:rsid w:val="009D5A3A"/>
    <w:rsid w:val="009D62C6"/>
    <w:rsid w:val="009D6365"/>
    <w:rsid w:val="009D6740"/>
    <w:rsid w:val="009D69EA"/>
    <w:rsid w:val="009D6A64"/>
    <w:rsid w:val="009D6B2C"/>
    <w:rsid w:val="009D6F63"/>
    <w:rsid w:val="009D788D"/>
    <w:rsid w:val="009E01D0"/>
    <w:rsid w:val="009E0221"/>
    <w:rsid w:val="009E0257"/>
    <w:rsid w:val="009E0378"/>
    <w:rsid w:val="009E049B"/>
    <w:rsid w:val="009E04B9"/>
    <w:rsid w:val="009E05A1"/>
    <w:rsid w:val="009E0707"/>
    <w:rsid w:val="009E0772"/>
    <w:rsid w:val="009E085A"/>
    <w:rsid w:val="009E0A30"/>
    <w:rsid w:val="009E1152"/>
    <w:rsid w:val="009E139F"/>
    <w:rsid w:val="009E1522"/>
    <w:rsid w:val="009E1598"/>
    <w:rsid w:val="009E18EF"/>
    <w:rsid w:val="009E1975"/>
    <w:rsid w:val="009E19A5"/>
    <w:rsid w:val="009E1B21"/>
    <w:rsid w:val="009E1D0F"/>
    <w:rsid w:val="009E205E"/>
    <w:rsid w:val="009E20D8"/>
    <w:rsid w:val="009E2158"/>
    <w:rsid w:val="009E2205"/>
    <w:rsid w:val="009E22AD"/>
    <w:rsid w:val="009E243F"/>
    <w:rsid w:val="009E2747"/>
    <w:rsid w:val="009E2C17"/>
    <w:rsid w:val="009E2E6E"/>
    <w:rsid w:val="009E3677"/>
    <w:rsid w:val="009E39D6"/>
    <w:rsid w:val="009E43A6"/>
    <w:rsid w:val="009E4664"/>
    <w:rsid w:val="009E4944"/>
    <w:rsid w:val="009E4C3C"/>
    <w:rsid w:val="009E4C6E"/>
    <w:rsid w:val="009E4CAE"/>
    <w:rsid w:val="009E54EB"/>
    <w:rsid w:val="009E55C3"/>
    <w:rsid w:val="009E5931"/>
    <w:rsid w:val="009E5A2B"/>
    <w:rsid w:val="009E5A86"/>
    <w:rsid w:val="009E5BB6"/>
    <w:rsid w:val="009E5F3F"/>
    <w:rsid w:val="009E5FD2"/>
    <w:rsid w:val="009E617C"/>
    <w:rsid w:val="009E6A27"/>
    <w:rsid w:val="009E6AE1"/>
    <w:rsid w:val="009E6B07"/>
    <w:rsid w:val="009E6B1B"/>
    <w:rsid w:val="009E6C91"/>
    <w:rsid w:val="009E6D84"/>
    <w:rsid w:val="009E6F98"/>
    <w:rsid w:val="009E715B"/>
    <w:rsid w:val="009E71DB"/>
    <w:rsid w:val="009E74E6"/>
    <w:rsid w:val="009E78E7"/>
    <w:rsid w:val="009E7938"/>
    <w:rsid w:val="009E7DF3"/>
    <w:rsid w:val="009F0138"/>
    <w:rsid w:val="009F0451"/>
    <w:rsid w:val="009F08B1"/>
    <w:rsid w:val="009F08E9"/>
    <w:rsid w:val="009F0B56"/>
    <w:rsid w:val="009F1094"/>
    <w:rsid w:val="009F1312"/>
    <w:rsid w:val="009F1693"/>
    <w:rsid w:val="009F175A"/>
    <w:rsid w:val="009F1790"/>
    <w:rsid w:val="009F191D"/>
    <w:rsid w:val="009F1A32"/>
    <w:rsid w:val="009F1C05"/>
    <w:rsid w:val="009F2421"/>
    <w:rsid w:val="009F2A47"/>
    <w:rsid w:val="009F2A81"/>
    <w:rsid w:val="009F2B0D"/>
    <w:rsid w:val="009F2BFA"/>
    <w:rsid w:val="009F2DE5"/>
    <w:rsid w:val="009F2E2A"/>
    <w:rsid w:val="009F3996"/>
    <w:rsid w:val="009F3A33"/>
    <w:rsid w:val="009F3BEE"/>
    <w:rsid w:val="009F3E4C"/>
    <w:rsid w:val="009F3EDD"/>
    <w:rsid w:val="009F48AC"/>
    <w:rsid w:val="009F4BCB"/>
    <w:rsid w:val="009F4C77"/>
    <w:rsid w:val="009F4D59"/>
    <w:rsid w:val="009F50E9"/>
    <w:rsid w:val="009F593B"/>
    <w:rsid w:val="009F5CBA"/>
    <w:rsid w:val="009F647F"/>
    <w:rsid w:val="009F6595"/>
    <w:rsid w:val="009F66B3"/>
    <w:rsid w:val="009F6DCE"/>
    <w:rsid w:val="009F6E13"/>
    <w:rsid w:val="009F719D"/>
    <w:rsid w:val="009F7288"/>
    <w:rsid w:val="009F72A2"/>
    <w:rsid w:val="009F74D0"/>
    <w:rsid w:val="009F7AE2"/>
    <w:rsid w:val="009F7AF9"/>
    <w:rsid w:val="009F7E93"/>
    <w:rsid w:val="00A002D7"/>
    <w:rsid w:val="00A004A8"/>
    <w:rsid w:val="00A004B9"/>
    <w:rsid w:val="00A00D95"/>
    <w:rsid w:val="00A021D1"/>
    <w:rsid w:val="00A024CE"/>
    <w:rsid w:val="00A02A46"/>
    <w:rsid w:val="00A02E2A"/>
    <w:rsid w:val="00A02F2E"/>
    <w:rsid w:val="00A032A0"/>
    <w:rsid w:val="00A0377C"/>
    <w:rsid w:val="00A037C9"/>
    <w:rsid w:val="00A03807"/>
    <w:rsid w:val="00A03DBB"/>
    <w:rsid w:val="00A03F47"/>
    <w:rsid w:val="00A04173"/>
    <w:rsid w:val="00A0436A"/>
    <w:rsid w:val="00A04743"/>
    <w:rsid w:val="00A0489A"/>
    <w:rsid w:val="00A04BDB"/>
    <w:rsid w:val="00A04D29"/>
    <w:rsid w:val="00A050A6"/>
    <w:rsid w:val="00A05244"/>
    <w:rsid w:val="00A056AB"/>
    <w:rsid w:val="00A05828"/>
    <w:rsid w:val="00A05E1A"/>
    <w:rsid w:val="00A05E1E"/>
    <w:rsid w:val="00A05E35"/>
    <w:rsid w:val="00A05FF7"/>
    <w:rsid w:val="00A06194"/>
    <w:rsid w:val="00A06262"/>
    <w:rsid w:val="00A06857"/>
    <w:rsid w:val="00A06CA1"/>
    <w:rsid w:val="00A06F5A"/>
    <w:rsid w:val="00A071C9"/>
    <w:rsid w:val="00A07F6E"/>
    <w:rsid w:val="00A10022"/>
    <w:rsid w:val="00A10444"/>
    <w:rsid w:val="00A107A9"/>
    <w:rsid w:val="00A10A43"/>
    <w:rsid w:val="00A10D9A"/>
    <w:rsid w:val="00A11349"/>
    <w:rsid w:val="00A11F20"/>
    <w:rsid w:val="00A12227"/>
    <w:rsid w:val="00A124E5"/>
    <w:rsid w:val="00A125F1"/>
    <w:rsid w:val="00A1289E"/>
    <w:rsid w:val="00A13279"/>
    <w:rsid w:val="00A13367"/>
    <w:rsid w:val="00A1349F"/>
    <w:rsid w:val="00A138DA"/>
    <w:rsid w:val="00A13D13"/>
    <w:rsid w:val="00A13E3E"/>
    <w:rsid w:val="00A13F23"/>
    <w:rsid w:val="00A14052"/>
    <w:rsid w:val="00A14887"/>
    <w:rsid w:val="00A14B07"/>
    <w:rsid w:val="00A14BDB"/>
    <w:rsid w:val="00A150EB"/>
    <w:rsid w:val="00A152FB"/>
    <w:rsid w:val="00A1566E"/>
    <w:rsid w:val="00A15839"/>
    <w:rsid w:val="00A159D6"/>
    <w:rsid w:val="00A161D9"/>
    <w:rsid w:val="00A16811"/>
    <w:rsid w:val="00A16DEC"/>
    <w:rsid w:val="00A172AD"/>
    <w:rsid w:val="00A174FB"/>
    <w:rsid w:val="00A17789"/>
    <w:rsid w:val="00A17A3B"/>
    <w:rsid w:val="00A17E9E"/>
    <w:rsid w:val="00A17EA5"/>
    <w:rsid w:val="00A2007F"/>
    <w:rsid w:val="00A209C3"/>
    <w:rsid w:val="00A20C89"/>
    <w:rsid w:val="00A20DC5"/>
    <w:rsid w:val="00A20E2E"/>
    <w:rsid w:val="00A20ECB"/>
    <w:rsid w:val="00A20F42"/>
    <w:rsid w:val="00A213BB"/>
    <w:rsid w:val="00A213D3"/>
    <w:rsid w:val="00A213EF"/>
    <w:rsid w:val="00A214A1"/>
    <w:rsid w:val="00A2152C"/>
    <w:rsid w:val="00A21BE4"/>
    <w:rsid w:val="00A21C8F"/>
    <w:rsid w:val="00A22438"/>
    <w:rsid w:val="00A233B3"/>
    <w:rsid w:val="00A2344E"/>
    <w:rsid w:val="00A234AE"/>
    <w:rsid w:val="00A23710"/>
    <w:rsid w:val="00A238DD"/>
    <w:rsid w:val="00A23AD0"/>
    <w:rsid w:val="00A23B5E"/>
    <w:rsid w:val="00A23E2A"/>
    <w:rsid w:val="00A23E2D"/>
    <w:rsid w:val="00A24569"/>
    <w:rsid w:val="00A24E83"/>
    <w:rsid w:val="00A24F46"/>
    <w:rsid w:val="00A2527F"/>
    <w:rsid w:val="00A252E2"/>
    <w:rsid w:val="00A25AB8"/>
    <w:rsid w:val="00A25CD8"/>
    <w:rsid w:val="00A25D56"/>
    <w:rsid w:val="00A2603B"/>
    <w:rsid w:val="00A2620F"/>
    <w:rsid w:val="00A262C7"/>
    <w:rsid w:val="00A264A3"/>
    <w:rsid w:val="00A26A48"/>
    <w:rsid w:val="00A27261"/>
    <w:rsid w:val="00A274AF"/>
    <w:rsid w:val="00A274B5"/>
    <w:rsid w:val="00A275E2"/>
    <w:rsid w:val="00A27780"/>
    <w:rsid w:val="00A27D1A"/>
    <w:rsid w:val="00A300B9"/>
    <w:rsid w:val="00A301E8"/>
    <w:rsid w:val="00A304C8"/>
    <w:rsid w:val="00A3052E"/>
    <w:rsid w:val="00A30553"/>
    <w:rsid w:val="00A307D3"/>
    <w:rsid w:val="00A30DB6"/>
    <w:rsid w:val="00A31472"/>
    <w:rsid w:val="00A3152A"/>
    <w:rsid w:val="00A31569"/>
    <w:rsid w:val="00A31F92"/>
    <w:rsid w:val="00A3221D"/>
    <w:rsid w:val="00A3267F"/>
    <w:rsid w:val="00A32770"/>
    <w:rsid w:val="00A3283D"/>
    <w:rsid w:val="00A33230"/>
    <w:rsid w:val="00A334BC"/>
    <w:rsid w:val="00A338F3"/>
    <w:rsid w:val="00A33B08"/>
    <w:rsid w:val="00A33D7A"/>
    <w:rsid w:val="00A34049"/>
    <w:rsid w:val="00A34137"/>
    <w:rsid w:val="00A342AE"/>
    <w:rsid w:val="00A342E0"/>
    <w:rsid w:val="00A345A0"/>
    <w:rsid w:val="00A34817"/>
    <w:rsid w:val="00A34B2F"/>
    <w:rsid w:val="00A34C51"/>
    <w:rsid w:val="00A34D63"/>
    <w:rsid w:val="00A353C9"/>
    <w:rsid w:val="00A35488"/>
    <w:rsid w:val="00A35628"/>
    <w:rsid w:val="00A35642"/>
    <w:rsid w:val="00A35A5B"/>
    <w:rsid w:val="00A35B94"/>
    <w:rsid w:val="00A35DE9"/>
    <w:rsid w:val="00A360E2"/>
    <w:rsid w:val="00A3646C"/>
    <w:rsid w:val="00A369D6"/>
    <w:rsid w:val="00A36ADC"/>
    <w:rsid w:val="00A36F56"/>
    <w:rsid w:val="00A370EB"/>
    <w:rsid w:val="00A371F5"/>
    <w:rsid w:val="00A374B2"/>
    <w:rsid w:val="00A37808"/>
    <w:rsid w:val="00A37AD8"/>
    <w:rsid w:val="00A37B01"/>
    <w:rsid w:val="00A4025A"/>
    <w:rsid w:val="00A40449"/>
    <w:rsid w:val="00A40AF0"/>
    <w:rsid w:val="00A411F7"/>
    <w:rsid w:val="00A4128D"/>
    <w:rsid w:val="00A41332"/>
    <w:rsid w:val="00A415F6"/>
    <w:rsid w:val="00A4187C"/>
    <w:rsid w:val="00A41900"/>
    <w:rsid w:val="00A41E58"/>
    <w:rsid w:val="00A42465"/>
    <w:rsid w:val="00A42870"/>
    <w:rsid w:val="00A429C2"/>
    <w:rsid w:val="00A42A71"/>
    <w:rsid w:val="00A430A6"/>
    <w:rsid w:val="00A4333B"/>
    <w:rsid w:val="00A4356E"/>
    <w:rsid w:val="00A436C0"/>
    <w:rsid w:val="00A43771"/>
    <w:rsid w:val="00A43940"/>
    <w:rsid w:val="00A441B4"/>
    <w:rsid w:val="00A44D50"/>
    <w:rsid w:val="00A45171"/>
    <w:rsid w:val="00A45475"/>
    <w:rsid w:val="00A4559C"/>
    <w:rsid w:val="00A45891"/>
    <w:rsid w:val="00A45D9E"/>
    <w:rsid w:val="00A45FB2"/>
    <w:rsid w:val="00A4610A"/>
    <w:rsid w:val="00A4623D"/>
    <w:rsid w:val="00A467FA"/>
    <w:rsid w:val="00A46958"/>
    <w:rsid w:val="00A46B94"/>
    <w:rsid w:val="00A46FD4"/>
    <w:rsid w:val="00A4718D"/>
    <w:rsid w:val="00A47292"/>
    <w:rsid w:val="00A475F6"/>
    <w:rsid w:val="00A4779E"/>
    <w:rsid w:val="00A479C7"/>
    <w:rsid w:val="00A47C30"/>
    <w:rsid w:val="00A47C88"/>
    <w:rsid w:val="00A47D69"/>
    <w:rsid w:val="00A47EC4"/>
    <w:rsid w:val="00A50182"/>
    <w:rsid w:val="00A508C9"/>
    <w:rsid w:val="00A51158"/>
    <w:rsid w:val="00A5121D"/>
    <w:rsid w:val="00A51240"/>
    <w:rsid w:val="00A5131D"/>
    <w:rsid w:val="00A516D3"/>
    <w:rsid w:val="00A518AF"/>
    <w:rsid w:val="00A5199D"/>
    <w:rsid w:val="00A519E6"/>
    <w:rsid w:val="00A51A23"/>
    <w:rsid w:val="00A51E0D"/>
    <w:rsid w:val="00A521B8"/>
    <w:rsid w:val="00A522C8"/>
    <w:rsid w:val="00A52366"/>
    <w:rsid w:val="00A52927"/>
    <w:rsid w:val="00A52B86"/>
    <w:rsid w:val="00A52EE8"/>
    <w:rsid w:val="00A531D3"/>
    <w:rsid w:val="00A5341E"/>
    <w:rsid w:val="00A5346A"/>
    <w:rsid w:val="00A53551"/>
    <w:rsid w:val="00A53A4F"/>
    <w:rsid w:val="00A54063"/>
    <w:rsid w:val="00A5452A"/>
    <w:rsid w:val="00A54A10"/>
    <w:rsid w:val="00A55106"/>
    <w:rsid w:val="00A55255"/>
    <w:rsid w:val="00A552E4"/>
    <w:rsid w:val="00A55536"/>
    <w:rsid w:val="00A558A4"/>
    <w:rsid w:val="00A558D4"/>
    <w:rsid w:val="00A55967"/>
    <w:rsid w:val="00A55A18"/>
    <w:rsid w:val="00A55C41"/>
    <w:rsid w:val="00A55D53"/>
    <w:rsid w:val="00A56470"/>
    <w:rsid w:val="00A56692"/>
    <w:rsid w:val="00A568AB"/>
    <w:rsid w:val="00A56D46"/>
    <w:rsid w:val="00A574AB"/>
    <w:rsid w:val="00A60641"/>
    <w:rsid w:val="00A608E5"/>
    <w:rsid w:val="00A60A4E"/>
    <w:rsid w:val="00A60D3F"/>
    <w:rsid w:val="00A60D45"/>
    <w:rsid w:val="00A60D87"/>
    <w:rsid w:val="00A60D8E"/>
    <w:rsid w:val="00A61224"/>
    <w:rsid w:val="00A612A3"/>
    <w:rsid w:val="00A6142E"/>
    <w:rsid w:val="00A6197C"/>
    <w:rsid w:val="00A61A76"/>
    <w:rsid w:val="00A61A99"/>
    <w:rsid w:val="00A61FFE"/>
    <w:rsid w:val="00A62386"/>
    <w:rsid w:val="00A6245C"/>
    <w:rsid w:val="00A62544"/>
    <w:rsid w:val="00A625AF"/>
    <w:rsid w:val="00A62986"/>
    <w:rsid w:val="00A629BF"/>
    <w:rsid w:val="00A6420A"/>
    <w:rsid w:val="00A64377"/>
    <w:rsid w:val="00A65110"/>
    <w:rsid w:val="00A6513C"/>
    <w:rsid w:val="00A65948"/>
    <w:rsid w:val="00A65FC5"/>
    <w:rsid w:val="00A66238"/>
    <w:rsid w:val="00A662CB"/>
    <w:rsid w:val="00A663D6"/>
    <w:rsid w:val="00A66561"/>
    <w:rsid w:val="00A666DC"/>
    <w:rsid w:val="00A66AE7"/>
    <w:rsid w:val="00A66D35"/>
    <w:rsid w:val="00A66EAE"/>
    <w:rsid w:val="00A6704C"/>
    <w:rsid w:val="00A67300"/>
    <w:rsid w:val="00A676F3"/>
    <w:rsid w:val="00A67948"/>
    <w:rsid w:val="00A67E84"/>
    <w:rsid w:val="00A70480"/>
    <w:rsid w:val="00A7056A"/>
    <w:rsid w:val="00A70731"/>
    <w:rsid w:val="00A709E3"/>
    <w:rsid w:val="00A70C03"/>
    <w:rsid w:val="00A70D14"/>
    <w:rsid w:val="00A71172"/>
    <w:rsid w:val="00A71321"/>
    <w:rsid w:val="00A713FC"/>
    <w:rsid w:val="00A71504"/>
    <w:rsid w:val="00A71644"/>
    <w:rsid w:val="00A718BB"/>
    <w:rsid w:val="00A721E0"/>
    <w:rsid w:val="00A7244C"/>
    <w:rsid w:val="00A7248E"/>
    <w:rsid w:val="00A727E2"/>
    <w:rsid w:val="00A729E3"/>
    <w:rsid w:val="00A72CEB"/>
    <w:rsid w:val="00A72D47"/>
    <w:rsid w:val="00A72E04"/>
    <w:rsid w:val="00A730E7"/>
    <w:rsid w:val="00A7313C"/>
    <w:rsid w:val="00A733EF"/>
    <w:rsid w:val="00A734ED"/>
    <w:rsid w:val="00A73B8B"/>
    <w:rsid w:val="00A73ED2"/>
    <w:rsid w:val="00A74136"/>
    <w:rsid w:val="00A74253"/>
    <w:rsid w:val="00A74310"/>
    <w:rsid w:val="00A74435"/>
    <w:rsid w:val="00A74750"/>
    <w:rsid w:val="00A749A7"/>
    <w:rsid w:val="00A74B7E"/>
    <w:rsid w:val="00A74BAB"/>
    <w:rsid w:val="00A74DB6"/>
    <w:rsid w:val="00A74F01"/>
    <w:rsid w:val="00A75232"/>
    <w:rsid w:val="00A75BBA"/>
    <w:rsid w:val="00A75D9F"/>
    <w:rsid w:val="00A75E22"/>
    <w:rsid w:val="00A75F81"/>
    <w:rsid w:val="00A762E4"/>
    <w:rsid w:val="00A76989"/>
    <w:rsid w:val="00A76CA1"/>
    <w:rsid w:val="00A77005"/>
    <w:rsid w:val="00A776F7"/>
    <w:rsid w:val="00A777DA"/>
    <w:rsid w:val="00A77984"/>
    <w:rsid w:val="00A77D39"/>
    <w:rsid w:val="00A77F30"/>
    <w:rsid w:val="00A80063"/>
    <w:rsid w:val="00A80219"/>
    <w:rsid w:val="00A80523"/>
    <w:rsid w:val="00A805A3"/>
    <w:rsid w:val="00A80954"/>
    <w:rsid w:val="00A80A7E"/>
    <w:rsid w:val="00A80C4E"/>
    <w:rsid w:val="00A80E17"/>
    <w:rsid w:val="00A81036"/>
    <w:rsid w:val="00A8110C"/>
    <w:rsid w:val="00A8129A"/>
    <w:rsid w:val="00A81C17"/>
    <w:rsid w:val="00A81F79"/>
    <w:rsid w:val="00A81FDE"/>
    <w:rsid w:val="00A82065"/>
    <w:rsid w:val="00A824BC"/>
    <w:rsid w:val="00A82527"/>
    <w:rsid w:val="00A82536"/>
    <w:rsid w:val="00A8282A"/>
    <w:rsid w:val="00A82FD7"/>
    <w:rsid w:val="00A83C36"/>
    <w:rsid w:val="00A83CCA"/>
    <w:rsid w:val="00A840DD"/>
    <w:rsid w:val="00A84123"/>
    <w:rsid w:val="00A841B9"/>
    <w:rsid w:val="00A84589"/>
    <w:rsid w:val="00A848DD"/>
    <w:rsid w:val="00A84A1A"/>
    <w:rsid w:val="00A84B3D"/>
    <w:rsid w:val="00A84BF1"/>
    <w:rsid w:val="00A853D3"/>
    <w:rsid w:val="00A857B4"/>
    <w:rsid w:val="00A8598B"/>
    <w:rsid w:val="00A86078"/>
    <w:rsid w:val="00A86528"/>
    <w:rsid w:val="00A86687"/>
    <w:rsid w:val="00A86AAA"/>
    <w:rsid w:val="00A86CA2"/>
    <w:rsid w:val="00A86EE0"/>
    <w:rsid w:val="00A86FE2"/>
    <w:rsid w:val="00A87250"/>
    <w:rsid w:val="00A873A2"/>
    <w:rsid w:val="00A87D08"/>
    <w:rsid w:val="00A90A59"/>
    <w:rsid w:val="00A90BFA"/>
    <w:rsid w:val="00A90F37"/>
    <w:rsid w:val="00A910A0"/>
    <w:rsid w:val="00A91356"/>
    <w:rsid w:val="00A9137D"/>
    <w:rsid w:val="00A914EF"/>
    <w:rsid w:val="00A9181B"/>
    <w:rsid w:val="00A91E89"/>
    <w:rsid w:val="00A92182"/>
    <w:rsid w:val="00A923F8"/>
    <w:rsid w:val="00A92552"/>
    <w:rsid w:val="00A92C81"/>
    <w:rsid w:val="00A9361B"/>
    <w:rsid w:val="00A9368A"/>
    <w:rsid w:val="00A937D3"/>
    <w:rsid w:val="00A93916"/>
    <w:rsid w:val="00A93DFB"/>
    <w:rsid w:val="00A93F14"/>
    <w:rsid w:val="00A9436D"/>
    <w:rsid w:val="00A94840"/>
    <w:rsid w:val="00A94FD7"/>
    <w:rsid w:val="00A95199"/>
    <w:rsid w:val="00A9521F"/>
    <w:rsid w:val="00A953FF"/>
    <w:rsid w:val="00A95409"/>
    <w:rsid w:val="00A95492"/>
    <w:rsid w:val="00A9571E"/>
    <w:rsid w:val="00A957DB"/>
    <w:rsid w:val="00A95A15"/>
    <w:rsid w:val="00A95B80"/>
    <w:rsid w:val="00A95E24"/>
    <w:rsid w:val="00A95F7C"/>
    <w:rsid w:val="00A96D90"/>
    <w:rsid w:val="00A970FC"/>
    <w:rsid w:val="00A973F4"/>
    <w:rsid w:val="00A97B1B"/>
    <w:rsid w:val="00AA0002"/>
    <w:rsid w:val="00AA0142"/>
    <w:rsid w:val="00AA023C"/>
    <w:rsid w:val="00AA05F2"/>
    <w:rsid w:val="00AA0B6B"/>
    <w:rsid w:val="00AA0EC9"/>
    <w:rsid w:val="00AA0FEE"/>
    <w:rsid w:val="00AA137D"/>
    <w:rsid w:val="00AA13DE"/>
    <w:rsid w:val="00AA14F5"/>
    <w:rsid w:val="00AA1AB2"/>
    <w:rsid w:val="00AA1ABA"/>
    <w:rsid w:val="00AA1B6F"/>
    <w:rsid w:val="00AA1F4F"/>
    <w:rsid w:val="00AA2410"/>
    <w:rsid w:val="00AA2554"/>
    <w:rsid w:val="00AA266A"/>
    <w:rsid w:val="00AA27A2"/>
    <w:rsid w:val="00AA28BC"/>
    <w:rsid w:val="00AA2BEC"/>
    <w:rsid w:val="00AA2F30"/>
    <w:rsid w:val="00AA31E3"/>
    <w:rsid w:val="00AA33DF"/>
    <w:rsid w:val="00AA35EB"/>
    <w:rsid w:val="00AA35F1"/>
    <w:rsid w:val="00AA3629"/>
    <w:rsid w:val="00AA3817"/>
    <w:rsid w:val="00AA3B3B"/>
    <w:rsid w:val="00AA4158"/>
    <w:rsid w:val="00AA4239"/>
    <w:rsid w:val="00AA43AC"/>
    <w:rsid w:val="00AA4D54"/>
    <w:rsid w:val="00AA4D56"/>
    <w:rsid w:val="00AA4EF4"/>
    <w:rsid w:val="00AA5792"/>
    <w:rsid w:val="00AA591B"/>
    <w:rsid w:val="00AA5D71"/>
    <w:rsid w:val="00AA64AB"/>
    <w:rsid w:val="00AA6505"/>
    <w:rsid w:val="00AA6596"/>
    <w:rsid w:val="00AA66F8"/>
    <w:rsid w:val="00AA6839"/>
    <w:rsid w:val="00AA7292"/>
    <w:rsid w:val="00AA7312"/>
    <w:rsid w:val="00AA732A"/>
    <w:rsid w:val="00AA73EB"/>
    <w:rsid w:val="00AA73F4"/>
    <w:rsid w:val="00AA75FF"/>
    <w:rsid w:val="00AA7BD4"/>
    <w:rsid w:val="00AA7ED8"/>
    <w:rsid w:val="00AB0E03"/>
    <w:rsid w:val="00AB0EC0"/>
    <w:rsid w:val="00AB0FFF"/>
    <w:rsid w:val="00AB1090"/>
    <w:rsid w:val="00AB10DC"/>
    <w:rsid w:val="00AB11ED"/>
    <w:rsid w:val="00AB193E"/>
    <w:rsid w:val="00AB1D62"/>
    <w:rsid w:val="00AB1DCC"/>
    <w:rsid w:val="00AB1EC6"/>
    <w:rsid w:val="00AB1F58"/>
    <w:rsid w:val="00AB1FB8"/>
    <w:rsid w:val="00AB21F1"/>
    <w:rsid w:val="00AB2228"/>
    <w:rsid w:val="00AB2A83"/>
    <w:rsid w:val="00AB2C82"/>
    <w:rsid w:val="00AB2D49"/>
    <w:rsid w:val="00AB2D97"/>
    <w:rsid w:val="00AB3033"/>
    <w:rsid w:val="00AB30F8"/>
    <w:rsid w:val="00AB3285"/>
    <w:rsid w:val="00AB3745"/>
    <w:rsid w:val="00AB3C01"/>
    <w:rsid w:val="00AB4A74"/>
    <w:rsid w:val="00AB4C08"/>
    <w:rsid w:val="00AB4C69"/>
    <w:rsid w:val="00AB4C7B"/>
    <w:rsid w:val="00AB4CE4"/>
    <w:rsid w:val="00AB4D00"/>
    <w:rsid w:val="00AB50FD"/>
    <w:rsid w:val="00AB51AF"/>
    <w:rsid w:val="00AB55C7"/>
    <w:rsid w:val="00AB5BC6"/>
    <w:rsid w:val="00AB5C23"/>
    <w:rsid w:val="00AB5C56"/>
    <w:rsid w:val="00AB5E07"/>
    <w:rsid w:val="00AB5E75"/>
    <w:rsid w:val="00AB5F7F"/>
    <w:rsid w:val="00AB65B4"/>
    <w:rsid w:val="00AB6966"/>
    <w:rsid w:val="00AB6B8D"/>
    <w:rsid w:val="00AB6CFC"/>
    <w:rsid w:val="00AB6E32"/>
    <w:rsid w:val="00AB72C0"/>
    <w:rsid w:val="00AB7342"/>
    <w:rsid w:val="00AB7936"/>
    <w:rsid w:val="00AB7982"/>
    <w:rsid w:val="00AB7D58"/>
    <w:rsid w:val="00AC0A40"/>
    <w:rsid w:val="00AC0ACC"/>
    <w:rsid w:val="00AC13F4"/>
    <w:rsid w:val="00AC1472"/>
    <w:rsid w:val="00AC14B8"/>
    <w:rsid w:val="00AC1B99"/>
    <w:rsid w:val="00AC1D08"/>
    <w:rsid w:val="00AC1FD2"/>
    <w:rsid w:val="00AC20A1"/>
    <w:rsid w:val="00AC23BF"/>
    <w:rsid w:val="00AC2402"/>
    <w:rsid w:val="00AC25D5"/>
    <w:rsid w:val="00AC25D8"/>
    <w:rsid w:val="00AC291C"/>
    <w:rsid w:val="00AC2A06"/>
    <w:rsid w:val="00AC2E1C"/>
    <w:rsid w:val="00AC2F23"/>
    <w:rsid w:val="00AC35F8"/>
    <w:rsid w:val="00AC3811"/>
    <w:rsid w:val="00AC3AE1"/>
    <w:rsid w:val="00AC3D8A"/>
    <w:rsid w:val="00AC3F62"/>
    <w:rsid w:val="00AC417F"/>
    <w:rsid w:val="00AC43FD"/>
    <w:rsid w:val="00AC4656"/>
    <w:rsid w:val="00AC47FF"/>
    <w:rsid w:val="00AC4CCA"/>
    <w:rsid w:val="00AC4CE3"/>
    <w:rsid w:val="00AC54CA"/>
    <w:rsid w:val="00AC55FD"/>
    <w:rsid w:val="00AC5ABB"/>
    <w:rsid w:val="00AC5AC6"/>
    <w:rsid w:val="00AC6299"/>
    <w:rsid w:val="00AC65CE"/>
    <w:rsid w:val="00AC67EE"/>
    <w:rsid w:val="00AC7409"/>
    <w:rsid w:val="00AC74FC"/>
    <w:rsid w:val="00AC7794"/>
    <w:rsid w:val="00AC7D65"/>
    <w:rsid w:val="00AC7EC8"/>
    <w:rsid w:val="00AD0085"/>
    <w:rsid w:val="00AD0130"/>
    <w:rsid w:val="00AD0404"/>
    <w:rsid w:val="00AD05E4"/>
    <w:rsid w:val="00AD08C7"/>
    <w:rsid w:val="00AD0C6A"/>
    <w:rsid w:val="00AD16F2"/>
    <w:rsid w:val="00AD1881"/>
    <w:rsid w:val="00AD1F93"/>
    <w:rsid w:val="00AD22F4"/>
    <w:rsid w:val="00AD249E"/>
    <w:rsid w:val="00AD25E2"/>
    <w:rsid w:val="00AD267A"/>
    <w:rsid w:val="00AD267F"/>
    <w:rsid w:val="00AD29ED"/>
    <w:rsid w:val="00AD2CBD"/>
    <w:rsid w:val="00AD34E6"/>
    <w:rsid w:val="00AD3586"/>
    <w:rsid w:val="00AD3723"/>
    <w:rsid w:val="00AD38B0"/>
    <w:rsid w:val="00AD3A48"/>
    <w:rsid w:val="00AD3A6C"/>
    <w:rsid w:val="00AD3BEC"/>
    <w:rsid w:val="00AD3C6B"/>
    <w:rsid w:val="00AD3FDC"/>
    <w:rsid w:val="00AD4106"/>
    <w:rsid w:val="00AD425C"/>
    <w:rsid w:val="00AD4431"/>
    <w:rsid w:val="00AD491D"/>
    <w:rsid w:val="00AD495B"/>
    <w:rsid w:val="00AD4E60"/>
    <w:rsid w:val="00AD5057"/>
    <w:rsid w:val="00AD50D9"/>
    <w:rsid w:val="00AD56F7"/>
    <w:rsid w:val="00AD575B"/>
    <w:rsid w:val="00AD5996"/>
    <w:rsid w:val="00AD5EFA"/>
    <w:rsid w:val="00AD60E9"/>
    <w:rsid w:val="00AD6199"/>
    <w:rsid w:val="00AD6527"/>
    <w:rsid w:val="00AD6796"/>
    <w:rsid w:val="00AD6924"/>
    <w:rsid w:val="00AD6EC9"/>
    <w:rsid w:val="00AD7203"/>
    <w:rsid w:val="00AD7238"/>
    <w:rsid w:val="00AD7824"/>
    <w:rsid w:val="00AD7AFE"/>
    <w:rsid w:val="00AD7BB6"/>
    <w:rsid w:val="00AE015F"/>
    <w:rsid w:val="00AE032D"/>
    <w:rsid w:val="00AE03E8"/>
    <w:rsid w:val="00AE04BE"/>
    <w:rsid w:val="00AE0799"/>
    <w:rsid w:val="00AE0CBD"/>
    <w:rsid w:val="00AE116A"/>
    <w:rsid w:val="00AE127C"/>
    <w:rsid w:val="00AE12DE"/>
    <w:rsid w:val="00AE18BF"/>
    <w:rsid w:val="00AE1A70"/>
    <w:rsid w:val="00AE1C36"/>
    <w:rsid w:val="00AE2B7E"/>
    <w:rsid w:val="00AE2C7E"/>
    <w:rsid w:val="00AE3119"/>
    <w:rsid w:val="00AE3175"/>
    <w:rsid w:val="00AE3471"/>
    <w:rsid w:val="00AE3539"/>
    <w:rsid w:val="00AE37E2"/>
    <w:rsid w:val="00AE3B72"/>
    <w:rsid w:val="00AE3F20"/>
    <w:rsid w:val="00AE40CE"/>
    <w:rsid w:val="00AE4308"/>
    <w:rsid w:val="00AE44C8"/>
    <w:rsid w:val="00AE459C"/>
    <w:rsid w:val="00AE4660"/>
    <w:rsid w:val="00AE4860"/>
    <w:rsid w:val="00AE49FD"/>
    <w:rsid w:val="00AE4C44"/>
    <w:rsid w:val="00AE4D1F"/>
    <w:rsid w:val="00AE4E30"/>
    <w:rsid w:val="00AE4FD4"/>
    <w:rsid w:val="00AE50E8"/>
    <w:rsid w:val="00AE55AA"/>
    <w:rsid w:val="00AE5840"/>
    <w:rsid w:val="00AE6274"/>
    <w:rsid w:val="00AE6384"/>
    <w:rsid w:val="00AE63CC"/>
    <w:rsid w:val="00AE642C"/>
    <w:rsid w:val="00AE657B"/>
    <w:rsid w:val="00AE6688"/>
    <w:rsid w:val="00AE6A8D"/>
    <w:rsid w:val="00AE6D47"/>
    <w:rsid w:val="00AE6DCD"/>
    <w:rsid w:val="00AE6ED6"/>
    <w:rsid w:val="00AE6FBC"/>
    <w:rsid w:val="00AE736C"/>
    <w:rsid w:val="00AE7567"/>
    <w:rsid w:val="00AF0147"/>
    <w:rsid w:val="00AF0350"/>
    <w:rsid w:val="00AF03EC"/>
    <w:rsid w:val="00AF03FF"/>
    <w:rsid w:val="00AF095D"/>
    <w:rsid w:val="00AF0B4E"/>
    <w:rsid w:val="00AF1258"/>
    <w:rsid w:val="00AF14AC"/>
    <w:rsid w:val="00AF1A7A"/>
    <w:rsid w:val="00AF1E43"/>
    <w:rsid w:val="00AF2452"/>
    <w:rsid w:val="00AF28D5"/>
    <w:rsid w:val="00AF2D85"/>
    <w:rsid w:val="00AF3379"/>
    <w:rsid w:val="00AF3432"/>
    <w:rsid w:val="00AF36BD"/>
    <w:rsid w:val="00AF3897"/>
    <w:rsid w:val="00AF4035"/>
    <w:rsid w:val="00AF40E9"/>
    <w:rsid w:val="00AF41B6"/>
    <w:rsid w:val="00AF42DD"/>
    <w:rsid w:val="00AF490B"/>
    <w:rsid w:val="00AF4CC0"/>
    <w:rsid w:val="00AF582A"/>
    <w:rsid w:val="00AF5CFA"/>
    <w:rsid w:val="00AF5D64"/>
    <w:rsid w:val="00AF5DE5"/>
    <w:rsid w:val="00AF6105"/>
    <w:rsid w:val="00AF6427"/>
    <w:rsid w:val="00AF666D"/>
    <w:rsid w:val="00AF670B"/>
    <w:rsid w:val="00AF6727"/>
    <w:rsid w:val="00AF6810"/>
    <w:rsid w:val="00AF6D2A"/>
    <w:rsid w:val="00AF6E27"/>
    <w:rsid w:val="00AF797C"/>
    <w:rsid w:val="00AF7A7C"/>
    <w:rsid w:val="00AF7AC7"/>
    <w:rsid w:val="00AF7D89"/>
    <w:rsid w:val="00AF7DEB"/>
    <w:rsid w:val="00B000FC"/>
    <w:rsid w:val="00B0071C"/>
    <w:rsid w:val="00B00D55"/>
    <w:rsid w:val="00B01523"/>
    <w:rsid w:val="00B0168F"/>
    <w:rsid w:val="00B0184D"/>
    <w:rsid w:val="00B0194C"/>
    <w:rsid w:val="00B01ADE"/>
    <w:rsid w:val="00B01CC3"/>
    <w:rsid w:val="00B01EF3"/>
    <w:rsid w:val="00B02590"/>
    <w:rsid w:val="00B02763"/>
    <w:rsid w:val="00B02A6A"/>
    <w:rsid w:val="00B02A75"/>
    <w:rsid w:val="00B02E53"/>
    <w:rsid w:val="00B033FB"/>
    <w:rsid w:val="00B0361B"/>
    <w:rsid w:val="00B03CB0"/>
    <w:rsid w:val="00B03DAA"/>
    <w:rsid w:val="00B041E4"/>
    <w:rsid w:val="00B04500"/>
    <w:rsid w:val="00B047D0"/>
    <w:rsid w:val="00B04E1C"/>
    <w:rsid w:val="00B051F9"/>
    <w:rsid w:val="00B054EB"/>
    <w:rsid w:val="00B05C56"/>
    <w:rsid w:val="00B062A6"/>
    <w:rsid w:val="00B065E5"/>
    <w:rsid w:val="00B0683F"/>
    <w:rsid w:val="00B06901"/>
    <w:rsid w:val="00B06E34"/>
    <w:rsid w:val="00B06E96"/>
    <w:rsid w:val="00B06F80"/>
    <w:rsid w:val="00B07093"/>
    <w:rsid w:val="00B07118"/>
    <w:rsid w:val="00B0755A"/>
    <w:rsid w:val="00B07576"/>
    <w:rsid w:val="00B075D0"/>
    <w:rsid w:val="00B07782"/>
    <w:rsid w:val="00B077BB"/>
    <w:rsid w:val="00B07B94"/>
    <w:rsid w:val="00B07DD1"/>
    <w:rsid w:val="00B07F06"/>
    <w:rsid w:val="00B07F07"/>
    <w:rsid w:val="00B10089"/>
    <w:rsid w:val="00B1012F"/>
    <w:rsid w:val="00B103A0"/>
    <w:rsid w:val="00B10737"/>
    <w:rsid w:val="00B1125B"/>
    <w:rsid w:val="00B11728"/>
    <w:rsid w:val="00B11DBD"/>
    <w:rsid w:val="00B11E73"/>
    <w:rsid w:val="00B128AC"/>
    <w:rsid w:val="00B12D0C"/>
    <w:rsid w:val="00B12D52"/>
    <w:rsid w:val="00B12D60"/>
    <w:rsid w:val="00B12EA9"/>
    <w:rsid w:val="00B130F5"/>
    <w:rsid w:val="00B13351"/>
    <w:rsid w:val="00B13445"/>
    <w:rsid w:val="00B13C42"/>
    <w:rsid w:val="00B1420E"/>
    <w:rsid w:val="00B146ED"/>
    <w:rsid w:val="00B14933"/>
    <w:rsid w:val="00B14D7C"/>
    <w:rsid w:val="00B14DE5"/>
    <w:rsid w:val="00B14F7D"/>
    <w:rsid w:val="00B1577B"/>
    <w:rsid w:val="00B15839"/>
    <w:rsid w:val="00B15A55"/>
    <w:rsid w:val="00B15F70"/>
    <w:rsid w:val="00B1624C"/>
    <w:rsid w:val="00B166A5"/>
    <w:rsid w:val="00B16E3D"/>
    <w:rsid w:val="00B16FF5"/>
    <w:rsid w:val="00B171B2"/>
    <w:rsid w:val="00B172E9"/>
    <w:rsid w:val="00B178FD"/>
    <w:rsid w:val="00B17E3F"/>
    <w:rsid w:val="00B17F7D"/>
    <w:rsid w:val="00B17FC9"/>
    <w:rsid w:val="00B202AD"/>
    <w:rsid w:val="00B207FF"/>
    <w:rsid w:val="00B20C19"/>
    <w:rsid w:val="00B20C77"/>
    <w:rsid w:val="00B21489"/>
    <w:rsid w:val="00B21974"/>
    <w:rsid w:val="00B21A9C"/>
    <w:rsid w:val="00B21C5E"/>
    <w:rsid w:val="00B21C84"/>
    <w:rsid w:val="00B21D9E"/>
    <w:rsid w:val="00B21F61"/>
    <w:rsid w:val="00B21F9B"/>
    <w:rsid w:val="00B220E6"/>
    <w:rsid w:val="00B22116"/>
    <w:rsid w:val="00B22257"/>
    <w:rsid w:val="00B2229B"/>
    <w:rsid w:val="00B2230C"/>
    <w:rsid w:val="00B22369"/>
    <w:rsid w:val="00B223D9"/>
    <w:rsid w:val="00B22537"/>
    <w:rsid w:val="00B225A1"/>
    <w:rsid w:val="00B22791"/>
    <w:rsid w:val="00B228C1"/>
    <w:rsid w:val="00B22949"/>
    <w:rsid w:val="00B22ABA"/>
    <w:rsid w:val="00B22C60"/>
    <w:rsid w:val="00B22CD6"/>
    <w:rsid w:val="00B23328"/>
    <w:rsid w:val="00B2343E"/>
    <w:rsid w:val="00B23AD3"/>
    <w:rsid w:val="00B23C45"/>
    <w:rsid w:val="00B23C4B"/>
    <w:rsid w:val="00B2438B"/>
    <w:rsid w:val="00B24500"/>
    <w:rsid w:val="00B24C0B"/>
    <w:rsid w:val="00B24DCC"/>
    <w:rsid w:val="00B2538E"/>
    <w:rsid w:val="00B2547A"/>
    <w:rsid w:val="00B2562C"/>
    <w:rsid w:val="00B256B6"/>
    <w:rsid w:val="00B257FD"/>
    <w:rsid w:val="00B25A6D"/>
    <w:rsid w:val="00B25B79"/>
    <w:rsid w:val="00B25D8C"/>
    <w:rsid w:val="00B25E73"/>
    <w:rsid w:val="00B2601B"/>
    <w:rsid w:val="00B260C2"/>
    <w:rsid w:val="00B266C7"/>
    <w:rsid w:val="00B26CF9"/>
    <w:rsid w:val="00B26D59"/>
    <w:rsid w:val="00B27026"/>
    <w:rsid w:val="00B2732C"/>
    <w:rsid w:val="00B274DF"/>
    <w:rsid w:val="00B2760D"/>
    <w:rsid w:val="00B27B44"/>
    <w:rsid w:val="00B27C40"/>
    <w:rsid w:val="00B27C87"/>
    <w:rsid w:val="00B27E28"/>
    <w:rsid w:val="00B27F09"/>
    <w:rsid w:val="00B301BD"/>
    <w:rsid w:val="00B30AAB"/>
    <w:rsid w:val="00B30EEE"/>
    <w:rsid w:val="00B31284"/>
    <w:rsid w:val="00B313EB"/>
    <w:rsid w:val="00B31443"/>
    <w:rsid w:val="00B314FF"/>
    <w:rsid w:val="00B317A1"/>
    <w:rsid w:val="00B31E93"/>
    <w:rsid w:val="00B32239"/>
    <w:rsid w:val="00B323DC"/>
    <w:rsid w:val="00B329CD"/>
    <w:rsid w:val="00B329FF"/>
    <w:rsid w:val="00B32EE1"/>
    <w:rsid w:val="00B32F4C"/>
    <w:rsid w:val="00B33418"/>
    <w:rsid w:val="00B337D5"/>
    <w:rsid w:val="00B3391A"/>
    <w:rsid w:val="00B33B06"/>
    <w:rsid w:val="00B33B3D"/>
    <w:rsid w:val="00B33BCD"/>
    <w:rsid w:val="00B33D58"/>
    <w:rsid w:val="00B33D9D"/>
    <w:rsid w:val="00B33E72"/>
    <w:rsid w:val="00B34307"/>
    <w:rsid w:val="00B3446C"/>
    <w:rsid w:val="00B344B8"/>
    <w:rsid w:val="00B3466A"/>
    <w:rsid w:val="00B348CF"/>
    <w:rsid w:val="00B34C72"/>
    <w:rsid w:val="00B34DE0"/>
    <w:rsid w:val="00B35226"/>
    <w:rsid w:val="00B35413"/>
    <w:rsid w:val="00B3575D"/>
    <w:rsid w:val="00B359C5"/>
    <w:rsid w:val="00B35C95"/>
    <w:rsid w:val="00B35EE9"/>
    <w:rsid w:val="00B35F45"/>
    <w:rsid w:val="00B360C2"/>
    <w:rsid w:val="00B3620F"/>
    <w:rsid w:val="00B364DB"/>
    <w:rsid w:val="00B3695E"/>
    <w:rsid w:val="00B369AF"/>
    <w:rsid w:val="00B369DC"/>
    <w:rsid w:val="00B36AC2"/>
    <w:rsid w:val="00B36F97"/>
    <w:rsid w:val="00B372CC"/>
    <w:rsid w:val="00B378CA"/>
    <w:rsid w:val="00B378EA"/>
    <w:rsid w:val="00B379B9"/>
    <w:rsid w:val="00B37AC1"/>
    <w:rsid w:val="00B37D2C"/>
    <w:rsid w:val="00B37F5B"/>
    <w:rsid w:val="00B40707"/>
    <w:rsid w:val="00B40E8C"/>
    <w:rsid w:val="00B4104A"/>
    <w:rsid w:val="00B413B4"/>
    <w:rsid w:val="00B41915"/>
    <w:rsid w:val="00B41978"/>
    <w:rsid w:val="00B41BD0"/>
    <w:rsid w:val="00B41E16"/>
    <w:rsid w:val="00B41FA1"/>
    <w:rsid w:val="00B41FFD"/>
    <w:rsid w:val="00B422B4"/>
    <w:rsid w:val="00B4253C"/>
    <w:rsid w:val="00B42A80"/>
    <w:rsid w:val="00B42A90"/>
    <w:rsid w:val="00B42DB8"/>
    <w:rsid w:val="00B42FB9"/>
    <w:rsid w:val="00B43510"/>
    <w:rsid w:val="00B436DE"/>
    <w:rsid w:val="00B437E0"/>
    <w:rsid w:val="00B43C2E"/>
    <w:rsid w:val="00B43EB0"/>
    <w:rsid w:val="00B43EF0"/>
    <w:rsid w:val="00B440DA"/>
    <w:rsid w:val="00B448A6"/>
    <w:rsid w:val="00B44DB3"/>
    <w:rsid w:val="00B45194"/>
    <w:rsid w:val="00B456BA"/>
    <w:rsid w:val="00B459DE"/>
    <w:rsid w:val="00B461CC"/>
    <w:rsid w:val="00B461E6"/>
    <w:rsid w:val="00B46204"/>
    <w:rsid w:val="00B46935"/>
    <w:rsid w:val="00B46E68"/>
    <w:rsid w:val="00B46EF0"/>
    <w:rsid w:val="00B47157"/>
    <w:rsid w:val="00B4733B"/>
    <w:rsid w:val="00B47CBC"/>
    <w:rsid w:val="00B47F43"/>
    <w:rsid w:val="00B50509"/>
    <w:rsid w:val="00B50F3F"/>
    <w:rsid w:val="00B51018"/>
    <w:rsid w:val="00B51101"/>
    <w:rsid w:val="00B51188"/>
    <w:rsid w:val="00B51547"/>
    <w:rsid w:val="00B517AA"/>
    <w:rsid w:val="00B51FAA"/>
    <w:rsid w:val="00B520D3"/>
    <w:rsid w:val="00B5228E"/>
    <w:rsid w:val="00B52768"/>
    <w:rsid w:val="00B52CAF"/>
    <w:rsid w:val="00B52E01"/>
    <w:rsid w:val="00B52E89"/>
    <w:rsid w:val="00B53111"/>
    <w:rsid w:val="00B53824"/>
    <w:rsid w:val="00B539EF"/>
    <w:rsid w:val="00B53C83"/>
    <w:rsid w:val="00B5408F"/>
    <w:rsid w:val="00B54456"/>
    <w:rsid w:val="00B544E6"/>
    <w:rsid w:val="00B5476D"/>
    <w:rsid w:val="00B54828"/>
    <w:rsid w:val="00B54977"/>
    <w:rsid w:val="00B549A9"/>
    <w:rsid w:val="00B549F8"/>
    <w:rsid w:val="00B54C44"/>
    <w:rsid w:val="00B54D19"/>
    <w:rsid w:val="00B54FDE"/>
    <w:rsid w:val="00B5559E"/>
    <w:rsid w:val="00B555B2"/>
    <w:rsid w:val="00B5590A"/>
    <w:rsid w:val="00B55962"/>
    <w:rsid w:val="00B55B24"/>
    <w:rsid w:val="00B55BDA"/>
    <w:rsid w:val="00B55FF6"/>
    <w:rsid w:val="00B560A5"/>
    <w:rsid w:val="00B5639B"/>
    <w:rsid w:val="00B566F1"/>
    <w:rsid w:val="00B567BB"/>
    <w:rsid w:val="00B568E5"/>
    <w:rsid w:val="00B56BD6"/>
    <w:rsid w:val="00B571DC"/>
    <w:rsid w:val="00B57234"/>
    <w:rsid w:val="00B5763C"/>
    <w:rsid w:val="00B6017A"/>
    <w:rsid w:val="00B612BB"/>
    <w:rsid w:val="00B61404"/>
    <w:rsid w:val="00B61A7C"/>
    <w:rsid w:val="00B61F39"/>
    <w:rsid w:val="00B62520"/>
    <w:rsid w:val="00B62A19"/>
    <w:rsid w:val="00B62C38"/>
    <w:rsid w:val="00B62CB0"/>
    <w:rsid w:val="00B62EB2"/>
    <w:rsid w:val="00B633F1"/>
    <w:rsid w:val="00B63456"/>
    <w:rsid w:val="00B63541"/>
    <w:rsid w:val="00B63612"/>
    <w:rsid w:val="00B6371F"/>
    <w:rsid w:val="00B63D22"/>
    <w:rsid w:val="00B63D75"/>
    <w:rsid w:val="00B64088"/>
    <w:rsid w:val="00B64165"/>
    <w:rsid w:val="00B64EC8"/>
    <w:rsid w:val="00B65164"/>
    <w:rsid w:val="00B6537A"/>
    <w:rsid w:val="00B65747"/>
    <w:rsid w:val="00B65794"/>
    <w:rsid w:val="00B65AE0"/>
    <w:rsid w:val="00B65B27"/>
    <w:rsid w:val="00B66062"/>
    <w:rsid w:val="00B6609F"/>
    <w:rsid w:val="00B66106"/>
    <w:rsid w:val="00B662CC"/>
    <w:rsid w:val="00B665AD"/>
    <w:rsid w:val="00B66A30"/>
    <w:rsid w:val="00B66B33"/>
    <w:rsid w:val="00B672F4"/>
    <w:rsid w:val="00B676A2"/>
    <w:rsid w:val="00B70002"/>
    <w:rsid w:val="00B7010B"/>
    <w:rsid w:val="00B70551"/>
    <w:rsid w:val="00B705DD"/>
    <w:rsid w:val="00B708D8"/>
    <w:rsid w:val="00B70E74"/>
    <w:rsid w:val="00B71288"/>
    <w:rsid w:val="00B712C7"/>
    <w:rsid w:val="00B713C9"/>
    <w:rsid w:val="00B71A31"/>
    <w:rsid w:val="00B71E87"/>
    <w:rsid w:val="00B71EFF"/>
    <w:rsid w:val="00B72182"/>
    <w:rsid w:val="00B728B0"/>
    <w:rsid w:val="00B72A88"/>
    <w:rsid w:val="00B72D9B"/>
    <w:rsid w:val="00B73170"/>
    <w:rsid w:val="00B73DA0"/>
    <w:rsid w:val="00B73F17"/>
    <w:rsid w:val="00B73F6B"/>
    <w:rsid w:val="00B73FB4"/>
    <w:rsid w:val="00B7416F"/>
    <w:rsid w:val="00B7432F"/>
    <w:rsid w:val="00B74366"/>
    <w:rsid w:val="00B7442A"/>
    <w:rsid w:val="00B7449C"/>
    <w:rsid w:val="00B745F6"/>
    <w:rsid w:val="00B74672"/>
    <w:rsid w:val="00B7497A"/>
    <w:rsid w:val="00B74C3F"/>
    <w:rsid w:val="00B7548B"/>
    <w:rsid w:val="00B75790"/>
    <w:rsid w:val="00B75A6F"/>
    <w:rsid w:val="00B75ACC"/>
    <w:rsid w:val="00B75BC1"/>
    <w:rsid w:val="00B76007"/>
    <w:rsid w:val="00B76479"/>
    <w:rsid w:val="00B76919"/>
    <w:rsid w:val="00B76B08"/>
    <w:rsid w:val="00B772DD"/>
    <w:rsid w:val="00B7753A"/>
    <w:rsid w:val="00B777C8"/>
    <w:rsid w:val="00B778E7"/>
    <w:rsid w:val="00B77A5B"/>
    <w:rsid w:val="00B77BB0"/>
    <w:rsid w:val="00B80838"/>
    <w:rsid w:val="00B80C10"/>
    <w:rsid w:val="00B80DC1"/>
    <w:rsid w:val="00B80E3B"/>
    <w:rsid w:val="00B81193"/>
    <w:rsid w:val="00B81444"/>
    <w:rsid w:val="00B81751"/>
    <w:rsid w:val="00B81AC7"/>
    <w:rsid w:val="00B81EF7"/>
    <w:rsid w:val="00B82E49"/>
    <w:rsid w:val="00B83285"/>
    <w:rsid w:val="00B8333F"/>
    <w:rsid w:val="00B8375A"/>
    <w:rsid w:val="00B8393E"/>
    <w:rsid w:val="00B839AC"/>
    <w:rsid w:val="00B83A52"/>
    <w:rsid w:val="00B83A68"/>
    <w:rsid w:val="00B83BE5"/>
    <w:rsid w:val="00B83C2D"/>
    <w:rsid w:val="00B84049"/>
    <w:rsid w:val="00B8412D"/>
    <w:rsid w:val="00B84519"/>
    <w:rsid w:val="00B848A6"/>
    <w:rsid w:val="00B849A0"/>
    <w:rsid w:val="00B84C39"/>
    <w:rsid w:val="00B84DE3"/>
    <w:rsid w:val="00B84F21"/>
    <w:rsid w:val="00B852D6"/>
    <w:rsid w:val="00B854DE"/>
    <w:rsid w:val="00B85845"/>
    <w:rsid w:val="00B85952"/>
    <w:rsid w:val="00B859B3"/>
    <w:rsid w:val="00B85A34"/>
    <w:rsid w:val="00B85B4C"/>
    <w:rsid w:val="00B867FE"/>
    <w:rsid w:val="00B86B85"/>
    <w:rsid w:val="00B86E54"/>
    <w:rsid w:val="00B86E62"/>
    <w:rsid w:val="00B87054"/>
    <w:rsid w:val="00B8709D"/>
    <w:rsid w:val="00B8741D"/>
    <w:rsid w:val="00B876D6"/>
    <w:rsid w:val="00B87AEF"/>
    <w:rsid w:val="00B87BB0"/>
    <w:rsid w:val="00B87D76"/>
    <w:rsid w:val="00B87E44"/>
    <w:rsid w:val="00B87EA1"/>
    <w:rsid w:val="00B90170"/>
    <w:rsid w:val="00B90257"/>
    <w:rsid w:val="00B90537"/>
    <w:rsid w:val="00B9092D"/>
    <w:rsid w:val="00B90FF9"/>
    <w:rsid w:val="00B9102C"/>
    <w:rsid w:val="00B910B9"/>
    <w:rsid w:val="00B91570"/>
    <w:rsid w:val="00B91689"/>
    <w:rsid w:val="00B91941"/>
    <w:rsid w:val="00B91A2E"/>
    <w:rsid w:val="00B91A64"/>
    <w:rsid w:val="00B91C1D"/>
    <w:rsid w:val="00B91C34"/>
    <w:rsid w:val="00B92CEF"/>
    <w:rsid w:val="00B92DC5"/>
    <w:rsid w:val="00B92F93"/>
    <w:rsid w:val="00B931BE"/>
    <w:rsid w:val="00B9346A"/>
    <w:rsid w:val="00B93570"/>
    <w:rsid w:val="00B938C0"/>
    <w:rsid w:val="00B93A1D"/>
    <w:rsid w:val="00B93B20"/>
    <w:rsid w:val="00B93B5E"/>
    <w:rsid w:val="00B93C07"/>
    <w:rsid w:val="00B94005"/>
    <w:rsid w:val="00B94108"/>
    <w:rsid w:val="00B94397"/>
    <w:rsid w:val="00B944F1"/>
    <w:rsid w:val="00B94551"/>
    <w:rsid w:val="00B948D2"/>
    <w:rsid w:val="00B94C52"/>
    <w:rsid w:val="00B94E79"/>
    <w:rsid w:val="00B94F26"/>
    <w:rsid w:val="00B94F6E"/>
    <w:rsid w:val="00B951B1"/>
    <w:rsid w:val="00B95270"/>
    <w:rsid w:val="00B95353"/>
    <w:rsid w:val="00B953CA"/>
    <w:rsid w:val="00B95717"/>
    <w:rsid w:val="00B9571D"/>
    <w:rsid w:val="00B95A3F"/>
    <w:rsid w:val="00B95A4E"/>
    <w:rsid w:val="00B95B94"/>
    <w:rsid w:val="00B95B9A"/>
    <w:rsid w:val="00B95BD4"/>
    <w:rsid w:val="00B95C09"/>
    <w:rsid w:val="00B95C97"/>
    <w:rsid w:val="00B95CE6"/>
    <w:rsid w:val="00B95FB7"/>
    <w:rsid w:val="00B960C3"/>
    <w:rsid w:val="00B96243"/>
    <w:rsid w:val="00B9659D"/>
    <w:rsid w:val="00B966AC"/>
    <w:rsid w:val="00B971AF"/>
    <w:rsid w:val="00B97357"/>
    <w:rsid w:val="00B973D9"/>
    <w:rsid w:val="00B97985"/>
    <w:rsid w:val="00B97A07"/>
    <w:rsid w:val="00BA0265"/>
    <w:rsid w:val="00BA04C9"/>
    <w:rsid w:val="00BA05BE"/>
    <w:rsid w:val="00BA05EC"/>
    <w:rsid w:val="00BA0AEF"/>
    <w:rsid w:val="00BA0FDC"/>
    <w:rsid w:val="00BA123C"/>
    <w:rsid w:val="00BA13B0"/>
    <w:rsid w:val="00BA1423"/>
    <w:rsid w:val="00BA16C8"/>
    <w:rsid w:val="00BA17E0"/>
    <w:rsid w:val="00BA19FD"/>
    <w:rsid w:val="00BA1C2E"/>
    <w:rsid w:val="00BA1DAD"/>
    <w:rsid w:val="00BA27F0"/>
    <w:rsid w:val="00BA2A60"/>
    <w:rsid w:val="00BA2EB4"/>
    <w:rsid w:val="00BA30FA"/>
    <w:rsid w:val="00BA348D"/>
    <w:rsid w:val="00BA373C"/>
    <w:rsid w:val="00BA3B0E"/>
    <w:rsid w:val="00BA455F"/>
    <w:rsid w:val="00BA5570"/>
    <w:rsid w:val="00BA5588"/>
    <w:rsid w:val="00BA5A34"/>
    <w:rsid w:val="00BA5A47"/>
    <w:rsid w:val="00BA5A79"/>
    <w:rsid w:val="00BA609D"/>
    <w:rsid w:val="00BA68E0"/>
    <w:rsid w:val="00BA6930"/>
    <w:rsid w:val="00BA6BA7"/>
    <w:rsid w:val="00BA6BE3"/>
    <w:rsid w:val="00BA6C7F"/>
    <w:rsid w:val="00BA74DB"/>
    <w:rsid w:val="00BA7BB3"/>
    <w:rsid w:val="00BB010D"/>
    <w:rsid w:val="00BB0202"/>
    <w:rsid w:val="00BB03EA"/>
    <w:rsid w:val="00BB0559"/>
    <w:rsid w:val="00BB0801"/>
    <w:rsid w:val="00BB08D9"/>
    <w:rsid w:val="00BB0B21"/>
    <w:rsid w:val="00BB0C53"/>
    <w:rsid w:val="00BB0E34"/>
    <w:rsid w:val="00BB0E5E"/>
    <w:rsid w:val="00BB0E94"/>
    <w:rsid w:val="00BB0F00"/>
    <w:rsid w:val="00BB10B0"/>
    <w:rsid w:val="00BB1269"/>
    <w:rsid w:val="00BB1589"/>
    <w:rsid w:val="00BB17A9"/>
    <w:rsid w:val="00BB1991"/>
    <w:rsid w:val="00BB19D9"/>
    <w:rsid w:val="00BB1A4C"/>
    <w:rsid w:val="00BB1BC4"/>
    <w:rsid w:val="00BB1C9B"/>
    <w:rsid w:val="00BB1D88"/>
    <w:rsid w:val="00BB1F19"/>
    <w:rsid w:val="00BB2281"/>
    <w:rsid w:val="00BB23AE"/>
    <w:rsid w:val="00BB2822"/>
    <w:rsid w:val="00BB2853"/>
    <w:rsid w:val="00BB2E68"/>
    <w:rsid w:val="00BB3B06"/>
    <w:rsid w:val="00BB4271"/>
    <w:rsid w:val="00BB4313"/>
    <w:rsid w:val="00BB4B7A"/>
    <w:rsid w:val="00BB4D75"/>
    <w:rsid w:val="00BB5776"/>
    <w:rsid w:val="00BB5917"/>
    <w:rsid w:val="00BB595C"/>
    <w:rsid w:val="00BB5AC1"/>
    <w:rsid w:val="00BB61E3"/>
    <w:rsid w:val="00BB66EB"/>
    <w:rsid w:val="00BB688A"/>
    <w:rsid w:val="00BB6AA9"/>
    <w:rsid w:val="00BB6B84"/>
    <w:rsid w:val="00BB7D33"/>
    <w:rsid w:val="00BC0670"/>
    <w:rsid w:val="00BC0720"/>
    <w:rsid w:val="00BC076C"/>
    <w:rsid w:val="00BC0AC2"/>
    <w:rsid w:val="00BC0AF5"/>
    <w:rsid w:val="00BC0B74"/>
    <w:rsid w:val="00BC0CD3"/>
    <w:rsid w:val="00BC0E79"/>
    <w:rsid w:val="00BC10E7"/>
    <w:rsid w:val="00BC13A6"/>
    <w:rsid w:val="00BC165D"/>
    <w:rsid w:val="00BC1896"/>
    <w:rsid w:val="00BC1899"/>
    <w:rsid w:val="00BC1C5B"/>
    <w:rsid w:val="00BC1E2C"/>
    <w:rsid w:val="00BC2125"/>
    <w:rsid w:val="00BC269C"/>
    <w:rsid w:val="00BC276E"/>
    <w:rsid w:val="00BC27E0"/>
    <w:rsid w:val="00BC2A95"/>
    <w:rsid w:val="00BC2CD8"/>
    <w:rsid w:val="00BC3595"/>
    <w:rsid w:val="00BC359E"/>
    <w:rsid w:val="00BC36BF"/>
    <w:rsid w:val="00BC36C4"/>
    <w:rsid w:val="00BC39EC"/>
    <w:rsid w:val="00BC3C8B"/>
    <w:rsid w:val="00BC3D64"/>
    <w:rsid w:val="00BC3DD0"/>
    <w:rsid w:val="00BC402C"/>
    <w:rsid w:val="00BC418B"/>
    <w:rsid w:val="00BC42D1"/>
    <w:rsid w:val="00BC4931"/>
    <w:rsid w:val="00BC4ACC"/>
    <w:rsid w:val="00BC4AE1"/>
    <w:rsid w:val="00BC4BA9"/>
    <w:rsid w:val="00BC59D2"/>
    <w:rsid w:val="00BC5E3E"/>
    <w:rsid w:val="00BC6095"/>
    <w:rsid w:val="00BC6443"/>
    <w:rsid w:val="00BC6A8B"/>
    <w:rsid w:val="00BC6C78"/>
    <w:rsid w:val="00BC7044"/>
    <w:rsid w:val="00BC74A4"/>
    <w:rsid w:val="00BC771C"/>
    <w:rsid w:val="00BC7A91"/>
    <w:rsid w:val="00BC7B8E"/>
    <w:rsid w:val="00BC7E5D"/>
    <w:rsid w:val="00BD00EA"/>
    <w:rsid w:val="00BD1183"/>
    <w:rsid w:val="00BD13C3"/>
    <w:rsid w:val="00BD1936"/>
    <w:rsid w:val="00BD1D99"/>
    <w:rsid w:val="00BD2BFC"/>
    <w:rsid w:val="00BD3057"/>
    <w:rsid w:val="00BD3BD8"/>
    <w:rsid w:val="00BD3D33"/>
    <w:rsid w:val="00BD3F83"/>
    <w:rsid w:val="00BD4829"/>
    <w:rsid w:val="00BD4DF5"/>
    <w:rsid w:val="00BD4EA3"/>
    <w:rsid w:val="00BD4F4D"/>
    <w:rsid w:val="00BD4F57"/>
    <w:rsid w:val="00BD51E8"/>
    <w:rsid w:val="00BD5426"/>
    <w:rsid w:val="00BD5509"/>
    <w:rsid w:val="00BD567F"/>
    <w:rsid w:val="00BD5865"/>
    <w:rsid w:val="00BD58CA"/>
    <w:rsid w:val="00BD58F4"/>
    <w:rsid w:val="00BD61FD"/>
    <w:rsid w:val="00BD6850"/>
    <w:rsid w:val="00BD6D92"/>
    <w:rsid w:val="00BD6E91"/>
    <w:rsid w:val="00BD711F"/>
    <w:rsid w:val="00BD7244"/>
    <w:rsid w:val="00BD7250"/>
    <w:rsid w:val="00BD729C"/>
    <w:rsid w:val="00BD7372"/>
    <w:rsid w:val="00BD7387"/>
    <w:rsid w:val="00BD7628"/>
    <w:rsid w:val="00BD7650"/>
    <w:rsid w:val="00BD7CC5"/>
    <w:rsid w:val="00BE008C"/>
    <w:rsid w:val="00BE03A5"/>
    <w:rsid w:val="00BE048C"/>
    <w:rsid w:val="00BE0748"/>
    <w:rsid w:val="00BE081F"/>
    <w:rsid w:val="00BE097E"/>
    <w:rsid w:val="00BE0EF2"/>
    <w:rsid w:val="00BE0F49"/>
    <w:rsid w:val="00BE1740"/>
    <w:rsid w:val="00BE19E5"/>
    <w:rsid w:val="00BE1CBA"/>
    <w:rsid w:val="00BE207F"/>
    <w:rsid w:val="00BE22EF"/>
    <w:rsid w:val="00BE241A"/>
    <w:rsid w:val="00BE288F"/>
    <w:rsid w:val="00BE2B67"/>
    <w:rsid w:val="00BE33FA"/>
    <w:rsid w:val="00BE3701"/>
    <w:rsid w:val="00BE3B12"/>
    <w:rsid w:val="00BE3F68"/>
    <w:rsid w:val="00BE415A"/>
    <w:rsid w:val="00BE4188"/>
    <w:rsid w:val="00BE45CC"/>
    <w:rsid w:val="00BE46E2"/>
    <w:rsid w:val="00BE48DB"/>
    <w:rsid w:val="00BE537A"/>
    <w:rsid w:val="00BE5B8D"/>
    <w:rsid w:val="00BE67B1"/>
    <w:rsid w:val="00BE67BA"/>
    <w:rsid w:val="00BE6815"/>
    <w:rsid w:val="00BE69CC"/>
    <w:rsid w:val="00BE6DDE"/>
    <w:rsid w:val="00BE6ECA"/>
    <w:rsid w:val="00BE72BE"/>
    <w:rsid w:val="00BE7323"/>
    <w:rsid w:val="00BE790C"/>
    <w:rsid w:val="00BE7976"/>
    <w:rsid w:val="00BF0508"/>
    <w:rsid w:val="00BF051D"/>
    <w:rsid w:val="00BF08D8"/>
    <w:rsid w:val="00BF08F2"/>
    <w:rsid w:val="00BF094F"/>
    <w:rsid w:val="00BF0DA0"/>
    <w:rsid w:val="00BF115A"/>
    <w:rsid w:val="00BF11B0"/>
    <w:rsid w:val="00BF139D"/>
    <w:rsid w:val="00BF15DB"/>
    <w:rsid w:val="00BF1896"/>
    <w:rsid w:val="00BF1F17"/>
    <w:rsid w:val="00BF22C9"/>
    <w:rsid w:val="00BF2B0F"/>
    <w:rsid w:val="00BF333D"/>
    <w:rsid w:val="00BF38F6"/>
    <w:rsid w:val="00BF3E76"/>
    <w:rsid w:val="00BF3FA6"/>
    <w:rsid w:val="00BF4054"/>
    <w:rsid w:val="00BF42C8"/>
    <w:rsid w:val="00BF43C5"/>
    <w:rsid w:val="00BF4760"/>
    <w:rsid w:val="00BF4763"/>
    <w:rsid w:val="00BF4767"/>
    <w:rsid w:val="00BF4A7B"/>
    <w:rsid w:val="00BF5143"/>
    <w:rsid w:val="00BF52E9"/>
    <w:rsid w:val="00BF55D8"/>
    <w:rsid w:val="00BF5972"/>
    <w:rsid w:val="00BF5B4F"/>
    <w:rsid w:val="00BF5D4A"/>
    <w:rsid w:val="00BF6023"/>
    <w:rsid w:val="00BF6791"/>
    <w:rsid w:val="00BF6B81"/>
    <w:rsid w:val="00BF6BBE"/>
    <w:rsid w:val="00BF6DC8"/>
    <w:rsid w:val="00BF706C"/>
    <w:rsid w:val="00BF7267"/>
    <w:rsid w:val="00BF74B5"/>
    <w:rsid w:val="00BF77A4"/>
    <w:rsid w:val="00BF79D5"/>
    <w:rsid w:val="00BF7ED2"/>
    <w:rsid w:val="00C0001D"/>
    <w:rsid w:val="00C001A0"/>
    <w:rsid w:val="00C006A8"/>
    <w:rsid w:val="00C007B6"/>
    <w:rsid w:val="00C012BC"/>
    <w:rsid w:val="00C0140F"/>
    <w:rsid w:val="00C017D5"/>
    <w:rsid w:val="00C01855"/>
    <w:rsid w:val="00C01C1A"/>
    <w:rsid w:val="00C0264D"/>
    <w:rsid w:val="00C0291D"/>
    <w:rsid w:val="00C032A0"/>
    <w:rsid w:val="00C032B2"/>
    <w:rsid w:val="00C032FE"/>
    <w:rsid w:val="00C0337C"/>
    <w:rsid w:val="00C038F9"/>
    <w:rsid w:val="00C039AC"/>
    <w:rsid w:val="00C03C14"/>
    <w:rsid w:val="00C04255"/>
    <w:rsid w:val="00C047A5"/>
    <w:rsid w:val="00C04BCB"/>
    <w:rsid w:val="00C04E8C"/>
    <w:rsid w:val="00C0518A"/>
    <w:rsid w:val="00C05224"/>
    <w:rsid w:val="00C05227"/>
    <w:rsid w:val="00C05351"/>
    <w:rsid w:val="00C05A0B"/>
    <w:rsid w:val="00C05A0C"/>
    <w:rsid w:val="00C05EA2"/>
    <w:rsid w:val="00C06666"/>
    <w:rsid w:val="00C0687B"/>
    <w:rsid w:val="00C0689A"/>
    <w:rsid w:val="00C068A3"/>
    <w:rsid w:val="00C06F91"/>
    <w:rsid w:val="00C073A7"/>
    <w:rsid w:val="00C075A3"/>
    <w:rsid w:val="00C075E8"/>
    <w:rsid w:val="00C077F8"/>
    <w:rsid w:val="00C07973"/>
    <w:rsid w:val="00C07B5D"/>
    <w:rsid w:val="00C07B6F"/>
    <w:rsid w:val="00C1034B"/>
    <w:rsid w:val="00C1060A"/>
    <w:rsid w:val="00C10740"/>
    <w:rsid w:val="00C10AE9"/>
    <w:rsid w:val="00C10B97"/>
    <w:rsid w:val="00C112A7"/>
    <w:rsid w:val="00C11533"/>
    <w:rsid w:val="00C118EF"/>
    <w:rsid w:val="00C11A23"/>
    <w:rsid w:val="00C11B7F"/>
    <w:rsid w:val="00C11C6E"/>
    <w:rsid w:val="00C12509"/>
    <w:rsid w:val="00C12ABD"/>
    <w:rsid w:val="00C12ACD"/>
    <w:rsid w:val="00C1306A"/>
    <w:rsid w:val="00C13137"/>
    <w:rsid w:val="00C13451"/>
    <w:rsid w:val="00C13F89"/>
    <w:rsid w:val="00C14422"/>
    <w:rsid w:val="00C14457"/>
    <w:rsid w:val="00C144AE"/>
    <w:rsid w:val="00C1457F"/>
    <w:rsid w:val="00C14600"/>
    <w:rsid w:val="00C14B29"/>
    <w:rsid w:val="00C14FFC"/>
    <w:rsid w:val="00C154F4"/>
    <w:rsid w:val="00C159F5"/>
    <w:rsid w:val="00C15DE0"/>
    <w:rsid w:val="00C16059"/>
    <w:rsid w:val="00C161E2"/>
    <w:rsid w:val="00C164AB"/>
    <w:rsid w:val="00C16602"/>
    <w:rsid w:val="00C16610"/>
    <w:rsid w:val="00C1667A"/>
    <w:rsid w:val="00C16E7D"/>
    <w:rsid w:val="00C16F3B"/>
    <w:rsid w:val="00C17518"/>
    <w:rsid w:val="00C1770B"/>
    <w:rsid w:val="00C17AB1"/>
    <w:rsid w:val="00C17D15"/>
    <w:rsid w:val="00C2003C"/>
    <w:rsid w:val="00C2008D"/>
    <w:rsid w:val="00C201F8"/>
    <w:rsid w:val="00C20947"/>
    <w:rsid w:val="00C209C4"/>
    <w:rsid w:val="00C20E53"/>
    <w:rsid w:val="00C214F3"/>
    <w:rsid w:val="00C2200D"/>
    <w:rsid w:val="00C22092"/>
    <w:rsid w:val="00C221B4"/>
    <w:rsid w:val="00C2228A"/>
    <w:rsid w:val="00C224E0"/>
    <w:rsid w:val="00C230BD"/>
    <w:rsid w:val="00C23126"/>
    <w:rsid w:val="00C2312D"/>
    <w:rsid w:val="00C2316A"/>
    <w:rsid w:val="00C233F7"/>
    <w:rsid w:val="00C23471"/>
    <w:rsid w:val="00C234AA"/>
    <w:rsid w:val="00C236D6"/>
    <w:rsid w:val="00C238CD"/>
    <w:rsid w:val="00C2390D"/>
    <w:rsid w:val="00C23AB4"/>
    <w:rsid w:val="00C23CB9"/>
    <w:rsid w:val="00C23DE5"/>
    <w:rsid w:val="00C23FBD"/>
    <w:rsid w:val="00C243E3"/>
    <w:rsid w:val="00C244AF"/>
    <w:rsid w:val="00C244F6"/>
    <w:rsid w:val="00C248B4"/>
    <w:rsid w:val="00C24D31"/>
    <w:rsid w:val="00C251FC"/>
    <w:rsid w:val="00C25268"/>
    <w:rsid w:val="00C252C8"/>
    <w:rsid w:val="00C2536E"/>
    <w:rsid w:val="00C25380"/>
    <w:rsid w:val="00C254A6"/>
    <w:rsid w:val="00C254F3"/>
    <w:rsid w:val="00C25588"/>
    <w:rsid w:val="00C25964"/>
    <w:rsid w:val="00C25EB4"/>
    <w:rsid w:val="00C25FB7"/>
    <w:rsid w:val="00C268EB"/>
    <w:rsid w:val="00C26C50"/>
    <w:rsid w:val="00C26C9A"/>
    <w:rsid w:val="00C26D9C"/>
    <w:rsid w:val="00C26E21"/>
    <w:rsid w:val="00C276B5"/>
    <w:rsid w:val="00C27719"/>
    <w:rsid w:val="00C27B9C"/>
    <w:rsid w:val="00C27C85"/>
    <w:rsid w:val="00C27E10"/>
    <w:rsid w:val="00C30199"/>
    <w:rsid w:val="00C30299"/>
    <w:rsid w:val="00C30302"/>
    <w:rsid w:val="00C305A0"/>
    <w:rsid w:val="00C30BB9"/>
    <w:rsid w:val="00C30C09"/>
    <w:rsid w:val="00C30FC4"/>
    <w:rsid w:val="00C319F4"/>
    <w:rsid w:val="00C31DE0"/>
    <w:rsid w:val="00C320FD"/>
    <w:rsid w:val="00C321FC"/>
    <w:rsid w:val="00C322F0"/>
    <w:rsid w:val="00C32500"/>
    <w:rsid w:val="00C325C2"/>
    <w:rsid w:val="00C328FC"/>
    <w:rsid w:val="00C331A8"/>
    <w:rsid w:val="00C332ED"/>
    <w:rsid w:val="00C334D6"/>
    <w:rsid w:val="00C33A22"/>
    <w:rsid w:val="00C33A4C"/>
    <w:rsid w:val="00C33B1F"/>
    <w:rsid w:val="00C33D5E"/>
    <w:rsid w:val="00C33E8A"/>
    <w:rsid w:val="00C34281"/>
    <w:rsid w:val="00C34347"/>
    <w:rsid w:val="00C34489"/>
    <w:rsid w:val="00C34DA1"/>
    <w:rsid w:val="00C34E95"/>
    <w:rsid w:val="00C34FA9"/>
    <w:rsid w:val="00C35511"/>
    <w:rsid w:val="00C356E5"/>
    <w:rsid w:val="00C36241"/>
    <w:rsid w:val="00C363C9"/>
    <w:rsid w:val="00C36535"/>
    <w:rsid w:val="00C36582"/>
    <w:rsid w:val="00C36BF3"/>
    <w:rsid w:val="00C36E55"/>
    <w:rsid w:val="00C372E3"/>
    <w:rsid w:val="00C3740F"/>
    <w:rsid w:val="00C37697"/>
    <w:rsid w:val="00C37C9A"/>
    <w:rsid w:val="00C37E3A"/>
    <w:rsid w:val="00C40452"/>
    <w:rsid w:val="00C407FC"/>
    <w:rsid w:val="00C40A3C"/>
    <w:rsid w:val="00C40C90"/>
    <w:rsid w:val="00C40D94"/>
    <w:rsid w:val="00C412E6"/>
    <w:rsid w:val="00C41C1C"/>
    <w:rsid w:val="00C41D1A"/>
    <w:rsid w:val="00C42244"/>
    <w:rsid w:val="00C42670"/>
    <w:rsid w:val="00C42962"/>
    <w:rsid w:val="00C42AAC"/>
    <w:rsid w:val="00C42E1C"/>
    <w:rsid w:val="00C43246"/>
    <w:rsid w:val="00C43730"/>
    <w:rsid w:val="00C43AFE"/>
    <w:rsid w:val="00C43CF4"/>
    <w:rsid w:val="00C43DD8"/>
    <w:rsid w:val="00C440B6"/>
    <w:rsid w:val="00C44284"/>
    <w:rsid w:val="00C44625"/>
    <w:rsid w:val="00C4491B"/>
    <w:rsid w:val="00C44979"/>
    <w:rsid w:val="00C449AA"/>
    <w:rsid w:val="00C44C61"/>
    <w:rsid w:val="00C44D7A"/>
    <w:rsid w:val="00C452E8"/>
    <w:rsid w:val="00C453FF"/>
    <w:rsid w:val="00C45725"/>
    <w:rsid w:val="00C457FE"/>
    <w:rsid w:val="00C45C80"/>
    <w:rsid w:val="00C46132"/>
    <w:rsid w:val="00C46481"/>
    <w:rsid w:val="00C4683D"/>
    <w:rsid w:val="00C46D54"/>
    <w:rsid w:val="00C470CD"/>
    <w:rsid w:val="00C47217"/>
    <w:rsid w:val="00C4722B"/>
    <w:rsid w:val="00C4723B"/>
    <w:rsid w:val="00C4755D"/>
    <w:rsid w:val="00C479F7"/>
    <w:rsid w:val="00C47CCC"/>
    <w:rsid w:val="00C47CF2"/>
    <w:rsid w:val="00C47D09"/>
    <w:rsid w:val="00C47D6E"/>
    <w:rsid w:val="00C47EF5"/>
    <w:rsid w:val="00C50115"/>
    <w:rsid w:val="00C50236"/>
    <w:rsid w:val="00C5052B"/>
    <w:rsid w:val="00C50CAB"/>
    <w:rsid w:val="00C50E6A"/>
    <w:rsid w:val="00C516C5"/>
    <w:rsid w:val="00C5185D"/>
    <w:rsid w:val="00C51960"/>
    <w:rsid w:val="00C51C0B"/>
    <w:rsid w:val="00C51C2C"/>
    <w:rsid w:val="00C51D26"/>
    <w:rsid w:val="00C51EBE"/>
    <w:rsid w:val="00C52002"/>
    <w:rsid w:val="00C522CB"/>
    <w:rsid w:val="00C5253E"/>
    <w:rsid w:val="00C52586"/>
    <w:rsid w:val="00C526B6"/>
    <w:rsid w:val="00C52898"/>
    <w:rsid w:val="00C52B28"/>
    <w:rsid w:val="00C52C1F"/>
    <w:rsid w:val="00C52ED9"/>
    <w:rsid w:val="00C53EB7"/>
    <w:rsid w:val="00C541BF"/>
    <w:rsid w:val="00C54453"/>
    <w:rsid w:val="00C549CD"/>
    <w:rsid w:val="00C55109"/>
    <w:rsid w:val="00C55291"/>
    <w:rsid w:val="00C55482"/>
    <w:rsid w:val="00C555CE"/>
    <w:rsid w:val="00C55652"/>
    <w:rsid w:val="00C55B3F"/>
    <w:rsid w:val="00C55C8E"/>
    <w:rsid w:val="00C55DF8"/>
    <w:rsid w:val="00C55F07"/>
    <w:rsid w:val="00C55F2C"/>
    <w:rsid w:val="00C560EA"/>
    <w:rsid w:val="00C56262"/>
    <w:rsid w:val="00C56A47"/>
    <w:rsid w:val="00C56B8C"/>
    <w:rsid w:val="00C56CE0"/>
    <w:rsid w:val="00C56EFA"/>
    <w:rsid w:val="00C5756E"/>
    <w:rsid w:val="00C57603"/>
    <w:rsid w:val="00C57616"/>
    <w:rsid w:val="00C57A2F"/>
    <w:rsid w:val="00C57D00"/>
    <w:rsid w:val="00C57FE2"/>
    <w:rsid w:val="00C60665"/>
    <w:rsid w:val="00C6079C"/>
    <w:rsid w:val="00C609BA"/>
    <w:rsid w:val="00C60B34"/>
    <w:rsid w:val="00C60F72"/>
    <w:rsid w:val="00C6106B"/>
    <w:rsid w:val="00C6140A"/>
    <w:rsid w:val="00C614BF"/>
    <w:rsid w:val="00C6279C"/>
    <w:rsid w:val="00C627C6"/>
    <w:rsid w:val="00C628C9"/>
    <w:rsid w:val="00C62B49"/>
    <w:rsid w:val="00C6321A"/>
    <w:rsid w:val="00C6382B"/>
    <w:rsid w:val="00C63D4C"/>
    <w:rsid w:val="00C63EC6"/>
    <w:rsid w:val="00C63FD1"/>
    <w:rsid w:val="00C6421D"/>
    <w:rsid w:val="00C643B7"/>
    <w:rsid w:val="00C646FC"/>
    <w:rsid w:val="00C64B06"/>
    <w:rsid w:val="00C64CC6"/>
    <w:rsid w:val="00C64D6D"/>
    <w:rsid w:val="00C650D7"/>
    <w:rsid w:val="00C650E5"/>
    <w:rsid w:val="00C6554A"/>
    <w:rsid w:val="00C65712"/>
    <w:rsid w:val="00C65DB3"/>
    <w:rsid w:val="00C65F63"/>
    <w:rsid w:val="00C662BA"/>
    <w:rsid w:val="00C66489"/>
    <w:rsid w:val="00C6652F"/>
    <w:rsid w:val="00C66B3D"/>
    <w:rsid w:val="00C66B9D"/>
    <w:rsid w:val="00C66BF2"/>
    <w:rsid w:val="00C670EB"/>
    <w:rsid w:val="00C6735D"/>
    <w:rsid w:val="00C67435"/>
    <w:rsid w:val="00C675FE"/>
    <w:rsid w:val="00C676A0"/>
    <w:rsid w:val="00C67CC8"/>
    <w:rsid w:val="00C67F58"/>
    <w:rsid w:val="00C703ED"/>
    <w:rsid w:val="00C70A12"/>
    <w:rsid w:val="00C7137D"/>
    <w:rsid w:val="00C7153A"/>
    <w:rsid w:val="00C716F3"/>
    <w:rsid w:val="00C718F8"/>
    <w:rsid w:val="00C719DA"/>
    <w:rsid w:val="00C71AE1"/>
    <w:rsid w:val="00C71F8E"/>
    <w:rsid w:val="00C7236D"/>
    <w:rsid w:val="00C72481"/>
    <w:rsid w:val="00C7287D"/>
    <w:rsid w:val="00C72C5E"/>
    <w:rsid w:val="00C73069"/>
    <w:rsid w:val="00C731A9"/>
    <w:rsid w:val="00C73435"/>
    <w:rsid w:val="00C734B3"/>
    <w:rsid w:val="00C735CA"/>
    <w:rsid w:val="00C73AF1"/>
    <w:rsid w:val="00C73C55"/>
    <w:rsid w:val="00C73CC7"/>
    <w:rsid w:val="00C73DFD"/>
    <w:rsid w:val="00C7402B"/>
    <w:rsid w:val="00C74056"/>
    <w:rsid w:val="00C74061"/>
    <w:rsid w:val="00C741C9"/>
    <w:rsid w:val="00C743C8"/>
    <w:rsid w:val="00C744BA"/>
    <w:rsid w:val="00C744C9"/>
    <w:rsid w:val="00C74753"/>
    <w:rsid w:val="00C74785"/>
    <w:rsid w:val="00C749B5"/>
    <w:rsid w:val="00C74AAA"/>
    <w:rsid w:val="00C74B57"/>
    <w:rsid w:val="00C74BB9"/>
    <w:rsid w:val="00C74EA9"/>
    <w:rsid w:val="00C7513A"/>
    <w:rsid w:val="00C751D1"/>
    <w:rsid w:val="00C75456"/>
    <w:rsid w:val="00C756CC"/>
    <w:rsid w:val="00C76024"/>
    <w:rsid w:val="00C76143"/>
    <w:rsid w:val="00C7685A"/>
    <w:rsid w:val="00C76F66"/>
    <w:rsid w:val="00C771F6"/>
    <w:rsid w:val="00C77270"/>
    <w:rsid w:val="00C7755E"/>
    <w:rsid w:val="00C7763C"/>
    <w:rsid w:val="00C778FE"/>
    <w:rsid w:val="00C77B5E"/>
    <w:rsid w:val="00C77C68"/>
    <w:rsid w:val="00C77E42"/>
    <w:rsid w:val="00C80097"/>
    <w:rsid w:val="00C801A6"/>
    <w:rsid w:val="00C803DB"/>
    <w:rsid w:val="00C8042F"/>
    <w:rsid w:val="00C80576"/>
    <w:rsid w:val="00C8065B"/>
    <w:rsid w:val="00C80703"/>
    <w:rsid w:val="00C80BEA"/>
    <w:rsid w:val="00C80ED1"/>
    <w:rsid w:val="00C8129E"/>
    <w:rsid w:val="00C814EB"/>
    <w:rsid w:val="00C815D8"/>
    <w:rsid w:val="00C81654"/>
    <w:rsid w:val="00C81E61"/>
    <w:rsid w:val="00C820C0"/>
    <w:rsid w:val="00C8243C"/>
    <w:rsid w:val="00C824D1"/>
    <w:rsid w:val="00C828B5"/>
    <w:rsid w:val="00C828D4"/>
    <w:rsid w:val="00C82C34"/>
    <w:rsid w:val="00C82D4C"/>
    <w:rsid w:val="00C82DC0"/>
    <w:rsid w:val="00C8308B"/>
    <w:rsid w:val="00C830CD"/>
    <w:rsid w:val="00C83211"/>
    <w:rsid w:val="00C83403"/>
    <w:rsid w:val="00C837A6"/>
    <w:rsid w:val="00C83883"/>
    <w:rsid w:val="00C83E3C"/>
    <w:rsid w:val="00C83F37"/>
    <w:rsid w:val="00C83FE0"/>
    <w:rsid w:val="00C84190"/>
    <w:rsid w:val="00C842B1"/>
    <w:rsid w:val="00C84378"/>
    <w:rsid w:val="00C8461E"/>
    <w:rsid w:val="00C84750"/>
    <w:rsid w:val="00C847FE"/>
    <w:rsid w:val="00C8490A"/>
    <w:rsid w:val="00C84E98"/>
    <w:rsid w:val="00C8500E"/>
    <w:rsid w:val="00C85489"/>
    <w:rsid w:val="00C8555C"/>
    <w:rsid w:val="00C857B7"/>
    <w:rsid w:val="00C85854"/>
    <w:rsid w:val="00C85B76"/>
    <w:rsid w:val="00C85EC3"/>
    <w:rsid w:val="00C85FEA"/>
    <w:rsid w:val="00C864EB"/>
    <w:rsid w:val="00C86910"/>
    <w:rsid w:val="00C86CB1"/>
    <w:rsid w:val="00C86CBB"/>
    <w:rsid w:val="00C86E2E"/>
    <w:rsid w:val="00C86E3F"/>
    <w:rsid w:val="00C86EE9"/>
    <w:rsid w:val="00C8768E"/>
    <w:rsid w:val="00C87C78"/>
    <w:rsid w:val="00C901BB"/>
    <w:rsid w:val="00C905A1"/>
    <w:rsid w:val="00C90627"/>
    <w:rsid w:val="00C910BB"/>
    <w:rsid w:val="00C91C88"/>
    <w:rsid w:val="00C92046"/>
    <w:rsid w:val="00C92333"/>
    <w:rsid w:val="00C92569"/>
    <w:rsid w:val="00C925B6"/>
    <w:rsid w:val="00C925DF"/>
    <w:rsid w:val="00C925F2"/>
    <w:rsid w:val="00C928D8"/>
    <w:rsid w:val="00C929AC"/>
    <w:rsid w:val="00C92E5B"/>
    <w:rsid w:val="00C92EE0"/>
    <w:rsid w:val="00C931D0"/>
    <w:rsid w:val="00C93242"/>
    <w:rsid w:val="00C932FD"/>
    <w:rsid w:val="00C93347"/>
    <w:rsid w:val="00C93385"/>
    <w:rsid w:val="00C933AE"/>
    <w:rsid w:val="00C93596"/>
    <w:rsid w:val="00C93778"/>
    <w:rsid w:val="00C9383A"/>
    <w:rsid w:val="00C93A65"/>
    <w:rsid w:val="00C93A8C"/>
    <w:rsid w:val="00C93CB3"/>
    <w:rsid w:val="00C93D8C"/>
    <w:rsid w:val="00C943E7"/>
    <w:rsid w:val="00C94BB8"/>
    <w:rsid w:val="00C94C4A"/>
    <w:rsid w:val="00C94E29"/>
    <w:rsid w:val="00C952C1"/>
    <w:rsid w:val="00C9549E"/>
    <w:rsid w:val="00C95528"/>
    <w:rsid w:val="00C95A68"/>
    <w:rsid w:val="00C95C6E"/>
    <w:rsid w:val="00C95CF8"/>
    <w:rsid w:val="00C95D6C"/>
    <w:rsid w:val="00C960B4"/>
    <w:rsid w:val="00C96206"/>
    <w:rsid w:val="00C962AD"/>
    <w:rsid w:val="00C96447"/>
    <w:rsid w:val="00C966ED"/>
    <w:rsid w:val="00C96885"/>
    <w:rsid w:val="00C96DDA"/>
    <w:rsid w:val="00C97586"/>
    <w:rsid w:val="00C975DE"/>
    <w:rsid w:val="00C97DA6"/>
    <w:rsid w:val="00C97DBD"/>
    <w:rsid w:val="00C97F60"/>
    <w:rsid w:val="00C97FAA"/>
    <w:rsid w:val="00CA006B"/>
    <w:rsid w:val="00CA0BD7"/>
    <w:rsid w:val="00CA0E5E"/>
    <w:rsid w:val="00CA1140"/>
    <w:rsid w:val="00CA1858"/>
    <w:rsid w:val="00CA1A5D"/>
    <w:rsid w:val="00CA1C05"/>
    <w:rsid w:val="00CA1D2E"/>
    <w:rsid w:val="00CA1EF4"/>
    <w:rsid w:val="00CA1FFC"/>
    <w:rsid w:val="00CA20CA"/>
    <w:rsid w:val="00CA249A"/>
    <w:rsid w:val="00CA2711"/>
    <w:rsid w:val="00CA2ABB"/>
    <w:rsid w:val="00CA2DFB"/>
    <w:rsid w:val="00CA2EBD"/>
    <w:rsid w:val="00CA3145"/>
    <w:rsid w:val="00CA32C1"/>
    <w:rsid w:val="00CA34D0"/>
    <w:rsid w:val="00CA3B26"/>
    <w:rsid w:val="00CA3D1A"/>
    <w:rsid w:val="00CA3F57"/>
    <w:rsid w:val="00CA4199"/>
    <w:rsid w:val="00CA4727"/>
    <w:rsid w:val="00CA4EF0"/>
    <w:rsid w:val="00CA5005"/>
    <w:rsid w:val="00CA51C6"/>
    <w:rsid w:val="00CA565F"/>
    <w:rsid w:val="00CA5977"/>
    <w:rsid w:val="00CA63D0"/>
    <w:rsid w:val="00CA68C4"/>
    <w:rsid w:val="00CA6C75"/>
    <w:rsid w:val="00CA6C99"/>
    <w:rsid w:val="00CA6ECC"/>
    <w:rsid w:val="00CA71DC"/>
    <w:rsid w:val="00CA7388"/>
    <w:rsid w:val="00CA78C3"/>
    <w:rsid w:val="00CA7B2F"/>
    <w:rsid w:val="00CA7D6E"/>
    <w:rsid w:val="00CA7F32"/>
    <w:rsid w:val="00CB0087"/>
    <w:rsid w:val="00CB040D"/>
    <w:rsid w:val="00CB0974"/>
    <w:rsid w:val="00CB0A15"/>
    <w:rsid w:val="00CB0A94"/>
    <w:rsid w:val="00CB0B6C"/>
    <w:rsid w:val="00CB0ECA"/>
    <w:rsid w:val="00CB1159"/>
    <w:rsid w:val="00CB1260"/>
    <w:rsid w:val="00CB19CF"/>
    <w:rsid w:val="00CB1DA3"/>
    <w:rsid w:val="00CB1DAD"/>
    <w:rsid w:val="00CB23B5"/>
    <w:rsid w:val="00CB2A8F"/>
    <w:rsid w:val="00CB2C12"/>
    <w:rsid w:val="00CB2C6C"/>
    <w:rsid w:val="00CB30EF"/>
    <w:rsid w:val="00CB32ED"/>
    <w:rsid w:val="00CB383B"/>
    <w:rsid w:val="00CB3BBE"/>
    <w:rsid w:val="00CB3EE9"/>
    <w:rsid w:val="00CB4019"/>
    <w:rsid w:val="00CB40A3"/>
    <w:rsid w:val="00CB4467"/>
    <w:rsid w:val="00CB4A33"/>
    <w:rsid w:val="00CB4A5D"/>
    <w:rsid w:val="00CB4F2C"/>
    <w:rsid w:val="00CB4FE5"/>
    <w:rsid w:val="00CB5037"/>
    <w:rsid w:val="00CB53FC"/>
    <w:rsid w:val="00CB553C"/>
    <w:rsid w:val="00CB5689"/>
    <w:rsid w:val="00CB56E1"/>
    <w:rsid w:val="00CB56E6"/>
    <w:rsid w:val="00CB5807"/>
    <w:rsid w:val="00CB5C7D"/>
    <w:rsid w:val="00CB5EDF"/>
    <w:rsid w:val="00CB5F81"/>
    <w:rsid w:val="00CB6635"/>
    <w:rsid w:val="00CB6B0B"/>
    <w:rsid w:val="00CB6EE4"/>
    <w:rsid w:val="00CB7054"/>
    <w:rsid w:val="00CB70B7"/>
    <w:rsid w:val="00CB7723"/>
    <w:rsid w:val="00CB776C"/>
    <w:rsid w:val="00CB7E68"/>
    <w:rsid w:val="00CB7FE0"/>
    <w:rsid w:val="00CC0036"/>
    <w:rsid w:val="00CC0688"/>
    <w:rsid w:val="00CC070A"/>
    <w:rsid w:val="00CC0735"/>
    <w:rsid w:val="00CC08A9"/>
    <w:rsid w:val="00CC0A35"/>
    <w:rsid w:val="00CC0AD4"/>
    <w:rsid w:val="00CC0C02"/>
    <w:rsid w:val="00CC0C16"/>
    <w:rsid w:val="00CC1884"/>
    <w:rsid w:val="00CC1B48"/>
    <w:rsid w:val="00CC1BC5"/>
    <w:rsid w:val="00CC1CC4"/>
    <w:rsid w:val="00CC1D2B"/>
    <w:rsid w:val="00CC21CF"/>
    <w:rsid w:val="00CC2342"/>
    <w:rsid w:val="00CC235D"/>
    <w:rsid w:val="00CC2804"/>
    <w:rsid w:val="00CC2863"/>
    <w:rsid w:val="00CC2B4E"/>
    <w:rsid w:val="00CC2CEF"/>
    <w:rsid w:val="00CC2D8A"/>
    <w:rsid w:val="00CC3210"/>
    <w:rsid w:val="00CC35B8"/>
    <w:rsid w:val="00CC39E5"/>
    <w:rsid w:val="00CC4372"/>
    <w:rsid w:val="00CC452E"/>
    <w:rsid w:val="00CC47D7"/>
    <w:rsid w:val="00CC4876"/>
    <w:rsid w:val="00CC4B23"/>
    <w:rsid w:val="00CC4CBF"/>
    <w:rsid w:val="00CC4CDD"/>
    <w:rsid w:val="00CC4EB8"/>
    <w:rsid w:val="00CC519B"/>
    <w:rsid w:val="00CC51F9"/>
    <w:rsid w:val="00CC553E"/>
    <w:rsid w:val="00CC5BF5"/>
    <w:rsid w:val="00CC6674"/>
    <w:rsid w:val="00CC6BA9"/>
    <w:rsid w:val="00CC6BAA"/>
    <w:rsid w:val="00CC6DFB"/>
    <w:rsid w:val="00CC6E0A"/>
    <w:rsid w:val="00CC6F50"/>
    <w:rsid w:val="00CC6F6A"/>
    <w:rsid w:val="00CC6FCC"/>
    <w:rsid w:val="00CC7276"/>
    <w:rsid w:val="00CC752D"/>
    <w:rsid w:val="00CC785E"/>
    <w:rsid w:val="00CC79EF"/>
    <w:rsid w:val="00CC7CE1"/>
    <w:rsid w:val="00CC7F76"/>
    <w:rsid w:val="00CC7FF2"/>
    <w:rsid w:val="00CD064D"/>
    <w:rsid w:val="00CD0DD1"/>
    <w:rsid w:val="00CD1683"/>
    <w:rsid w:val="00CD1704"/>
    <w:rsid w:val="00CD1824"/>
    <w:rsid w:val="00CD1AEB"/>
    <w:rsid w:val="00CD1F39"/>
    <w:rsid w:val="00CD2153"/>
    <w:rsid w:val="00CD22B6"/>
    <w:rsid w:val="00CD2306"/>
    <w:rsid w:val="00CD247C"/>
    <w:rsid w:val="00CD2695"/>
    <w:rsid w:val="00CD26F8"/>
    <w:rsid w:val="00CD29CA"/>
    <w:rsid w:val="00CD2AEB"/>
    <w:rsid w:val="00CD2EE5"/>
    <w:rsid w:val="00CD3641"/>
    <w:rsid w:val="00CD3661"/>
    <w:rsid w:val="00CD37D2"/>
    <w:rsid w:val="00CD381F"/>
    <w:rsid w:val="00CD3910"/>
    <w:rsid w:val="00CD3A61"/>
    <w:rsid w:val="00CD3BEC"/>
    <w:rsid w:val="00CD4114"/>
    <w:rsid w:val="00CD439D"/>
    <w:rsid w:val="00CD439F"/>
    <w:rsid w:val="00CD45B5"/>
    <w:rsid w:val="00CD492B"/>
    <w:rsid w:val="00CD4A3A"/>
    <w:rsid w:val="00CD50B7"/>
    <w:rsid w:val="00CD5278"/>
    <w:rsid w:val="00CD588B"/>
    <w:rsid w:val="00CD5AD5"/>
    <w:rsid w:val="00CD5ADA"/>
    <w:rsid w:val="00CD5AEF"/>
    <w:rsid w:val="00CD5BB7"/>
    <w:rsid w:val="00CD6100"/>
    <w:rsid w:val="00CD64C7"/>
    <w:rsid w:val="00CD6C6D"/>
    <w:rsid w:val="00CD6CB1"/>
    <w:rsid w:val="00CD6FA6"/>
    <w:rsid w:val="00CD7016"/>
    <w:rsid w:val="00CD7061"/>
    <w:rsid w:val="00CD70F0"/>
    <w:rsid w:val="00CD71CB"/>
    <w:rsid w:val="00CD7396"/>
    <w:rsid w:val="00CD76F0"/>
    <w:rsid w:val="00CD78C4"/>
    <w:rsid w:val="00CD7F6C"/>
    <w:rsid w:val="00CD7FF0"/>
    <w:rsid w:val="00CE032C"/>
    <w:rsid w:val="00CE071B"/>
    <w:rsid w:val="00CE0768"/>
    <w:rsid w:val="00CE08EA"/>
    <w:rsid w:val="00CE0950"/>
    <w:rsid w:val="00CE0B21"/>
    <w:rsid w:val="00CE0BAB"/>
    <w:rsid w:val="00CE1012"/>
    <w:rsid w:val="00CE10EA"/>
    <w:rsid w:val="00CE13DB"/>
    <w:rsid w:val="00CE185E"/>
    <w:rsid w:val="00CE18F9"/>
    <w:rsid w:val="00CE2745"/>
    <w:rsid w:val="00CE2759"/>
    <w:rsid w:val="00CE2A20"/>
    <w:rsid w:val="00CE2FD1"/>
    <w:rsid w:val="00CE3421"/>
    <w:rsid w:val="00CE373F"/>
    <w:rsid w:val="00CE388B"/>
    <w:rsid w:val="00CE38C1"/>
    <w:rsid w:val="00CE3A15"/>
    <w:rsid w:val="00CE3B22"/>
    <w:rsid w:val="00CE3BB1"/>
    <w:rsid w:val="00CE3DC9"/>
    <w:rsid w:val="00CE4086"/>
    <w:rsid w:val="00CE41DF"/>
    <w:rsid w:val="00CE43D9"/>
    <w:rsid w:val="00CE43F1"/>
    <w:rsid w:val="00CE457D"/>
    <w:rsid w:val="00CE4A9A"/>
    <w:rsid w:val="00CE4C87"/>
    <w:rsid w:val="00CE4F7E"/>
    <w:rsid w:val="00CE500B"/>
    <w:rsid w:val="00CE5131"/>
    <w:rsid w:val="00CE51F6"/>
    <w:rsid w:val="00CE5986"/>
    <w:rsid w:val="00CE64FA"/>
    <w:rsid w:val="00CE6502"/>
    <w:rsid w:val="00CE6CE4"/>
    <w:rsid w:val="00CE712B"/>
    <w:rsid w:val="00CE7864"/>
    <w:rsid w:val="00CE79D4"/>
    <w:rsid w:val="00CE7EA6"/>
    <w:rsid w:val="00CE7F9F"/>
    <w:rsid w:val="00CF013D"/>
    <w:rsid w:val="00CF02A4"/>
    <w:rsid w:val="00CF0A4D"/>
    <w:rsid w:val="00CF1002"/>
    <w:rsid w:val="00CF1179"/>
    <w:rsid w:val="00CF14C7"/>
    <w:rsid w:val="00CF14DA"/>
    <w:rsid w:val="00CF159A"/>
    <w:rsid w:val="00CF159D"/>
    <w:rsid w:val="00CF15F8"/>
    <w:rsid w:val="00CF17CD"/>
    <w:rsid w:val="00CF17EE"/>
    <w:rsid w:val="00CF1C7F"/>
    <w:rsid w:val="00CF1FD1"/>
    <w:rsid w:val="00CF202A"/>
    <w:rsid w:val="00CF205A"/>
    <w:rsid w:val="00CF243B"/>
    <w:rsid w:val="00CF2610"/>
    <w:rsid w:val="00CF27FD"/>
    <w:rsid w:val="00CF2C3E"/>
    <w:rsid w:val="00CF3386"/>
    <w:rsid w:val="00CF3A29"/>
    <w:rsid w:val="00CF3CF5"/>
    <w:rsid w:val="00CF3DA1"/>
    <w:rsid w:val="00CF4111"/>
    <w:rsid w:val="00CF426B"/>
    <w:rsid w:val="00CF444F"/>
    <w:rsid w:val="00CF44E2"/>
    <w:rsid w:val="00CF46FC"/>
    <w:rsid w:val="00CF4780"/>
    <w:rsid w:val="00CF47F1"/>
    <w:rsid w:val="00CF4A98"/>
    <w:rsid w:val="00CF4E23"/>
    <w:rsid w:val="00CF4EB8"/>
    <w:rsid w:val="00CF4F8F"/>
    <w:rsid w:val="00CF55CF"/>
    <w:rsid w:val="00CF5856"/>
    <w:rsid w:val="00CF58FE"/>
    <w:rsid w:val="00CF590D"/>
    <w:rsid w:val="00CF5BBD"/>
    <w:rsid w:val="00CF62DE"/>
    <w:rsid w:val="00CF70D9"/>
    <w:rsid w:val="00CF71C6"/>
    <w:rsid w:val="00CF7735"/>
    <w:rsid w:val="00CF7840"/>
    <w:rsid w:val="00CF7A56"/>
    <w:rsid w:val="00CF7A5E"/>
    <w:rsid w:val="00CF7E4A"/>
    <w:rsid w:val="00CF7E79"/>
    <w:rsid w:val="00D00025"/>
    <w:rsid w:val="00D00195"/>
    <w:rsid w:val="00D004CC"/>
    <w:rsid w:val="00D00607"/>
    <w:rsid w:val="00D0099E"/>
    <w:rsid w:val="00D00C03"/>
    <w:rsid w:val="00D00D37"/>
    <w:rsid w:val="00D01001"/>
    <w:rsid w:val="00D010E8"/>
    <w:rsid w:val="00D01745"/>
    <w:rsid w:val="00D018CF"/>
    <w:rsid w:val="00D01A84"/>
    <w:rsid w:val="00D01C9F"/>
    <w:rsid w:val="00D01CE1"/>
    <w:rsid w:val="00D02103"/>
    <w:rsid w:val="00D0284E"/>
    <w:rsid w:val="00D02E19"/>
    <w:rsid w:val="00D02FA1"/>
    <w:rsid w:val="00D034EC"/>
    <w:rsid w:val="00D037FD"/>
    <w:rsid w:val="00D03866"/>
    <w:rsid w:val="00D03AE0"/>
    <w:rsid w:val="00D041FD"/>
    <w:rsid w:val="00D0436B"/>
    <w:rsid w:val="00D0446F"/>
    <w:rsid w:val="00D04495"/>
    <w:rsid w:val="00D0450D"/>
    <w:rsid w:val="00D04D78"/>
    <w:rsid w:val="00D059F6"/>
    <w:rsid w:val="00D05AA5"/>
    <w:rsid w:val="00D05AB2"/>
    <w:rsid w:val="00D05EC8"/>
    <w:rsid w:val="00D05FC4"/>
    <w:rsid w:val="00D06010"/>
    <w:rsid w:val="00D063E9"/>
    <w:rsid w:val="00D06579"/>
    <w:rsid w:val="00D06A61"/>
    <w:rsid w:val="00D07948"/>
    <w:rsid w:val="00D0799F"/>
    <w:rsid w:val="00D07C7A"/>
    <w:rsid w:val="00D1006A"/>
    <w:rsid w:val="00D10197"/>
    <w:rsid w:val="00D102E9"/>
    <w:rsid w:val="00D1087B"/>
    <w:rsid w:val="00D108A2"/>
    <w:rsid w:val="00D10A72"/>
    <w:rsid w:val="00D119DD"/>
    <w:rsid w:val="00D119F5"/>
    <w:rsid w:val="00D11A45"/>
    <w:rsid w:val="00D122A2"/>
    <w:rsid w:val="00D125EB"/>
    <w:rsid w:val="00D12DCB"/>
    <w:rsid w:val="00D13226"/>
    <w:rsid w:val="00D1327D"/>
    <w:rsid w:val="00D1341C"/>
    <w:rsid w:val="00D136F8"/>
    <w:rsid w:val="00D13BCE"/>
    <w:rsid w:val="00D1401B"/>
    <w:rsid w:val="00D142E6"/>
    <w:rsid w:val="00D142F0"/>
    <w:rsid w:val="00D1436C"/>
    <w:rsid w:val="00D147FA"/>
    <w:rsid w:val="00D149C1"/>
    <w:rsid w:val="00D14DB1"/>
    <w:rsid w:val="00D155C5"/>
    <w:rsid w:val="00D157FA"/>
    <w:rsid w:val="00D158B5"/>
    <w:rsid w:val="00D15C64"/>
    <w:rsid w:val="00D15E0F"/>
    <w:rsid w:val="00D16500"/>
    <w:rsid w:val="00D16618"/>
    <w:rsid w:val="00D16AD5"/>
    <w:rsid w:val="00D171D9"/>
    <w:rsid w:val="00D171EF"/>
    <w:rsid w:val="00D1731C"/>
    <w:rsid w:val="00D1749C"/>
    <w:rsid w:val="00D1758D"/>
    <w:rsid w:val="00D178EB"/>
    <w:rsid w:val="00D17BA3"/>
    <w:rsid w:val="00D17C9D"/>
    <w:rsid w:val="00D17CAE"/>
    <w:rsid w:val="00D17F20"/>
    <w:rsid w:val="00D200B4"/>
    <w:rsid w:val="00D20312"/>
    <w:rsid w:val="00D206DD"/>
    <w:rsid w:val="00D21103"/>
    <w:rsid w:val="00D213F1"/>
    <w:rsid w:val="00D21661"/>
    <w:rsid w:val="00D21832"/>
    <w:rsid w:val="00D21B1A"/>
    <w:rsid w:val="00D21EB0"/>
    <w:rsid w:val="00D22236"/>
    <w:rsid w:val="00D223E6"/>
    <w:rsid w:val="00D226E8"/>
    <w:rsid w:val="00D23071"/>
    <w:rsid w:val="00D23142"/>
    <w:rsid w:val="00D2343B"/>
    <w:rsid w:val="00D23CDD"/>
    <w:rsid w:val="00D23CF6"/>
    <w:rsid w:val="00D23E4E"/>
    <w:rsid w:val="00D24127"/>
    <w:rsid w:val="00D241FE"/>
    <w:rsid w:val="00D24AD2"/>
    <w:rsid w:val="00D24DF5"/>
    <w:rsid w:val="00D25124"/>
    <w:rsid w:val="00D25148"/>
    <w:rsid w:val="00D26065"/>
    <w:rsid w:val="00D262E9"/>
    <w:rsid w:val="00D264B5"/>
    <w:rsid w:val="00D2654F"/>
    <w:rsid w:val="00D26787"/>
    <w:rsid w:val="00D267A1"/>
    <w:rsid w:val="00D26951"/>
    <w:rsid w:val="00D26AB8"/>
    <w:rsid w:val="00D26D05"/>
    <w:rsid w:val="00D26EA5"/>
    <w:rsid w:val="00D26F44"/>
    <w:rsid w:val="00D2705A"/>
    <w:rsid w:val="00D272D9"/>
    <w:rsid w:val="00D274DE"/>
    <w:rsid w:val="00D27C63"/>
    <w:rsid w:val="00D30212"/>
    <w:rsid w:val="00D30872"/>
    <w:rsid w:val="00D31303"/>
    <w:rsid w:val="00D31916"/>
    <w:rsid w:val="00D31B16"/>
    <w:rsid w:val="00D31C8C"/>
    <w:rsid w:val="00D31D3E"/>
    <w:rsid w:val="00D32156"/>
    <w:rsid w:val="00D32A5B"/>
    <w:rsid w:val="00D32A6E"/>
    <w:rsid w:val="00D32D9C"/>
    <w:rsid w:val="00D33265"/>
    <w:rsid w:val="00D33747"/>
    <w:rsid w:val="00D33B63"/>
    <w:rsid w:val="00D33F69"/>
    <w:rsid w:val="00D3420B"/>
    <w:rsid w:val="00D343A3"/>
    <w:rsid w:val="00D343E3"/>
    <w:rsid w:val="00D34589"/>
    <w:rsid w:val="00D347EB"/>
    <w:rsid w:val="00D34A1D"/>
    <w:rsid w:val="00D34A53"/>
    <w:rsid w:val="00D34C4D"/>
    <w:rsid w:val="00D3529D"/>
    <w:rsid w:val="00D354DB"/>
    <w:rsid w:val="00D35D3E"/>
    <w:rsid w:val="00D35DB7"/>
    <w:rsid w:val="00D3617A"/>
    <w:rsid w:val="00D3624F"/>
    <w:rsid w:val="00D363DA"/>
    <w:rsid w:val="00D36CEE"/>
    <w:rsid w:val="00D36DFC"/>
    <w:rsid w:val="00D36E9A"/>
    <w:rsid w:val="00D37051"/>
    <w:rsid w:val="00D37675"/>
    <w:rsid w:val="00D377E9"/>
    <w:rsid w:val="00D378EA"/>
    <w:rsid w:val="00D37E6C"/>
    <w:rsid w:val="00D37FB1"/>
    <w:rsid w:val="00D402B2"/>
    <w:rsid w:val="00D40545"/>
    <w:rsid w:val="00D40587"/>
    <w:rsid w:val="00D40736"/>
    <w:rsid w:val="00D409F4"/>
    <w:rsid w:val="00D40E9B"/>
    <w:rsid w:val="00D4104F"/>
    <w:rsid w:val="00D41058"/>
    <w:rsid w:val="00D4131A"/>
    <w:rsid w:val="00D41608"/>
    <w:rsid w:val="00D41649"/>
    <w:rsid w:val="00D41753"/>
    <w:rsid w:val="00D41756"/>
    <w:rsid w:val="00D41BB0"/>
    <w:rsid w:val="00D42390"/>
    <w:rsid w:val="00D4290A"/>
    <w:rsid w:val="00D42CEF"/>
    <w:rsid w:val="00D43099"/>
    <w:rsid w:val="00D434C0"/>
    <w:rsid w:val="00D43D01"/>
    <w:rsid w:val="00D43DBB"/>
    <w:rsid w:val="00D44206"/>
    <w:rsid w:val="00D445B7"/>
    <w:rsid w:val="00D44873"/>
    <w:rsid w:val="00D448AE"/>
    <w:rsid w:val="00D44D5A"/>
    <w:rsid w:val="00D458CA"/>
    <w:rsid w:val="00D458E6"/>
    <w:rsid w:val="00D45A87"/>
    <w:rsid w:val="00D45A91"/>
    <w:rsid w:val="00D45EC7"/>
    <w:rsid w:val="00D45F00"/>
    <w:rsid w:val="00D45F01"/>
    <w:rsid w:val="00D45FB8"/>
    <w:rsid w:val="00D463B1"/>
    <w:rsid w:val="00D467C0"/>
    <w:rsid w:val="00D46A1A"/>
    <w:rsid w:val="00D474AE"/>
    <w:rsid w:val="00D47681"/>
    <w:rsid w:val="00D47747"/>
    <w:rsid w:val="00D477D1"/>
    <w:rsid w:val="00D47F1B"/>
    <w:rsid w:val="00D50378"/>
    <w:rsid w:val="00D504F0"/>
    <w:rsid w:val="00D50862"/>
    <w:rsid w:val="00D50AB0"/>
    <w:rsid w:val="00D50AB5"/>
    <w:rsid w:val="00D50BE3"/>
    <w:rsid w:val="00D50DD9"/>
    <w:rsid w:val="00D50F6C"/>
    <w:rsid w:val="00D5104D"/>
    <w:rsid w:val="00D51081"/>
    <w:rsid w:val="00D510DD"/>
    <w:rsid w:val="00D514EF"/>
    <w:rsid w:val="00D51634"/>
    <w:rsid w:val="00D51920"/>
    <w:rsid w:val="00D51D39"/>
    <w:rsid w:val="00D51E0D"/>
    <w:rsid w:val="00D51FFB"/>
    <w:rsid w:val="00D52056"/>
    <w:rsid w:val="00D52089"/>
    <w:rsid w:val="00D524AD"/>
    <w:rsid w:val="00D524B5"/>
    <w:rsid w:val="00D52602"/>
    <w:rsid w:val="00D52746"/>
    <w:rsid w:val="00D529DA"/>
    <w:rsid w:val="00D52A23"/>
    <w:rsid w:val="00D52B0A"/>
    <w:rsid w:val="00D52D05"/>
    <w:rsid w:val="00D534C1"/>
    <w:rsid w:val="00D53A25"/>
    <w:rsid w:val="00D53A53"/>
    <w:rsid w:val="00D53C47"/>
    <w:rsid w:val="00D53E5B"/>
    <w:rsid w:val="00D53F34"/>
    <w:rsid w:val="00D541C2"/>
    <w:rsid w:val="00D54314"/>
    <w:rsid w:val="00D54324"/>
    <w:rsid w:val="00D5436F"/>
    <w:rsid w:val="00D5452A"/>
    <w:rsid w:val="00D54685"/>
    <w:rsid w:val="00D546C0"/>
    <w:rsid w:val="00D5470F"/>
    <w:rsid w:val="00D54F59"/>
    <w:rsid w:val="00D550F5"/>
    <w:rsid w:val="00D5550A"/>
    <w:rsid w:val="00D55A4E"/>
    <w:rsid w:val="00D55BBE"/>
    <w:rsid w:val="00D55EF1"/>
    <w:rsid w:val="00D56F6C"/>
    <w:rsid w:val="00D57EA1"/>
    <w:rsid w:val="00D602CB"/>
    <w:rsid w:val="00D60860"/>
    <w:rsid w:val="00D60CDC"/>
    <w:rsid w:val="00D60EBE"/>
    <w:rsid w:val="00D611CE"/>
    <w:rsid w:val="00D61216"/>
    <w:rsid w:val="00D61232"/>
    <w:rsid w:val="00D61559"/>
    <w:rsid w:val="00D61D0B"/>
    <w:rsid w:val="00D61EF8"/>
    <w:rsid w:val="00D62210"/>
    <w:rsid w:val="00D62240"/>
    <w:rsid w:val="00D6236F"/>
    <w:rsid w:val="00D62957"/>
    <w:rsid w:val="00D62A8D"/>
    <w:rsid w:val="00D62B64"/>
    <w:rsid w:val="00D62E4C"/>
    <w:rsid w:val="00D6315E"/>
    <w:rsid w:val="00D63162"/>
    <w:rsid w:val="00D6386A"/>
    <w:rsid w:val="00D63B25"/>
    <w:rsid w:val="00D63C6D"/>
    <w:rsid w:val="00D63CC1"/>
    <w:rsid w:val="00D63EB7"/>
    <w:rsid w:val="00D64398"/>
    <w:rsid w:val="00D643FF"/>
    <w:rsid w:val="00D648DC"/>
    <w:rsid w:val="00D64957"/>
    <w:rsid w:val="00D64A1C"/>
    <w:rsid w:val="00D64ECB"/>
    <w:rsid w:val="00D64FB3"/>
    <w:rsid w:val="00D65056"/>
    <w:rsid w:val="00D65282"/>
    <w:rsid w:val="00D65789"/>
    <w:rsid w:val="00D65913"/>
    <w:rsid w:val="00D65A12"/>
    <w:rsid w:val="00D65C9D"/>
    <w:rsid w:val="00D65F79"/>
    <w:rsid w:val="00D65FFF"/>
    <w:rsid w:val="00D66919"/>
    <w:rsid w:val="00D6698D"/>
    <w:rsid w:val="00D669E2"/>
    <w:rsid w:val="00D66B43"/>
    <w:rsid w:val="00D66BA4"/>
    <w:rsid w:val="00D66C42"/>
    <w:rsid w:val="00D67262"/>
    <w:rsid w:val="00D67400"/>
    <w:rsid w:val="00D6779F"/>
    <w:rsid w:val="00D67853"/>
    <w:rsid w:val="00D678EA"/>
    <w:rsid w:val="00D67A81"/>
    <w:rsid w:val="00D67F79"/>
    <w:rsid w:val="00D67F7A"/>
    <w:rsid w:val="00D70087"/>
    <w:rsid w:val="00D701E9"/>
    <w:rsid w:val="00D704B4"/>
    <w:rsid w:val="00D705BC"/>
    <w:rsid w:val="00D7079E"/>
    <w:rsid w:val="00D707FE"/>
    <w:rsid w:val="00D7092C"/>
    <w:rsid w:val="00D70A45"/>
    <w:rsid w:val="00D70AE5"/>
    <w:rsid w:val="00D70CA8"/>
    <w:rsid w:val="00D70D02"/>
    <w:rsid w:val="00D71813"/>
    <w:rsid w:val="00D72074"/>
    <w:rsid w:val="00D72280"/>
    <w:rsid w:val="00D727DF"/>
    <w:rsid w:val="00D72919"/>
    <w:rsid w:val="00D7309E"/>
    <w:rsid w:val="00D733A8"/>
    <w:rsid w:val="00D7362D"/>
    <w:rsid w:val="00D7394D"/>
    <w:rsid w:val="00D73C12"/>
    <w:rsid w:val="00D73DD1"/>
    <w:rsid w:val="00D74621"/>
    <w:rsid w:val="00D7464B"/>
    <w:rsid w:val="00D747D0"/>
    <w:rsid w:val="00D74B4A"/>
    <w:rsid w:val="00D74F8B"/>
    <w:rsid w:val="00D75484"/>
    <w:rsid w:val="00D7560D"/>
    <w:rsid w:val="00D75698"/>
    <w:rsid w:val="00D75732"/>
    <w:rsid w:val="00D75BE4"/>
    <w:rsid w:val="00D75BEC"/>
    <w:rsid w:val="00D75EAE"/>
    <w:rsid w:val="00D75EF6"/>
    <w:rsid w:val="00D760C3"/>
    <w:rsid w:val="00D76391"/>
    <w:rsid w:val="00D767D3"/>
    <w:rsid w:val="00D76ABA"/>
    <w:rsid w:val="00D76C22"/>
    <w:rsid w:val="00D76C92"/>
    <w:rsid w:val="00D76CA9"/>
    <w:rsid w:val="00D77290"/>
    <w:rsid w:val="00D77A71"/>
    <w:rsid w:val="00D77F2D"/>
    <w:rsid w:val="00D80025"/>
    <w:rsid w:val="00D800C4"/>
    <w:rsid w:val="00D80225"/>
    <w:rsid w:val="00D807C2"/>
    <w:rsid w:val="00D80949"/>
    <w:rsid w:val="00D8097C"/>
    <w:rsid w:val="00D80A40"/>
    <w:rsid w:val="00D80CFA"/>
    <w:rsid w:val="00D81668"/>
    <w:rsid w:val="00D81922"/>
    <w:rsid w:val="00D81A52"/>
    <w:rsid w:val="00D81DC6"/>
    <w:rsid w:val="00D81EB8"/>
    <w:rsid w:val="00D82002"/>
    <w:rsid w:val="00D8245E"/>
    <w:rsid w:val="00D8251A"/>
    <w:rsid w:val="00D82D70"/>
    <w:rsid w:val="00D82E43"/>
    <w:rsid w:val="00D82F3F"/>
    <w:rsid w:val="00D83271"/>
    <w:rsid w:val="00D83389"/>
    <w:rsid w:val="00D83412"/>
    <w:rsid w:val="00D836A7"/>
    <w:rsid w:val="00D837CB"/>
    <w:rsid w:val="00D83ADD"/>
    <w:rsid w:val="00D84213"/>
    <w:rsid w:val="00D843F0"/>
    <w:rsid w:val="00D8444B"/>
    <w:rsid w:val="00D844AD"/>
    <w:rsid w:val="00D84996"/>
    <w:rsid w:val="00D84D75"/>
    <w:rsid w:val="00D85371"/>
    <w:rsid w:val="00D8554F"/>
    <w:rsid w:val="00D85A0E"/>
    <w:rsid w:val="00D85F11"/>
    <w:rsid w:val="00D860A1"/>
    <w:rsid w:val="00D861A0"/>
    <w:rsid w:val="00D861BE"/>
    <w:rsid w:val="00D86378"/>
    <w:rsid w:val="00D8651F"/>
    <w:rsid w:val="00D86567"/>
    <w:rsid w:val="00D868AC"/>
    <w:rsid w:val="00D86C14"/>
    <w:rsid w:val="00D86E2A"/>
    <w:rsid w:val="00D8707E"/>
    <w:rsid w:val="00D879AA"/>
    <w:rsid w:val="00D90510"/>
    <w:rsid w:val="00D90AC8"/>
    <w:rsid w:val="00D90FA9"/>
    <w:rsid w:val="00D913FC"/>
    <w:rsid w:val="00D91762"/>
    <w:rsid w:val="00D919D8"/>
    <w:rsid w:val="00D91AD0"/>
    <w:rsid w:val="00D91AF0"/>
    <w:rsid w:val="00D91C6A"/>
    <w:rsid w:val="00D92C72"/>
    <w:rsid w:val="00D93019"/>
    <w:rsid w:val="00D93573"/>
    <w:rsid w:val="00D936ED"/>
    <w:rsid w:val="00D93D3C"/>
    <w:rsid w:val="00D94518"/>
    <w:rsid w:val="00D94565"/>
    <w:rsid w:val="00D94580"/>
    <w:rsid w:val="00D94779"/>
    <w:rsid w:val="00D94DBC"/>
    <w:rsid w:val="00D94DE1"/>
    <w:rsid w:val="00D951BC"/>
    <w:rsid w:val="00D9551C"/>
    <w:rsid w:val="00D955A4"/>
    <w:rsid w:val="00D959E0"/>
    <w:rsid w:val="00D95A40"/>
    <w:rsid w:val="00D95B99"/>
    <w:rsid w:val="00D95F42"/>
    <w:rsid w:val="00D96081"/>
    <w:rsid w:val="00D962E8"/>
    <w:rsid w:val="00D96B36"/>
    <w:rsid w:val="00D977C5"/>
    <w:rsid w:val="00D9798C"/>
    <w:rsid w:val="00D97D01"/>
    <w:rsid w:val="00D97E05"/>
    <w:rsid w:val="00D97F5E"/>
    <w:rsid w:val="00DA038F"/>
    <w:rsid w:val="00DA039C"/>
    <w:rsid w:val="00DA0498"/>
    <w:rsid w:val="00DA06A0"/>
    <w:rsid w:val="00DA06B4"/>
    <w:rsid w:val="00DA0BC3"/>
    <w:rsid w:val="00DA0D0B"/>
    <w:rsid w:val="00DA0D61"/>
    <w:rsid w:val="00DA107E"/>
    <w:rsid w:val="00DA11DC"/>
    <w:rsid w:val="00DA151C"/>
    <w:rsid w:val="00DA1598"/>
    <w:rsid w:val="00DA1D43"/>
    <w:rsid w:val="00DA1E19"/>
    <w:rsid w:val="00DA26C4"/>
    <w:rsid w:val="00DA288B"/>
    <w:rsid w:val="00DA29DF"/>
    <w:rsid w:val="00DA2F01"/>
    <w:rsid w:val="00DA3012"/>
    <w:rsid w:val="00DA302A"/>
    <w:rsid w:val="00DA3364"/>
    <w:rsid w:val="00DA3684"/>
    <w:rsid w:val="00DA40B0"/>
    <w:rsid w:val="00DA4306"/>
    <w:rsid w:val="00DA44DB"/>
    <w:rsid w:val="00DA451C"/>
    <w:rsid w:val="00DA457E"/>
    <w:rsid w:val="00DA47A6"/>
    <w:rsid w:val="00DA4C6C"/>
    <w:rsid w:val="00DA4E73"/>
    <w:rsid w:val="00DA5058"/>
    <w:rsid w:val="00DA5135"/>
    <w:rsid w:val="00DA5138"/>
    <w:rsid w:val="00DA51AC"/>
    <w:rsid w:val="00DA5287"/>
    <w:rsid w:val="00DA5430"/>
    <w:rsid w:val="00DA57C8"/>
    <w:rsid w:val="00DA5860"/>
    <w:rsid w:val="00DA5B9B"/>
    <w:rsid w:val="00DA5BAA"/>
    <w:rsid w:val="00DA5EAF"/>
    <w:rsid w:val="00DA669A"/>
    <w:rsid w:val="00DA67DE"/>
    <w:rsid w:val="00DA6856"/>
    <w:rsid w:val="00DA6BA1"/>
    <w:rsid w:val="00DA6DD0"/>
    <w:rsid w:val="00DA72E8"/>
    <w:rsid w:val="00DA7601"/>
    <w:rsid w:val="00DA763C"/>
    <w:rsid w:val="00DA7A32"/>
    <w:rsid w:val="00DA7D1F"/>
    <w:rsid w:val="00DA7D9C"/>
    <w:rsid w:val="00DB01B9"/>
    <w:rsid w:val="00DB04FF"/>
    <w:rsid w:val="00DB057C"/>
    <w:rsid w:val="00DB06C8"/>
    <w:rsid w:val="00DB0976"/>
    <w:rsid w:val="00DB0A78"/>
    <w:rsid w:val="00DB0E32"/>
    <w:rsid w:val="00DB1042"/>
    <w:rsid w:val="00DB13C5"/>
    <w:rsid w:val="00DB14C9"/>
    <w:rsid w:val="00DB165D"/>
    <w:rsid w:val="00DB1780"/>
    <w:rsid w:val="00DB1B04"/>
    <w:rsid w:val="00DB1C17"/>
    <w:rsid w:val="00DB1C89"/>
    <w:rsid w:val="00DB1EE9"/>
    <w:rsid w:val="00DB2D07"/>
    <w:rsid w:val="00DB32C8"/>
    <w:rsid w:val="00DB34F6"/>
    <w:rsid w:val="00DB399F"/>
    <w:rsid w:val="00DB3CB1"/>
    <w:rsid w:val="00DB42BF"/>
    <w:rsid w:val="00DB443B"/>
    <w:rsid w:val="00DB45C0"/>
    <w:rsid w:val="00DB45D1"/>
    <w:rsid w:val="00DB493A"/>
    <w:rsid w:val="00DB4DD9"/>
    <w:rsid w:val="00DB4E4D"/>
    <w:rsid w:val="00DB4FD6"/>
    <w:rsid w:val="00DB50A7"/>
    <w:rsid w:val="00DB54C2"/>
    <w:rsid w:val="00DB5746"/>
    <w:rsid w:val="00DB587C"/>
    <w:rsid w:val="00DB5ADB"/>
    <w:rsid w:val="00DB600C"/>
    <w:rsid w:val="00DB62BD"/>
    <w:rsid w:val="00DB6362"/>
    <w:rsid w:val="00DB6401"/>
    <w:rsid w:val="00DB67EA"/>
    <w:rsid w:val="00DB698E"/>
    <w:rsid w:val="00DB70CE"/>
    <w:rsid w:val="00DB7590"/>
    <w:rsid w:val="00DB75DC"/>
    <w:rsid w:val="00DB769F"/>
    <w:rsid w:val="00DB7899"/>
    <w:rsid w:val="00DB7C34"/>
    <w:rsid w:val="00DC00C6"/>
    <w:rsid w:val="00DC0672"/>
    <w:rsid w:val="00DC06C9"/>
    <w:rsid w:val="00DC085A"/>
    <w:rsid w:val="00DC0868"/>
    <w:rsid w:val="00DC11BF"/>
    <w:rsid w:val="00DC142A"/>
    <w:rsid w:val="00DC151A"/>
    <w:rsid w:val="00DC1756"/>
    <w:rsid w:val="00DC1C1B"/>
    <w:rsid w:val="00DC1C52"/>
    <w:rsid w:val="00DC1D69"/>
    <w:rsid w:val="00DC2043"/>
    <w:rsid w:val="00DC2190"/>
    <w:rsid w:val="00DC23FE"/>
    <w:rsid w:val="00DC263D"/>
    <w:rsid w:val="00DC35D0"/>
    <w:rsid w:val="00DC3600"/>
    <w:rsid w:val="00DC362D"/>
    <w:rsid w:val="00DC3A86"/>
    <w:rsid w:val="00DC4281"/>
    <w:rsid w:val="00DC4312"/>
    <w:rsid w:val="00DC4538"/>
    <w:rsid w:val="00DC4A15"/>
    <w:rsid w:val="00DC4D0F"/>
    <w:rsid w:val="00DC512A"/>
    <w:rsid w:val="00DC5839"/>
    <w:rsid w:val="00DC593E"/>
    <w:rsid w:val="00DC599B"/>
    <w:rsid w:val="00DC5A13"/>
    <w:rsid w:val="00DC5ABA"/>
    <w:rsid w:val="00DC5C57"/>
    <w:rsid w:val="00DC5D22"/>
    <w:rsid w:val="00DC6301"/>
    <w:rsid w:val="00DC67CD"/>
    <w:rsid w:val="00DC6B54"/>
    <w:rsid w:val="00DC6D3A"/>
    <w:rsid w:val="00DC6F6C"/>
    <w:rsid w:val="00DC758D"/>
    <w:rsid w:val="00DC760F"/>
    <w:rsid w:val="00DC7950"/>
    <w:rsid w:val="00DC7C7D"/>
    <w:rsid w:val="00DD01B0"/>
    <w:rsid w:val="00DD0535"/>
    <w:rsid w:val="00DD0840"/>
    <w:rsid w:val="00DD0EA5"/>
    <w:rsid w:val="00DD0F6D"/>
    <w:rsid w:val="00DD0F9B"/>
    <w:rsid w:val="00DD1482"/>
    <w:rsid w:val="00DD148F"/>
    <w:rsid w:val="00DD1ACA"/>
    <w:rsid w:val="00DD20E8"/>
    <w:rsid w:val="00DD22BE"/>
    <w:rsid w:val="00DD2B2B"/>
    <w:rsid w:val="00DD2B5E"/>
    <w:rsid w:val="00DD2CF6"/>
    <w:rsid w:val="00DD2D93"/>
    <w:rsid w:val="00DD2F21"/>
    <w:rsid w:val="00DD314A"/>
    <w:rsid w:val="00DD31CF"/>
    <w:rsid w:val="00DD35DC"/>
    <w:rsid w:val="00DD36FB"/>
    <w:rsid w:val="00DD396C"/>
    <w:rsid w:val="00DD39D0"/>
    <w:rsid w:val="00DD3A4A"/>
    <w:rsid w:val="00DD3A9A"/>
    <w:rsid w:val="00DD3DAA"/>
    <w:rsid w:val="00DD407D"/>
    <w:rsid w:val="00DD40BC"/>
    <w:rsid w:val="00DD46E8"/>
    <w:rsid w:val="00DD47AD"/>
    <w:rsid w:val="00DD4889"/>
    <w:rsid w:val="00DD4C40"/>
    <w:rsid w:val="00DD4D0E"/>
    <w:rsid w:val="00DD4EBD"/>
    <w:rsid w:val="00DD53EA"/>
    <w:rsid w:val="00DD54CA"/>
    <w:rsid w:val="00DD5811"/>
    <w:rsid w:val="00DD5874"/>
    <w:rsid w:val="00DD66B0"/>
    <w:rsid w:val="00DD6DD5"/>
    <w:rsid w:val="00DD6FE5"/>
    <w:rsid w:val="00DD72B6"/>
    <w:rsid w:val="00DD73F8"/>
    <w:rsid w:val="00DD777E"/>
    <w:rsid w:val="00DD799C"/>
    <w:rsid w:val="00DD7EBF"/>
    <w:rsid w:val="00DD7FFC"/>
    <w:rsid w:val="00DE0269"/>
    <w:rsid w:val="00DE0D18"/>
    <w:rsid w:val="00DE0DF2"/>
    <w:rsid w:val="00DE155D"/>
    <w:rsid w:val="00DE1CE5"/>
    <w:rsid w:val="00DE1E9D"/>
    <w:rsid w:val="00DE1EB4"/>
    <w:rsid w:val="00DE1F5A"/>
    <w:rsid w:val="00DE2011"/>
    <w:rsid w:val="00DE2744"/>
    <w:rsid w:val="00DE2871"/>
    <w:rsid w:val="00DE290A"/>
    <w:rsid w:val="00DE2D92"/>
    <w:rsid w:val="00DE2DC8"/>
    <w:rsid w:val="00DE2F35"/>
    <w:rsid w:val="00DE35A8"/>
    <w:rsid w:val="00DE3B6B"/>
    <w:rsid w:val="00DE3C0A"/>
    <w:rsid w:val="00DE3CA4"/>
    <w:rsid w:val="00DE3E08"/>
    <w:rsid w:val="00DE3E29"/>
    <w:rsid w:val="00DE3E91"/>
    <w:rsid w:val="00DE4321"/>
    <w:rsid w:val="00DE4828"/>
    <w:rsid w:val="00DE48A0"/>
    <w:rsid w:val="00DE4A19"/>
    <w:rsid w:val="00DE4BF3"/>
    <w:rsid w:val="00DE54F2"/>
    <w:rsid w:val="00DE55BB"/>
    <w:rsid w:val="00DE55E5"/>
    <w:rsid w:val="00DE56C3"/>
    <w:rsid w:val="00DE57D1"/>
    <w:rsid w:val="00DE58E2"/>
    <w:rsid w:val="00DE5AD0"/>
    <w:rsid w:val="00DE5F3D"/>
    <w:rsid w:val="00DE6037"/>
    <w:rsid w:val="00DE6179"/>
    <w:rsid w:val="00DE6238"/>
    <w:rsid w:val="00DE641E"/>
    <w:rsid w:val="00DE6A17"/>
    <w:rsid w:val="00DE6DD2"/>
    <w:rsid w:val="00DE72AC"/>
    <w:rsid w:val="00DE7391"/>
    <w:rsid w:val="00DE73ED"/>
    <w:rsid w:val="00DE745E"/>
    <w:rsid w:val="00DE776E"/>
    <w:rsid w:val="00DE7794"/>
    <w:rsid w:val="00DE7A06"/>
    <w:rsid w:val="00DE7B3D"/>
    <w:rsid w:val="00DF06EA"/>
    <w:rsid w:val="00DF0871"/>
    <w:rsid w:val="00DF0E96"/>
    <w:rsid w:val="00DF0EBF"/>
    <w:rsid w:val="00DF12D6"/>
    <w:rsid w:val="00DF1354"/>
    <w:rsid w:val="00DF1505"/>
    <w:rsid w:val="00DF1885"/>
    <w:rsid w:val="00DF1D9F"/>
    <w:rsid w:val="00DF21D3"/>
    <w:rsid w:val="00DF256E"/>
    <w:rsid w:val="00DF2D0A"/>
    <w:rsid w:val="00DF2D56"/>
    <w:rsid w:val="00DF32E9"/>
    <w:rsid w:val="00DF343B"/>
    <w:rsid w:val="00DF355A"/>
    <w:rsid w:val="00DF35A0"/>
    <w:rsid w:val="00DF361C"/>
    <w:rsid w:val="00DF38B1"/>
    <w:rsid w:val="00DF4552"/>
    <w:rsid w:val="00DF4598"/>
    <w:rsid w:val="00DF4674"/>
    <w:rsid w:val="00DF46C8"/>
    <w:rsid w:val="00DF47D9"/>
    <w:rsid w:val="00DF4DBB"/>
    <w:rsid w:val="00DF4F3C"/>
    <w:rsid w:val="00DF5650"/>
    <w:rsid w:val="00DF5762"/>
    <w:rsid w:val="00DF5891"/>
    <w:rsid w:val="00DF5933"/>
    <w:rsid w:val="00DF5C92"/>
    <w:rsid w:val="00DF5E1A"/>
    <w:rsid w:val="00DF6B58"/>
    <w:rsid w:val="00DF6E06"/>
    <w:rsid w:val="00DF70D1"/>
    <w:rsid w:val="00DF71B2"/>
    <w:rsid w:val="00DF7508"/>
    <w:rsid w:val="00DF78F7"/>
    <w:rsid w:val="00DF7AF9"/>
    <w:rsid w:val="00DF7E74"/>
    <w:rsid w:val="00DF7EAC"/>
    <w:rsid w:val="00DF7FC7"/>
    <w:rsid w:val="00E0065B"/>
    <w:rsid w:val="00E007D7"/>
    <w:rsid w:val="00E00966"/>
    <w:rsid w:val="00E00A37"/>
    <w:rsid w:val="00E00D18"/>
    <w:rsid w:val="00E00D1C"/>
    <w:rsid w:val="00E00D78"/>
    <w:rsid w:val="00E011A4"/>
    <w:rsid w:val="00E011CF"/>
    <w:rsid w:val="00E0137E"/>
    <w:rsid w:val="00E013B4"/>
    <w:rsid w:val="00E0157F"/>
    <w:rsid w:val="00E01C69"/>
    <w:rsid w:val="00E01EBF"/>
    <w:rsid w:val="00E01F18"/>
    <w:rsid w:val="00E021FE"/>
    <w:rsid w:val="00E02210"/>
    <w:rsid w:val="00E022F7"/>
    <w:rsid w:val="00E02569"/>
    <w:rsid w:val="00E02726"/>
    <w:rsid w:val="00E02833"/>
    <w:rsid w:val="00E02847"/>
    <w:rsid w:val="00E02997"/>
    <w:rsid w:val="00E02D0A"/>
    <w:rsid w:val="00E02F83"/>
    <w:rsid w:val="00E03272"/>
    <w:rsid w:val="00E03635"/>
    <w:rsid w:val="00E039CA"/>
    <w:rsid w:val="00E03A2E"/>
    <w:rsid w:val="00E03B91"/>
    <w:rsid w:val="00E04146"/>
    <w:rsid w:val="00E0436F"/>
    <w:rsid w:val="00E049F3"/>
    <w:rsid w:val="00E04B2D"/>
    <w:rsid w:val="00E04E2F"/>
    <w:rsid w:val="00E04F5B"/>
    <w:rsid w:val="00E05081"/>
    <w:rsid w:val="00E055DD"/>
    <w:rsid w:val="00E05667"/>
    <w:rsid w:val="00E05815"/>
    <w:rsid w:val="00E058B5"/>
    <w:rsid w:val="00E05BC0"/>
    <w:rsid w:val="00E05EC0"/>
    <w:rsid w:val="00E05F33"/>
    <w:rsid w:val="00E0600F"/>
    <w:rsid w:val="00E062FE"/>
    <w:rsid w:val="00E063E0"/>
    <w:rsid w:val="00E06411"/>
    <w:rsid w:val="00E06441"/>
    <w:rsid w:val="00E064CF"/>
    <w:rsid w:val="00E06515"/>
    <w:rsid w:val="00E06C68"/>
    <w:rsid w:val="00E070A0"/>
    <w:rsid w:val="00E07111"/>
    <w:rsid w:val="00E072F4"/>
    <w:rsid w:val="00E0731D"/>
    <w:rsid w:val="00E073DC"/>
    <w:rsid w:val="00E07833"/>
    <w:rsid w:val="00E07974"/>
    <w:rsid w:val="00E0798A"/>
    <w:rsid w:val="00E07AF3"/>
    <w:rsid w:val="00E10428"/>
    <w:rsid w:val="00E109D9"/>
    <w:rsid w:val="00E10A85"/>
    <w:rsid w:val="00E10C76"/>
    <w:rsid w:val="00E11225"/>
    <w:rsid w:val="00E11803"/>
    <w:rsid w:val="00E11913"/>
    <w:rsid w:val="00E11C84"/>
    <w:rsid w:val="00E11E46"/>
    <w:rsid w:val="00E1207E"/>
    <w:rsid w:val="00E120C3"/>
    <w:rsid w:val="00E120E0"/>
    <w:rsid w:val="00E12432"/>
    <w:rsid w:val="00E125AB"/>
    <w:rsid w:val="00E12726"/>
    <w:rsid w:val="00E12BCD"/>
    <w:rsid w:val="00E12C3F"/>
    <w:rsid w:val="00E12DD6"/>
    <w:rsid w:val="00E12E4E"/>
    <w:rsid w:val="00E12E87"/>
    <w:rsid w:val="00E130B5"/>
    <w:rsid w:val="00E133EF"/>
    <w:rsid w:val="00E139B2"/>
    <w:rsid w:val="00E13C51"/>
    <w:rsid w:val="00E13CB2"/>
    <w:rsid w:val="00E13F4B"/>
    <w:rsid w:val="00E13FC4"/>
    <w:rsid w:val="00E1420E"/>
    <w:rsid w:val="00E1426A"/>
    <w:rsid w:val="00E14339"/>
    <w:rsid w:val="00E147A6"/>
    <w:rsid w:val="00E14F6B"/>
    <w:rsid w:val="00E15059"/>
    <w:rsid w:val="00E158AB"/>
    <w:rsid w:val="00E165AB"/>
    <w:rsid w:val="00E16853"/>
    <w:rsid w:val="00E16D3D"/>
    <w:rsid w:val="00E17633"/>
    <w:rsid w:val="00E17F0B"/>
    <w:rsid w:val="00E2048B"/>
    <w:rsid w:val="00E2090C"/>
    <w:rsid w:val="00E20CD9"/>
    <w:rsid w:val="00E20D9A"/>
    <w:rsid w:val="00E2108F"/>
    <w:rsid w:val="00E214ED"/>
    <w:rsid w:val="00E21620"/>
    <w:rsid w:val="00E21AE9"/>
    <w:rsid w:val="00E21CCF"/>
    <w:rsid w:val="00E21E2F"/>
    <w:rsid w:val="00E220EC"/>
    <w:rsid w:val="00E2295C"/>
    <w:rsid w:val="00E22AA8"/>
    <w:rsid w:val="00E231B6"/>
    <w:rsid w:val="00E23D70"/>
    <w:rsid w:val="00E23F39"/>
    <w:rsid w:val="00E2409F"/>
    <w:rsid w:val="00E2442D"/>
    <w:rsid w:val="00E24870"/>
    <w:rsid w:val="00E2497A"/>
    <w:rsid w:val="00E24CAE"/>
    <w:rsid w:val="00E2506C"/>
    <w:rsid w:val="00E253FC"/>
    <w:rsid w:val="00E257DD"/>
    <w:rsid w:val="00E2595C"/>
    <w:rsid w:val="00E25B91"/>
    <w:rsid w:val="00E25DCB"/>
    <w:rsid w:val="00E25DF1"/>
    <w:rsid w:val="00E269B8"/>
    <w:rsid w:val="00E26C71"/>
    <w:rsid w:val="00E26EDC"/>
    <w:rsid w:val="00E27077"/>
    <w:rsid w:val="00E271CA"/>
    <w:rsid w:val="00E27208"/>
    <w:rsid w:val="00E27390"/>
    <w:rsid w:val="00E27B51"/>
    <w:rsid w:val="00E27C0D"/>
    <w:rsid w:val="00E30112"/>
    <w:rsid w:val="00E3066F"/>
    <w:rsid w:val="00E307F1"/>
    <w:rsid w:val="00E3094F"/>
    <w:rsid w:val="00E30DF6"/>
    <w:rsid w:val="00E30EE0"/>
    <w:rsid w:val="00E3110F"/>
    <w:rsid w:val="00E31294"/>
    <w:rsid w:val="00E312F9"/>
    <w:rsid w:val="00E31722"/>
    <w:rsid w:val="00E31A06"/>
    <w:rsid w:val="00E31BEA"/>
    <w:rsid w:val="00E32419"/>
    <w:rsid w:val="00E32B60"/>
    <w:rsid w:val="00E32D6A"/>
    <w:rsid w:val="00E32EAC"/>
    <w:rsid w:val="00E339E4"/>
    <w:rsid w:val="00E33ABC"/>
    <w:rsid w:val="00E33E11"/>
    <w:rsid w:val="00E33EA1"/>
    <w:rsid w:val="00E33FCA"/>
    <w:rsid w:val="00E3401C"/>
    <w:rsid w:val="00E34446"/>
    <w:rsid w:val="00E34573"/>
    <w:rsid w:val="00E345F0"/>
    <w:rsid w:val="00E346B2"/>
    <w:rsid w:val="00E34BDB"/>
    <w:rsid w:val="00E34D1A"/>
    <w:rsid w:val="00E34F86"/>
    <w:rsid w:val="00E353F6"/>
    <w:rsid w:val="00E35540"/>
    <w:rsid w:val="00E35624"/>
    <w:rsid w:val="00E358AD"/>
    <w:rsid w:val="00E358BD"/>
    <w:rsid w:val="00E36010"/>
    <w:rsid w:val="00E366CA"/>
    <w:rsid w:val="00E3678B"/>
    <w:rsid w:val="00E36AF4"/>
    <w:rsid w:val="00E370D9"/>
    <w:rsid w:val="00E37178"/>
    <w:rsid w:val="00E37532"/>
    <w:rsid w:val="00E378A4"/>
    <w:rsid w:val="00E37A9C"/>
    <w:rsid w:val="00E37AF8"/>
    <w:rsid w:val="00E37CA5"/>
    <w:rsid w:val="00E37CAA"/>
    <w:rsid w:val="00E37CAC"/>
    <w:rsid w:val="00E37D04"/>
    <w:rsid w:val="00E4052E"/>
    <w:rsid w:val="00E409CC"/>
    <w:rsid w:val="00E41219"/>
    <w:rsid w:val="00E412D3"/>
    <w:rsid w:val="00E418F4"/>
    <w:rsid w:val="00E41A58"/>
    <w:rsid w:val="00E41B23"/>
    <w:rsid w:val="00E41DCF"/>
    <w:rsid w:val="00E41E60"/>
    <w:rsid w:val="00E42024"/>
    <w:rsid w:val="00E4291A"/>
    <w:rsid w:val="00E42AA5"/>
    <w:rsid w:val="00E43245"/>
    <w:rsid w:val="00E433A3"/>
    <w:rsid w:val="00E436FB"/>
    <w:rsid w:val="00E43926"/>
    <w:rsid w:val="00E4395D"/>
    <w:rsid w:val="00E43963"/>
    <w:rsid w:val="00E439C2"/>
    <w:rsid w:val="00E43BDA"/>
    <w:rsid w:val="00E43CE9"/>
    <w:rsid w:val="00E43E28"/>
    <w:rsid w:val="00E43EDA"/>
    <w:rsid w:val="00E4469B"/>
    <w:rsid w:val="00E44911"/>
    <w:rsid w:val="00E44A08"/>
    <w:rsid w:val="00E44B55"/>
    <w:rsid w:val="00E44B64"/>
    <w:rsid w:val="00E44BAC"/>
    <w:rsid w:val="00E44E2C"/>
    <w:rsid w:val="00E44ED4"/>
    <w:rsid w:val="00E45127"/>
    <w:rsid w:val="00E4517D"/>
    <w:rsid w:val="00E456FF"/>
    <w:rsid w:val="00E4578C"/>
    <w:rsid w:val="00E45AE8"/>
    <w:rsid w:val="00E4649D"/>
    <w:rsid w:val="00E4656C"/>
    <w:rsid w:val="00E46C3D"/>
    <w:rsid w:val="00E471BF"/>
    <w:rsid w:val="00E47309"/>
    <w:rsid w:val="00E47EF0"/>
    <w:rsid w:val="00E50069"/>
    <w:rsid w:val="00E500E1"/>
    <w:rsid w:val="00E50290"/>
    <w:rsid w:val="00E505C7"/>
    <w:rsid w:val="00E506C5"/>
    <w:rsid w:val="00E50869"/>
    <w:rsid w:val="00E50B9F"/>
    <w:rsid w:val="00E50C8A"/>
    <w:rsid w:val="00E5151C"/>
    <w:rsid w:val="00E51EF6"/>
    <w:rsid w:val="00E51FBF"/>
    <w:rsid w:val="00E5286A"/>
    <w:rsid w:val="00E52B6E"/>
    <w:rsid w:val="00E53732"/>
    <w:rsid w:val="00E53884"/>
    <w:rsid w:val="00E53893"/>
    <w:rsid w:val="00E53978"/>
    <w:rsid w:val="00E53E2B"/>
    <w:rsid w:val="00E53E38"/>
    <w:rsid w:val="00E53F0F"/>
    <w:rsid w:val="00E54191"/>
    <w:rsid w:val="00E5455C"/>
    <w:rsid w:val="00E5462D"/>
    <w:rsid w:val="00E54D9F"/>
    <w:rsid w:val="00E54F9F"/>
    <w:rsid w:val="00E551D8"/>
    <w:rsid w:val="00E551F5"/>
    <w:rsid w:val="00E554DD"/>
    <w:rsid w:val="00E56131"/>
    <w:rsid w:val="00E564D8"/>
    <w:rsid w:val="00E56702"/>
    <w:rsid w:val="00E56893"/>
    <w:rsid w:val="00E56BEC"/>
    <w:rsid w:val="00E56C46"/>
    <w:rsid w:val="00E56C4F"/>
    <w:rsid w:val="00E56CCC"/>
    <w:rsid w:val="00E56DB8"/>
    <w:rsid w:val="00E57567"/>
    <w:rsid w:val="00E57694"/>
    <w:rsid w:val="00E57F04"/>
    <w:rsid w:val="00E60282"/>
    <w:rsid w:val="00E60381"/>
    <w:rsid w:val="00E603C2"/>
    <w:rsid w:val="00E60402"/>
    <w:rsid w:val="00E6085E"/>
    <w:rsid w:val="00E608B5"/>
    <w:rsid w:val="00E60AF1"/>
    <w:rsid w:val="00E60CCF"/>
    <w:rsid w:val="00E60DB9"/>
    <w:rsid w:val="00E60E36"/>
    <w:rsid w:val="00E61302"/>
    <w:rsid w:val="00E61411"/>
    <w:rsid w:val="00E61A04"/>
    <w:rsid w:val="00E61AEF"/>
    <w:rsid w:val="00E61B5A"/>
    <w:rsid w:val="00E61CE1"/>
    <w:rsid w:val="00E61EFA"/>
    <w:rsid w:val="00E622BE"/>
    <w:rsid w:val="00E623A1"/>
    <w:rsid w:val="00E6249A"/>
    <w:rsid w:val="00E6262C"/>
    <w:rsid w:val="00E629A0"/>
    <w:rsid w:val="00E629E4"/>
    <w:rsid w:val="00E62AE5"/>
    <w:rsid w:val="00E62C4F"/>
    <w:rsid w:val="00E62D59"/>
    <w:rsid w:val="00E630BF"/>
    <w:rsid w:val="00E6345E"/>
    <w:rsid w:val="00E634B2"/>
    <w:rsid w:val="00E635D4"/>
    <w:rsid w:val="00E637CD"/>
    <w:rsid w:val="00E63C78"/>
    <w:rsid w:val="00E64148"/>
    <w:rsid w:val="00E6416A"/>
    <w:rsid w:val="00E64180"/>
    <w:rsid w:val="00E64780"/>
    <w:rsid w:val="00E6478E"/>
    <w:rsid w:val="00E64A0C"/>
    <w:rsid w:val="00E64C96"/>
    <w:rsid w:val="00E650D6"/>
    <w:rsid w:val="00E651DA"/>
    <w:rsid w:val="00E65221"/>
    <w:rsid w:val="00E65237"/>
    <w:rsid w:val="00E652C8"/>
    <w:rsid w:val="00E65444"/>
    <w:rsid w:val="00E65478"/>
    <w:rsid w:val="00E655CA"/>
    <w:rsid w:val="00E65886"/>
    <w:rsid w:val="00E65F14"/>
    <w:rsid w:val="00E66504"/>
    <w:rsid w:val="00E6700E"/>
    <w:rsid w:val="00E6716E"/>
    <w:rsid w:val="00E6721F"/>
    <w:rsid w:val="00E67235"/>
    <w:rsid w:val="00E676DF"/>
    <w:rsid w:val="00E676F7"/>
    <w:rsid w:val="00E67CF0"/>
    <w:rsid w:val="00E7004E"/>
    <w:rsid w:val="00E700DE"/>
    <w:rsid w:val="00E7035B"/>
    <w:rsid w:val="00E7050C"/>
    <w:rsid w:val="00E70B08"/>
    <w:rsid w:val="00E70B9D"/>
    <w:rsid w:val="00E70C6F"/>
    <w:rsid w:val="00E70E7A"/>
    <w:rsid w:val="00E70FAB"/>
    <w:rsid w:val="00E71473"/>
    <w:rsid w:val="00E7179F"/>
    <w:rsid w:val="00E717FD"/>
    <w:rsid w:val="00E7185E"/>
    <w:rsid w:val="00E71970"/>
    <w:rsid w:val="00E71AEF"/>
    <w:rsid w:val="00E72347"/>
    <w:rsid w:val="00E72713"/>
    <w:rsid w:val="00E7297C"/>
    <w:rsid w:val="00E72CE0"/>
    <w:rsid w:val="00E72F29"/>
    <w:rsid w:val="00E731C9"/>
    <w:rsid w:val="00E734BD"/>
    <w:rsid w:val="00E735E5"/>
    <w:rsid w:val="00E73680"/>
    <w:rsid w:val="00E73B74"/>
    <w:rsid w:val="00E73D24"/>
    <w:rsid w:val="00E73D85"/>
    <w:rsid w:val="00E7458E"/>
    <w:rsid w:val="00E74719"/>
    <w:rsid w:val="00E74B37"/>
    <w:rsid w:val="00E75188"/>
    <w:rsid w:val="00E753E9"/>
    <w:rsid w:val="00E75536"/>
    <w:rsid w:val="00E75572"/>
    <w:rsid w:val="00E76057"/>
    <w:rsid w:val="00E76438"/>
    <w:rsid w:val="00E764BF"/>
    <w:rsid w:val="00E76522"/>
    <w:rsid w:val="00E769EE"/>
    <w:rsid w:val="00E76A9C"/>
    <w:rsid w:val="00E77060"/>
    <w:rsid w:val="00E77110"/>
    <w:rsid w:val="00E7719E"/>
    <w:rsid w:val="00E773C9"/>
    <w:rsid w:val="00E77550"/>
    <w:rsid w:val="00E77723"/>
    <w:rsid w:val="00E777B9"/>
    <w:rsid w:val="00E77A3D"/>
    <w:rsid w:val="00E801CB"/>
    <w:rsid w:val="00E8054A"/>
    <w:rsid w:val="00E80556"/>
    <w:rsid w:val="00E80897"/>
    <w:rsid w:val="00E80898"/>
    <w:rsid w:val="00E80C4F"/>
    <w:rsid w:val="00E80E5C"/>
    <w:rsid w:val="00E81192"/>
    <w:rsid w:val="00E814D0"/>
    <w:rsid w:val="00E8188F"/>
    <w:rsid w:val="00E81A8A"/>
    <w:rsid w:val="00E81AB1"/>
    <w:rsid w:val="00E82215"/>
    <w:rsid w:val="00E82787"/>
    <w:rsid w:val="00E82826"/>
    <w:rsid w:val="00E82E7C"/>
    <w:rsid w:val="00E831F1"/>
    <w:rsid w:val="00E834BA"/>
    <w:rsid w:val="00E83E68"/>
    <w:rsid w:val="00E83FA1"/>
    <w:rsid w:val="00E8426E"/>
    <w:rsid w:val="00E84311"/>
    <w:rsid w:val="00E84398"/>
    <w:rsid w:val="00E8447D"/>
    <w:rsid w:val="00E8464A"/>
    <w:rsid w:val="00E84736"/>
    <w:rsid w:val="00E8495F"/>
    <w:rsid w:val="00E84CDE"/>
    <w:rsid w:val="00E84FC4"/>
    <w:rsid w:val="00E8526C"/>
    <w:rsid w:val="00E8568D"/>
    <w:rsid w:val="00E8590B"/>
    <w:rsid w:val="00E85B22"/>
    <w:rsid w:val="00E860EF"/>
    <w:rsid w:val="00E86406"/>
    <w:rsid w:val="00E868BD"/>
    <w:rsid w:val="00E86B0B"/>
    <w:rsid w:val="00E86F30"/>
    <w:rsid w:val="00E87191"/>
    <w:rsid w:val="00E87724"/>
    <w:rsid w:val="00E87AE0"/>
    <w:rsid w:val="00E87ED2"/>
    <w:rsid w:val="00E90047"/>
    <w:rsid w:val="00E9008A"/>
    <w:rsid w:val="00E90385"/>
    <w:rsid w:val="00E9063A"/>
    <w:rsid w:val="00E906F5"/>
    <w:rsid w:val="00E90757"/>
    <w:rsid w:val="00E90959"/>
    <w:rsid w:val="00E90D56"/>
    <w:rsid w:val="00E918E2"/>
    <w:rsid w:val="00E91B87"/>
    <w:rsid w:val="00E91D2D"/>
    <w:rsid w:val="00E92011"/>
    <w:rsid w:val="00E9230C"/>
    <w:rsid w:val="00E92428"/>
    <w:rsid w:val="00E9251E"/>
    <w:rsid w:val="00E925BC"/>
    <w:rsid w:val="00E92849"/>
    <w:rsid w:val="00E928F2"/>
    <w:rsid w:val="00E92931"/>
    <w:rsid w:val="00E92946"/>
    <w:rsid w:val="00E93020"/>
    <w:rsid w:val="00E9321A"/>
    <w:rsid w:val="00E932FD"/>
    <w:rsid w:val="00E93349"/>
    <w:rsid w:val="00E933E8"/>
    <w:rsid w:val="00E9346F"/>
    <w:rsid w:val="00E934EC"/>
    <w:rsid w:val="00E93C26"/>
    <w:rsid w:val="00E93DEF"/>
    <w:rsid w:val="00E93FDB"/>
    <w:rsid w:val="00E94048"/>
    <w:rsid w:val="00E94452"/>
    <w:rsid w:val="00E9489D"/>
    <w:rsid w:val="00E94C2C"/>
    <w:rsid w:val="00E94CC9"/>
    <w:rsid w:val="00E94D22"/>
    <w:rsid w:val="00E94D52"/>
    <w:rsid w:val="00E95005"/>
    <w:rsid w:val="00E954A5"/>
    <w:rsid w:val="00E954DA"/>
    <w:rsid w:val="00E955C9"/>
    <w:rsid w:val="00E95623"/>
    <w:rsid w:val="00E958A2"/>
    <w:rsid w:val="00E95B42"/>
    <w:rsid w:val="00E95CA7"/>
    <w:rsid w:val="00E95CBD"/>
    <w:rsid w:val="00E95FD6"/>
    <w:rsid w:val="00E963F0"/>
    <w:rsid w:val="00E966B0"/>
    <w:rsid w:val="00E96738"/>
    <w:rsid w:val="00E969EC"/>
    <w:rsid w:val="00E96AE5"/>
    <w:rsid w:val="00E96C1A"/>
    <w:rsid w:val="00E96E57"/>
    <w:rsid w:val="00E96F1D"/>
    <w:rsid w:val="00E973A2"/>
    <w:rsid w:val="00E9783E"/>
    <w:rsid w:val="00E97895"/>
    <w:rsid w:val="00E978DE"/>
    <w:rsid w:val="00E979F0"/>
    <w:rsid w:val="00E97A85"/>
    <w:rsid w:val="00E97DB8"/>
    <w:rsid w:val="00E97F92"/>
    <w:rsid w:val="00EA06AB"/>
    <w:rsid w:val="00EA0966"/>
    <w:rsid w:val="00EA0C8A"/>
    <w:rsid w:val="00EA11C2"/>
    <w:rsid w:val="00EA13DC"/>
    <w:rsid w:val="00EA1506"/>
    <w:rsid w:val="00EA15C2"/>
    <w:rsid w:val="00EA1704"/>
    <w:rsid w:val="00EA184F"/>
    <w:rsid w:val="00EA1883"/>
    <w:rsid w:val="00EA1DF7"/>
    <w:rsid w:val="00EA1E84"/>
    <w:rsid w:val="00EA209C"/>
    <w:rsid w:val="00EA20C1"/>
    <w:rsid w:val="00EA23B1"/>
    <w:rsid w:val="00EA243A"/>
    <w:rsid w:val="00EA2CEF"/>
    <w:rsid w:val="00EA2F9B"/>
    <w:rsid w:val="00EA33E7"/>
    <w:rsid w:val="00EA34B5"/>
    <w:rsid w:val="00EA37E6"/>
    <w:rsid w:val="00EA3CD8"/>
    <w:rsid w:val="00EA41B9"/>
    <w:rsid w:val="00EA4668"/>
    <w:rsid w:val="00EA48E2"/>
    <w:rsid w:val="00EA496F"/>
    <w:rsid w:val="00EA49A5"/>
    <w:rsid w:val="00EA4B1C"/>
    <w:rsid w:val="00EA54B5"/>
    <w:rsid w:val="00EA54F3"/>
    <w:rsid w:val="00EA5836"/>
    <w:rsid w:val="00EA5BDD"/>
    <w:rsid w:val="00EA5CD1"/>
    <w:rsid w:val="00EA5E4D"/>
    <w:rsid w:val="00EA5F25"/>
    <w:rsid w:val="00EA6040"/>
    <w:rsid w:val="00EA64B3"/>
    <w:rsid w:val="00EA6724"/>
    <w:rsid w:val="00EA6842"/>
    <w:rsid w:val="00EA690B"/>
    <w:rsid w:val="00EA692D"/>
    <w:rsid w:val="00EA6CE6"/>
    <w:rsid w:val="00EA6F15"/>
    <w:rsid w:val="00EA71F1"/>
    <w:rsid w:val="00EA7418"/>
    <w:rsid w:val="00EA74D8"/>
    <w:rsid w:val="00EA7B2C"/>
    <w:rsid w:val="00EA7C5E"/>
    <w:rsid w:val="00EA7D7B"/>
    <w:rsid w:val="00EA7D8A"/>
    <w:rsid w:val="00EA7F06"/>
    <w:rsid w:val="00EB0255"/>
    <w:rsid w:val="00EB0319"/>
    <w:rsid w:val="00EB034E"/>
    <w:rsid w:val="00EB0355"/>
    <w:rsid w:val="00EB042F"/>
    <w:rsid w:val="00EB0626"/>
    <w:rsid w:val="00EB0640"/>
    <w:rsid w:val="00EB07E7"/>
    <w:rsid w:val="00EB0B8A"/>
    <w:rsid w:val="00EB127E"/>
    <w:rsid w:val="00EB1347"/>
    <w:rsid w:val="00EB1820"/>
    <w:rsid w:val="00EB211A"/>
    <w:rsid w:val="00EB2149"/>
    <w:rsid w:val="00EB2211"/>
    <w:rsid w:val="00EB2568"/>
    <w:rsid w:val="00EB25D5"/>
    <w:rsid w:val="00EB2D95"/>
    <w:rsid w:val="00EB2E1A"/>
    <w:rsid w:val="00EB336D"/>
    <w:rsid w:val="00EB3529"/>
    <w:rsid w:val="00EB38AE"/>
    <w:rsid w:val="00EB38CA"/>
    <w:rsid w:val="00EB3A55"/>
    <w:rsid w:val="00EB3DDB"/>
    <w:rsid w:val="00EB400B"/>
    <w:rsid w:val="00EB444B"/>
    <w:rsid w:val="00EB44E7"/>
    <w:rsid w:val="00EB458F"/>
    <w:rsid w:val="00EB4685"/>
    <w:rsid w:val="00EB4ACE"/>
    <w:rsid w:val="00EB5097"/>
    <w:rsid w:val="00EB537C"/>
    <w:rsid w:val="00EB5461"/>
    <w:rsid w:val="00EB5597"/>
    <w:rsid w:val="00EB58B7"/>
    <w:rsid w:val="00EB5EC0"/>
    <w:rsid w:val="00EB6AAE"/>
    <w:rsid w:val="00EB6E27"/>
    <w:rsid w:val="00EB6E73"/>
    <w:rsid w:val="00EB6F1A"/>
    <w:rsid w:val="00EB719C"/>
    <w:rsid w:val="00EB72DF"/>
    <w:rsid w:val="00EB7641"/>
    <w:rsid w:val="00EC000D"/>
    <w:rsid w:val="00EC0382"/>
    <w:rsid w:val="00EC0567"/>
    <w:rsid w:val="00EC07C4"/>
    <w:rsid w:val="00EC0A70"/>
    <w:rsid w:val="00EC0B60"/>
    <w:rsid w:val="00EC0D7D"/>
    <w:rsid w:val="00EC14EE"/>
    <w:rsid w:val="00EC1605"/>
    <w:rsid w:val="00EC1698"/>
    <w:rsid w:val="00EC1D10"/>
    <w:rsid w:val="00EC1FD0"/>
    <w:rsid w:val="00EC20AE"/>
    <w:rsid w:val="00EC20EB"/>
    <w:rsid w:val="00EC228A"/>
    <w:rsid w:val="00EC249C"/>
    <w:rsid w:val="00EC2689"/>
    <w:rsid w:val="00EC26BA"/>
    <w:rsid w:val="00EC27C1"/>
    <w:rsid w:val="00EC27C7"/>
    <w:rsid w:val="00EC2B8F"/>
    <w:rsid w:val="00EC2B9C"/>
    <w:rsid w:val="00EC34D6"/>
    <w:rsid w:val="00EC3A94"/>
    <w:rsid w:val="00EC3AA9"/>
    <w:rsid w:val="00EC3BB5"/>
    <w:rsid w:val="00EC3F99"/>
    <w:rsid w:val="00EC41BB"/>
    <w:rsid w:val="00EC44C1"/>
    <w:rsid w:val="00EC4639"/>
    <w:rsid w:val="00EC4819"/>
    <w:rsid w:val="00EC4963"/>
    <w:rsid w:val="00EC4A2D"/>
    <w:rsid w:val="00EC4E34"/>
    <w:rsid w:val="00EC4E9E"/>
    <w:rsid w:val="00EC5451"/>
    <w:rsid w:val="00EC5A05"/>
    <w:rsid w:val="00EC5C1F"/>
    <w:rsid w:val="00EC5E92"/>
    <w:rsid w:val="00EC5F61"/>
    <w:rsid w:val="00EC6300"/>
    <w:rsid w:val="00EC64AD"/>
    <w:rsid w:val="00EC66CB"/>
    <w:rsid w:val="00EC741D"/>
    <w:rsid w:val="00EC751A"/>
    <w:rsid w:val="00EC79A8"/>
    <w:rsid w:val="00EC7A22"/>
    <w:rsid w:val="00EC7AC0"/>
    <w:rsid w:val="00EC7BC6"/>
    <w:rsid w:val="00EC7ED8"/>
    <w:rsid w:val="00EC7F3B"/>
    <w:rsid w:val="00ED003C"/>
    <w:rsid w:val="00ED0637"/>
    <w:rsid w:val="00ED091E"/>
    <w:rsid w:val="00ED0AD6"/>
    <w:rsid w:val="00ED0E78"/>
    <w:rsid w:val="00ED0F97"/>
    <w:rsid w:val="00ED11CA"/>
    <w:rsid w:val="00ED1501"/>
    <w:rsid w:val="00ED1591"/>
    <w:rsid w:val="00ED16F5"/>
    <w:rsid w:val="00ED1749"/>
    <w:rsid w:val="00ED1CDB"/>
    <w:rsid w:val="00ED2205"/>
    <w:rsid w:val="00ED2454"/>
    <w:rsid w:val="00ED2CB0"/>
    <w:rsid w:val="00ED2D88"/>
    <w:rsid w:val="00ED2EC2"/>
    <w:rsid w:val="00ED2F2C"/>
    <w:rsid w:val="00ED31F9"/>
    <w:rsid w:val="00ED367F"/>
    <w:rsid w:val="00ED36EA"/>
    <w:rsid w:val="00ED393B"/>
    <w:rsid w:val="00ED3A82"/>
    <w:rsid w:val="00ED4991"/>
    <w:rsid w:val="00ED4BD5"/>
    <w:rsid w:val="00ED4C92"/>
    <w:rsid w:val="00ED4C99"/>
    <w:rsid w:val="00ED4D72"/>
    <w:rsid w:val="00ED56F7"/>
    <w:rsid w:val="00ED5745"/>
    <w:rsid w:val="00ED58EB"/>
    <w:rsid w:val="00ED58F1"/>
    <w:rsid w:val="00ED592D"/>
    <w:rsid w:val="00ED59D3"/>
    <w:rsid w:val="00ED5B3C"/>
    <w:rsid w:val="00ED5CAB"/>
    <w:rsid w:val="00ED5E34"/>
    <w:rsid w:val="00ED5EE1"/>
    <w:rsid w:val="00ED6102"/>
    <w:rsid w:val="00ED6160"/>
    <w:rsid w:val="00ED62C6"/>
    <w:rsid w:val="00ED65D2"/>
    <w:rsid w:val="00ED67CA"/>
    <w:rsid w:val="00ED6816"/>
    <w:rsid w:val="00ED6A30"/>
    <w:rsid w:val="00ED6CAC"/>
    <w:rsid w:val="00ED6CF6"/>
    <w:rsid w:val="00ED6E64"/>
    <w:rsid w:val="00ED715C"/>
    <w:rsid w:val="00ED73B6"/>
    <w:rsid w:val="00ED764F"/>
    <w:rsid w:val="00ED7BC2"/>
    <w:rsid w:val="00EE0486"/>
    <w:rsid w:val="00EE05B0"/>
    <w:rsid w:val="00EE06DB"/>
    <w:rsid w:val="00EE06EA"/>
    <w:rsid w:val="00EE072F"/>
    <w:rsid w:val="00EE0DE2"/>
    <w:rsid w:val="00EE1891"/>
    <w:rsid w:val="00EE1CDD"/>
    <w:rsid w:val="00EE2D0C"/>
    <w:rsid w:val="00EE2DCC"/>
    <w:rsid w:val="00EE2F40"/>
    <w:rsid w:val="00EE30B1"/>
    <w:rsid w:val="00EE32D1"/>
    <w:rsid w:val="00EE3FFB"/>
    <w:rsid w:val="00EE4051"/>
    <w:rsid w:val="00EE4135"/>
    <w:rsid w:val="00EE4152"/>
    <w:rsid w:val="00EE4330"/>
    <w:rsid w:val="00EE49F4"/>
    <w:rsid w:val="00EE4D1B"/>
    <w:rsid w:val="00EE4E25"/>
    <w:rsid w:val="00EE4F12"/>
    <w:rsid w:val="00EE55DC"/>
    <w:rsid w:val="00EE57B7"/>
    <w:rsid w:val="00EE58C0"/>
    <w:rsid w:val="00EE5A5B"/>
    <w:rsid w:val="00EE5F8F"/>
    <w:rsid w:val="00EE616F"/>
    <w:rsid w:val="00EE61D5"/>
    <w:rsid w:val="00EE63AC"/>
    <w:rsid w:val="00EE63B5"/>
    <w:rsid w:val="00EE67DD"/>
    <w:rsid w:val="00EE7186"/>
    <w:rsid w:val="00EE7711"/>
    <w:rsid w:val="00EE775E"/>
    <w:rsid w:val="00EE7779"/>
    <w:rsid w:val="00EE7782"/>
    <w:rsid w:val="00EE7789"/>
    <w:rsid w:val="00EE7ADA"/>
    <w:rsid w:val="00EE7D0E"/>
    <w:rsid w:val="00EE7F2E"/>
    <w:rsid w:val="00EF0003"/>
    <w:rsid w:val="00EF011A"/>
    <w:rsid w:val="00EF0163"/>
    <w:rsid w:val="00EF0183"/>
    <w:rsid w:val="00EF0381"/>
    <w:rsid w:val="00EF0D28"/>
    <w:rsid w:val="00EF0F28"/>
    <w:rsid w:val="00EF0FB6"/>
    <w:rsid w:val="00EF1334"/>
    <w:rsid w:val="00EF17C1"/>
    <w:rsid w:val="00EF1895"/>
    <w:rsid w:val="00EF1DC9"/>
    <w:rsid w:val="00EF2325"/>
    <w:rsid w:val="00EF2420"/>
    <w:rsid w:val="00EF263C"/>
    <w:rsid w:val="00EF26F0"/>
    <w:rsid w:val="00EF2EDD"/>
    <w:rsid w:val="00EF2FBE"/>
    <w:rsid w:val="00EF2FCB"/>
    <w:rsid w:val="00EF31FB"/>
    <w:rsid w:val="00EF3578"/>
    <w:rsid w:val="00EF3722"/>
    <w:rsid w:val="00EF382F"/>
    <w:rsid w:val="00EF3A5B"/>
    <w:rsid w:val="00EF3B83"/>
    <w:rsid w:val="00EF3F85"/>
    <w:rsid w:val="00EF4099"/>
    <w:rsid w:val="00EF4247"/>
    <w:rsid w:val="00EF474A"/>
    <w:rsid w:val="00EF47F6"/>
    <w:rsid w:val="00EF4824"/>
    <w:rsid w:val="00EF497E"/>
    <w:rsid w:val="00EF4BFE"/>
    <w:rsid w:val="00EF4D1D"/>
    <w:rsid w:val="00EF4D42"/>
    <w:rsid w:val="00EF4F74"/>
    <w:rsid w:val="00EF524E"/>
    <w:rsid w:val="00EF52D4"/>
    <w:rsid w:val="00EF53AC"/>
    <w:rsid w:val="00EF5437"/>
    <w:rsid w:val="00EF59BB"/>
    <w:rsid w:val="00EF6055"/>
    <w:rsid w:val="00EF65C6"/>
    <w:rsid w:val="00EF661F"/>
    <w:rsid w:val="00EF69DD"/>
    <w:rsid w:val="00EF6BC5"/>
    <w:rsid w:val="00EF6C60"/>
    <w:rsid w:val="00EF6C6F"/>
    <w:rsid w:val="00EF7917"/>
    <w:rsid w:val="00EF7F1F"/>
    <w:rsid w:val="00F002BB"/>
    <w:rsid w:val="00F002F4"/>
    <w:rsid w:val="00F0034A"/>
    <w:rsid w:val="00F005A5"/>
    <w:rsid w:val="00F008A5"/>
    <w:rsid w:val="00F00A21"/>
    <w:rsid w:val="00F01260"/>
    <w:rsid w:val="00F0141C"/>
    <w:rsid w:val="00F01524"/>
    <w:rsid w:val="00F016B2"/>
    <w:rsid w:val="00F017B0"/>
    <w:rsid w:val="00F01988"/>
    <w:rsid w:val="00F01A84"/>
    <w:rsid w:val="00F01CD6"/>
    <w:rsid w:val="00F01D78"/>
    <w:rsid w:val="00F01E41"/>
    <w:rsid w:val="00F01E54"/>
    <w:rsid w:val="00F01ED9"/>
    <w:rsid w:val="00F01FBC"/>
    <w:rsid w:val="00F020F2"/>
    <w:rsid w:val="00F02725"/>
    <w:rsid w:val="00F0284F"/>
    <w:rsid w:val="00F03117"/>
    <w:rsid w:val="00F0324A"/>
    <w:rsid w:val="00F036A9"/>
    <w:rsid w:val="00F03855"/>
    <w:rsid w:val="00F03BDB"/>
    <w:rsid w:val="00F03C13"/>
    <w:rsid w:val="00F03E90"/>
    <w:rsid w:val="00F04573"/>
    <w:rsid w:val="00F0463A"/>
    <w:rsid w:val="00F04764"/>
    <w:rsid w:val="00F04A16"/>
    <w:rsid w:val="00F04BED"/>
    <w:rsid w:val="00F04C4C"/>
    <w:rsid w:val="00F04EB1"/>
    <w:rsid w:val="00F0522A"/>
    <w:rsid w:val="00F05599"/>
    <w:rsid w:val="00F059FD"/>
    <w:rsid w:val="00F06149"/>
    <w:rsid w:val="00F061B7"/>
    <w:rsid w:val="00F0699C"/>
    <w:rsid w:val="00F06A89"/>
    <w:rsid w:val="00F072F2"/>
    <w:rsid w:val="00F07ADB"/>
    <w:rsid w:val="00F07E17"/>
    <w:rsid w:val="00F07FB2"/>
    <w:rsid w:val="00F100EF"/>
    <w:rsid w:val="00F1046F"/>
    <w:rsid w:val="00F106B0"/>
    <w:rsid w:val="00F10CF4"/>
    <w:rsid w:val="00F1106B"/>
    <w:rsid w:val="00F113A6"/>
    <w:rsid w:val="00F11696"/>
    <w:rsid w:val="00F1185D"/>
    <w:rsid w:val="00F11F38"/>
    <w:rsid w:val="00F12016"/>
    <w:rsid w:val="00F1282F"/>
    <w:rsid w:val="00F1295C"/>
    <w:rsid w:val="00F12999"/>
    <w:rsid w:val="00F12A4F"/>
    <w:rsid w:val="00F12BF3"/>
    <w:rsid w:val="00F12D14"/>
    <w:rsid w:val="00F12F02"/>
    <w:rsid w:val="00F12FFF"/>
    <w:rsid w:val="00F13390"/>
    <w:rsid w:val="00F13E74"/>
    <w:rsid w:val="00F140D6"/>
    <w:rsid w:val="00F1434A"/>
    <w:rsid w:val="00F148BF"/>
    <w:rsid w:val="00F14CC5"/>
    <w:rsid w:val="00F15752"/>
    <w:rsid w:val="00F16125"/>
    <w:rsid w:val="00F16874"/>
    <w:rsid w:val="00F16AED"/>
    <w:rsid w:val="00F17457"/>
    <w:rsid w:val="00F174EB"/>
    <w:rsid w:val="00F176AD"/>
    <w:rsid w:val="00F1791C"/>
    <w:rsid w:val="00F17EAC"/>
    <w:rsid w:val="00F2056B"/>
    <w:rsid w:val="00F2095B"/>
    <w:rsid w:val="00F20B3E"/>
    <w:rsid w:val="00F21166"/>
    <w:rsid w:val="00F21511"/>
    <w:rsid w:val="00F2152A"/>
    <w:rsid w:val="00F218BC"/>
    <w:rsid w:val="00F21A9C"/>
    <w:rsid w:val="00F21B86"/>
    <w:rsid w:val="00F226FA"/>
    <w:rsid w:val="00F22782"/>
    <w:rsid w:val="00F22A98"/>
    <w:rsid w:val="00F22E10"/>
    <w:rsid w:val="00F22F73"/>
    <w:rsid w:val="00F23091"/>
    <w:rsid w:val="00F23835"/>
    <w:rsid w:val="00F253F1"/>
    <w:rsid w:val="00F258B3"/>
    <w:rsid w:val="00F260AC"/>
    <w:rsid w:val="00F26145"/>
    <w:rsid w:val="00F266DF"/>
    <w:rsid w:val="00F26705"/>
    <w:rsid w:val="00F269F3"/>
    <w:rsid w:val="00F26AC3"/>
    <w:rsid w:val="00F26B43"/>
    <w:rsid w:val="00F26BAB"/>
    <w:rsid w:val="00F26DB9"/>
    <w:rsid w:val="00F26DEC"/>
    <w:rsid w:val="00F271E3"/>
    <w:rsid w:val="00F27E6C"/>
    <w:rsid w:val="00F27F94"/>
    <w:rsid w:val="00F304F6"/>
    <w:rsid w:val="00F30505"/>
    <w:rsid w:val="00F3098B"/>
    <w:rsid w:val="00F30D2E"/>
    <w:rsid w:val="00F3107C"/>
    <w:rsid w:val="00F31339"/>
    <w:rsid w:val="00F315B0"/>
    <w:rsid w:val="00F31709"/>
    <w:rsid w:val="00F3207C"/>
    <w:rsid w:val="00F325D3"/>
    <w:rsid w:val="00F32821"/>
    <w:rsid w:val="00F32DB7"/>
    <w:rsid w:val="00F33185"/>
    <w:rsid w:val="00F33370"/>
    <w:rsid w:val="00F333AE"/>
    <w:rsid w:val="00F33478"/>
    <w:rsid w:val="00F336A8"/>
    <w:rsid w:val="00F340CD"/>
    <w:rsid w:val="00F342B6"/>
    <w:rsid w:val="00F3440D"/>
    <w:rsid w:val="00F345B8"/>
    <w:rsid w:val="00F347C5"/>
    <w:rsid w:val="00F349E1"/>
    <w:rsid w:val="00F34B78"/>
    <w:rsid w:val="00F34FC6"/>
    <w:rsid w:val="00F35318"/>
    <w:rsid w:val="00F355E3"/>
    <w:rsid w:val="00F35761"/>
    <w:rsid w:val="00F35B44"/>
    <w:rsid w:val="00F35DD6"/>
    <w:rsid w:val="00F36757"/>
    <w:rsid w:val="00F36EA2"/>
    <w:rsid w:val="00F37014"/>
    <w:rsid w:val="00F3712E"/>
    <w:rsid w:val="00F372C0"/>
    <w:rsid w:val="00F37407"/>
    <w:rsid w:val="00F375BC"/>
    <w:rsid w:val="00F379E7"/>
    <w:rsid w:val="00F37A3F"/>
    <w:rsid w:val="00F4031E"/>
    <w:rsid w:val="00F4039C"/>
    <w:rsid w:val="00F40401"/>
    <w:rsid w:val="00F40590"/>
    <w:rsid w:val="00F4094A"/>
    <w:rsid w:val="00F41246"/>
    <w:rsid w:val="00F4137D"/>
    <w:rsid w:val="00F4154D"/>
    <w:rsid w:val="00F41832"/>
    <w:rsid w:val="00F41C4B"/>
    <w:rsid w:val="00F41CA8"/>
    <w:rsid w:val="00F42157"/>
    <w:rsid w:val="00F42238"/>
    <w:rsid w:val="00F423FD"/>
    <w:rsid w:val="00F42426"/>
    <w:rsid w:val="00F4300E"/>
    <w:rsid w:val="00F43443"/>
    <w:rsid w:val="00F43773"/>
    <w:rsid w:val="00F43BBA"/>
    <w:rsid w:val="00F43C71"/>
    <w:rsid w:val="00F43C7B"/>
    <w:rsid w:val="00F43CDA"/>
    <w:rsid w:val="00F43EA4"/>
    <w:rsid w:val="00F442C5"/>
    <w:rsid w:val="00F44580"/>
    <w:rsid w:val="00F445F5"/>
    <w:rsid w:val="00F446F3"/>
    <w:rsid w:val="00F44869"/>
    <w:rsid w:val="00F4491E"/>
    <w:rsid w:val="00F45006"/>
    <w:rsid w:val="00F4503C"/>
    <w:rsid w:val="00F45869"/>
    <w:rsid w:val="00F45F3A"/>
    <w:rsid w:val="00F46880"/>
    <w:rsid w:val="00F46B6E"/>
    <w:rsid w:val="00F46BB8"/>
    <w:rsid w:val="00F47117"/>
    <w:rsid w:val="00F4717F"/>
    <w:rsid w:val="00F47633"/>
    <w:rsid w:val="00F476A3"/>
    <w:rsid w:val="00F4787A"/>
    <w:rsid w:val="00F47B24"/>
    <w:rsid w:val="00F47D9D"/>
    <w:rsid w:val="00F504C0"/>
    <w:rsid w:val="00F505F3"/>
    <w:rsid w:val="00F50B80"/>
    <w:rsid w:val="00F50B90"/>
    <w:rsid w:val="00F50CFA"/>
    <w:rsid w:val="00F510DA"/>
    <w:rsid w:val="00F5118D"/>
    <w:rsid w:val="00F5140E"/>
    <w:rsid w:val="00F51B2D"/>
    <w:rsid w:val="00F51C0F"/>
    <w:rsid w:val="00F520E4"/>
    <w:rsid w:val="00F5258E"/>
    <w:rsid w:val="00F5266D"/>
    <w:rsid w:val="00F526FB"/>
    <w:rsid w:val="00F52778"/>
    <w:rsid w:val="00F52818"/>
    <w:rsid w:val="00F52C57"/>
    <w:rsid w:val="00F52EB5"/>
    <w:rsid w:val="00F5380D"/>
    <w:rsid w:val="00F538B1"/>
    <w:rsid w:val="00F538D3"/>
    <w:rsid w:val="00F53D2A"/>
    <w:rsid w:val="00F53D41"/>
    <w:rsid w:val="00F53F00"/>
    <w:rsid w:val="00F53F73"/>
    <w:rsid w:val="00F54115"/>
    <w:rsid w:val="00F54B8D"/>
    <w:rsid w:val="00F54F04"/>
    <w:rsid w:val="00F55077"/>
    <w:rsid w:val="00F55106"/>
    <w:rsid w:val="00F55295"/>
    <w:rsid w:val="00F552BA"/>
    <w:rsid w:val="00F5544D"/>
    <w:rsid w:val="00F55CC0"/>
    <w:rsid w:val="00F55EAC"/>
    <w:rsid w:val="00F565BF"/>
    <w:rsid w:val="00F56601"/>
    <w:rsid w:val="00F5689E"/>
    <w:rsid w:val="00F56ABD"/>
    <w:rsid w:val="00F56CB8"/>
    <w:rsid w:val="00F56D99"/>
    <w:rsid w:val="00F56E05"/>
    <w:rsid w:val="00F57044"/>
    <w:rsid w:val="00F577A8"/>
    <w:rsid w:val="00F57FBF"/>
    <w:rsid w:val="00F60099"/>
    <w:rsid w:val="00F600B1"/>
    <w:rsid w:val="00F601BF"/>
    <w:rsid w:val="00F606AA"/>
    <w:rsid w:val="00F607E7"/>
    <w:rsid w:val="00F60C52"/>
    <w:rsid w:val="00F60C93"/>
    <w:rsid w:val="00F60C9D"/>
    <w:rsid w:val="00F61874"/>
    <w:rsid w:val="00F61898"/>
    <w:rsid w:val="00F61B2A"/>
    <w:rsid w:val="00F61C1B"/>
    <w:rsid w:val="00F6219C"/>
    <w:rsid w:val="00F621A1"/>
    <w:rsid w:val="00F62204"/>
    <w:rsid w:val="00F6240A"/>
    <w:rsid w:val="00F62654"/>
    <w:rsid w:val="00F62A43"/>
    <w:rsid w:val="00F62B0A"/>
    <w:rsid w:val="00F62C5A"/>
    <w:rsid w:val="00F6334F"/>
    <w:rsid w:val="00F6342C"/>
    <w:rsid w:val="00F6388E"/>
    <w:rsid w:val="00F63D96"/>
    <w:rsid w:val="00F64000"/>
    <w:rsid w:val="00F641DA"/>
    <w:rsid w:val="00F644AF"/>
    <w:rsid w:val="00F64689"/>
    <w:rsid w:val="00F64709"/>
    <w:rsid w:val="00F64875"/>
    <w:rsid w:val="00F64A68"/>
    <w:rsid w:val="00F65160"/>
    <w:rsid w:val="00F65304"/>
    <w:rsid w:val="00F65591"/>
    <w:rsid w:val="00F6579B"/>
    <w:rsid w:val="00F65C06"/>
    <w:rsid w:val="00F65ECE"/>
    <w:rsid w:val="00F65F82"/>
    <w:rsid w:val="00F66200"/>
    <w:rsid w:val="00F665F8"/>
    <w:rsid w:val="00F6665B"/>
    <w:rsid w:val="00F66930"/>
    <w:rsid w:val="00F6693F"/>
    <w:rsid w:val="00F6698D"/>
    <w:rsid w:val="00F670B7"/>
    <w:rsid w:val="00F673FF"/>
    <w:rsid w:val="00F67524"/>
    <w:rsid w:val="00F677F5"/>
    <w:rsid w:val="00F67BDF"/>
    <w:rsid w:val="00F67D13"/>
    <w:rsid w:val="00F67D62"/>
    <w:rsid w:val="00F67F65"/>
    <w:rsid w:val="00F7025A"/>
    <w:rsid w:val="00F70BA9"/>
    <w:rsid w:val="00F710C5"/>
    <w:rsid w:val="00F71A04"/>
    <w:rsid w:val="00F71C5A"/>
    <w:rsid w:val="00F71CF5"/>
    <w:rsid w:val="00F71D9C"/>
    <w:rsid w:val="00F71EBE"/>
    <w:rsid w:val="00F720F0"/>
    <w:rsid w:val="00F72188"/>
    <w:rsid w:val="00F7286E"/>
    <w:rsid w:val="00F728D7"/>
    <w:rsid w:val="00F72D52"/>
    <w:rsid w:val="00F7315B"/>
    <w:rsid w:val="00F73351"/>
    <w:rsid w:val="00F736C5"/>
    <w:rsid w:val="00F736CC"/>
    <w:rsid w:val="00F73751"/>
    <w:rsid w:val="00F73C79"/>
    <w:rsid w:val="00F7424E"/>
    <w:rsid w:val="00F74853"/>
    <w:rsid w:val="00F74BD8"/>
    <w:rsid w:val="00F75B9D"/>
    <w:rsid w:val="00F76053"/>
    <w:rsid w:val="00F761A9"/>
    <w:rsid w:val="00F76224"/>
    <w:rsid w:val="00F76717"/>
    <w:rsid w:val="00F76D4E"/>
    <w:rsid w:val="00F773B2"/>
    <w:rsid w:val="00F773F1"/>
    <w:rsid w:val="00F774B4"/>
    <w:rsid w:val="00F7769C"/>
    <w:rsid w:val="00F779A3"/>
    <w:rsid w:val="00F77EE7"/>
    <w:rsid w:val="00F801A2"/>
    <w:rsid w:val="00F805B5"/>
    <w:rsid w:val="00F806DB"/>
    <w:rsid w:val="00F80B8D"/>
    <w:rsid w:val="00F80DD8"/>
    <w:rsid w:val="00F80F8D"/>
    <w:rsid w:val="00F80FF9"/>
    <w:rsid w:val="00F815DF"/>
    <w:rsid w:val="00F8170C"/>
    <w:rsid w:val="00F819B7"/>
    <w:rsid w:val="00F8208E"/>
    <w:rsid w:val="00F82213"/>
    <w:rsid w:val="00F823C1"/>
    <w:rsid w:val="00F8249F"/>
    <w:rsid w:val="00F82664"/>
    <w:rsid w:val="00F8288A"/>
    <w:rsid w:val="00F82C28"/>
    <w:rsid w:val="00F82C66"/>
    <w:rsid w:val="00F82D8F"/>
    <w:rsid w:val="00F832BE"/>
    <w:rsid w:val="00F836BC"/>
    <w:rsid w:val="00F8415B"/>
    <w:rsid w:val="00F845B2"/>
    <w:rsid w:val="00F84697"/>
    <w:rsid w:val="00F84B1A"/>
    <w:rsid w:val="00F84B83"/>
    <w:rsid w:val="00F855DB"/>
    <w:rsid w:val="00F85842"/>
    <w:rsid w:val="00F8595F"/>
    <w:rsid w:val="00F85A1C"/>
    <w:rsid w:val="00F85B76"/>
    <w:rsid w:val="00F85C10"/>
    <w:rsid w:val="00F862D1"/>
    <w:rsid w:val="00F865E6"/>
    <w:rsid w:val="00F86A8C"/>
    <w:rsid w:val="00F87264"/>
    <w:rsid w:val="00F87358"/>
    <w:rsid w:val="00F874ED"/>
    <w:rsid w:val="00F875E6"/>
    <w:rsid w:val="00F876F1"/>
    <w:rsid w:val="00F879D9"/>
    <w:rsid w:val="00F87A81"/>
    <w:rsid w:val="00F87AE2"/>
    <w:rsid w:val="00F90727"/>
    <w:rsid w:val="00F90777"/>
    <w:rsid w:val="00F9094C"/>
    <w:rsid w:val="00F90C90"/>
    <w:rsid w:val="00F90D34"/>
    <w:rsid w:val="00F90FBF"/>
    <w:rsid w:val="00F91007"/>
    <w:rsid w:val="00F910CC"/>
    <w:rsid w:val="00F911C6"/>
    <w:rsid w:val="00F9145F"/>
    <w:rsid w:val="00F914C6"/>
    <w:rsid w:val="00F9150D"/>
    <w:rsid w:val="00F915DB"/>
    <w:rsid w:val="00F91761"/>
    <w:rsid w:val="00F91C7F"/>
    <w:rsid w:val="00F91FAD"/>
    <w:rsid w:val="00F92058"/>
    <w:rsid w:val="00F92285"/>
    <w:rsid w:val="00F92286"/>
    <w:rsid w:val="00F922C4"/>
    <w:rsid w:val="00F927F7"/>
    <w:rsid w:val="00F92A95"/>
    <w:rsid w:val="00F92C12"/>
    <w:rsid w:val="00F92C1E"/>
    <w:rsid w:val="00F92C3C"/>
    <w:rsid w:val="00F92D93"/>
    <w:rsid w:val="00F93346"/>
    <w:rsid w:val="00F933B1"/>
    <w:rsid w:val="00F934E9"/>
    <w:rsid w:val="00F93661"/>
    <w:rsid w:val="00F936F3"/>
    <w:rsid w:val="00F93792"/>
    <w:rsid w:val="00F938A2"/>
    <w:rsid w:val="00F93ACC"/>
    <w:rsid w:val="00F944E3"/>
    <w:rsid w:val="00F94B6A"/>
    <w:rsid w:val="00F94F31"/>
    <w:rsid w:val="00F95444"/>
    <w:rsid w:val="00F95869"/>
    <w:rsid w:val="00F95D9A"/>
    <w:rsid w:val="00F960FC"/>
    <w:rsid w:val="00F966EE"/>
    <w:rsid w:val="00F969CA"/>
    <w:rsid w:val="00F97032"/>
    <w:rsid w:val="00F97336"/>
    <w:rsid w:val="00F9755E"/>
    <w:rsid w:val="00F977F1"/>
    <w:rsid w:val="00F97BF3"/>
    <w:rsid w:val="00F97CB8"/>
    <w:rsid w:val="00F97E35"/>
    <w:rsid w:val="00F97F07"/>
    <w:rsid w:val="00FA02B4"/>
    <w:rsid w:val="00FA0A68"/>
    <w:rsid w:val="00FA0A7C"/>
    <w:rsid w:val="00FA0DEE"/>
    <w:rsid w:val="00FA10D2"/>
    <w:rsid w:val="00FA1279"/>
    <w:rsid w:val="00FA1F56"/>
    <w:rsid w:val="00FA20E9"/>
    <w:rsid w:val="00FA210B"/>
    <w:rsid w:val="00FA2243"/>
    <w:rsid w:val="00FA23F8"/>
    <w:rsid w:val="00FA287E"/>
    <w:rsid w:val="00FA29D4"/>
    <w:rsid w:val="00FA2E50"/>
    <w:rsid w:val="00FA2F3A"/>
    <w:rsid w:val="00FA2F97"/>
    <w:rsid w:val="00FA309D"/>
    <w:rsid w:val="00FA3178"/>
    <w:rsid w:val="00FA34E8"/>
    <w:rsid w:val="00FA362F"/>
    <w:rsid w:val="00FA3671"/>
    <w:rsid w:val="00FA40B9"/>
    <w:rsid w:val="00FA415C"/>
    <w:rsid w:val="00FA499A"/>
    <w:rsid w:val="00FA4D69"/>
    <w:rsid w:val="00FA4F80"/>
    <w:rsid w:val="00FA4FE9"/>
    <w:rsid w:val="00FA505C"/>
    <w:rsid w:val="00FA5BF4"/>
    <w:rsid w:val="00FA5DE4"/>
    <w:rsid w:val="00FA6630"/>
    <w:rsid w:val="00FA67B1"/>
    <w:rsid w:val="00FA697E"/>
    <w:rsid w:val="00FA6BC3"/>
    <w:rsid w:val="00FA6C6E"/>
    <w:rsid w:val="00FA6CF4"/>
    <w:rsid w:val="00FA6ECF"/>
    <w:rsid w:val="00FA712B"/>
    <w:rsid w:val="00FA7361"/>
    <w:rsid w:val="00FA78CC"/>
    <w:rsid w:val="00FA79D4"/>
    <w:rsid w:val="00FA7C8E"/>
    <w:rsid w:val="00FB0992"/>
    <w:rsid w:val="00FB0A31"/>
    <w:rsid w:val="00FB0A75"/>
    <w:rsid w:val="00FB0DE9"/>
    <w:rsid w:val="00FB10AE"/>
    <w:rsid w:val="00FB1339"/>
    <w:rsid w:val="00FB19C1"/>
    <w:rsid w:val="00FB1ABD"/>
    <w:rsid w:val="00FB2028"/>
    <w:rsid w:val="00FB21CF"/>
    <w:rsid w:val="00FB23B6"/>
    <w:rsid w:val="00FB242B"/>
    <w:rsid w:val="00FB24A4"/>
    <w:rsid w:val="00FB24CF"/>
    <w:rsid w:val="00FB27FD"/>
    <w:rsid w:val="00FB2AB9"/>
    <w:rsid w:val="00FB2D31"/>
    <w:rsid w:val="00FB30AF"/>
    <w:rsid w:val="00FB31C8"/>
    <w:rsid w:val="00FB371D"/>
    <w:rsid w:val="00FB3744"/>
    <w:rsid w:val="00FB37FF"/>
    <w:rsid w:val="00FB3A3C"/>
    <w:rsid w:val="00FB3CCD"/>
    <w:rsid w:val="00FB3E17"/>
    <w:rsid w:val="00FB3E2E"/>
    <w:rsid w:val="00FB4423"/>
    <w:rsid w:val="00FB451A"/>
    <w:rsid w:val="00FB4934"/>
    <w:rsid w:val="00FB493D"/>
    <w:rsid w:val="00FB49EC"/>
    <w:rsid w:val="00FB4A15"/>
    <w:rsid w:val="00FB4E60"/>
    <w:rsid w:val="00FB5194"/>
    <w:rsid w:val="00FB5208"/>
    <w:rsid w:val="00FB5337"/>
    <w:rsid w:val="00FB5350"/>
    <w:rsid w:val="00FB53E9"/>
    <w:rsid w:val="00FB5456"/>
    <w:rsid w:val="00FB54EE"/>
    <w:rsid w:val="00FB5862"/>
    <w:rsid w:val="00FB59FF"/>
    <w:rsid w:val="00FB6202"/>
    <w:rsid w:val="00FB6350"/>
    <w:rsid w:val="00FB63BB"/>
    <w:rsid w:val="00FB66C4"/>
    <w:rsid w:val="00FB6750"/>
    <w:rsid w:val="00FB6AC8"/>
    <w:rsid w:val="00FB75D5"/>
    <w:rsid w:val="00FC0252"/>
    <w:rsid w:val="00FC0675"/>
    <w:rsid w:val="00FC06CE"/>
    <w:rsid w:val="00FC0714"/>
    <w:rsid w:val="00FC0B58"/>
    <w:rsid w:val="00FC0C01"/>
    <w:rsid w:val="00FC0EF0"/>
    <w:rsid w:val="00FC1102"/>
    <w:rsid w:val="00FC11A7"/>
    <w:rsid w:val="00FC1422"/>
    <w:rsid w:val="00FC18EC"/>
    <w:rsid w:val="00FC1E9E"/>
    <w:rsid w:val="00FC1EE1"/>
    <w:rsid w:val="00FC1F03"/>
    <w:rsid w:val="00FC2113"/>
    <w:rsid w:val="00FC22FE"/>
    <w:rsid w:val="00FC2303"/>
    <w:rsid w:val="00FC2474"/>
    <w:rsid w:val="00FC262C"/>
    <w:rsid w:val="00FC2891"/>
    <w:rsid w:val="00FC29B4"/>
    <w:rsid w:val="00FC2ACA"/>
    <w:rsid w:val="00FC2CE1"/>
    <w:rsid w:val="00FC30F3"/>
    <w:rsid w:val="00FC3898"/>
    <w:rsid w:val="00FC395A"/>
    <w:rsid w:val="00FC3E34"/>
    <w:rsid w:val="00FC3F36"/>
    <w:rsid w:val="00FC45FC"/>
    <w:rsid w:val="00FC4723"/>
    <w:rsid w:val="00FC4A24"/>
    <w:rsid w:val="00FC5299"/>
    <w:rsid w:val="00FC52C0"/>
    <w:rsid w:val="00FC5756"/>
    <w:rsid w:val="00FC58D6"/>
    <w:rsid w:val="00FC599B"/>
    <w:rsid w:val="00FC62CA"/>
    <w:rsid w:val="00FC64B6"/>
    <w:rsid w:val="00FC64DC"/>
    <w:rsid w:val="00FC656E"/>
    <w:rsid w:val="00FC680E"/>
    <w:rsid w:val="00FC6AA2"/>
    <w:rsid w:val="00FC6F48"/>
    <w:rsid w:val="00FC6F94"/>
    <w:rsid w:val="00FC7165"/>
    <w:rsid w:val="00FC7204"/>
    <w:rsid w:val="00FC7531"/>
    <w:rsid w:val="00FC79A3"/>
    <w:rsid w:val="00FC7E1C"/>
    <w:rsid w:val="00FC7EA9"/>
    <w:rsid w:val="00FD031E"/>
    <w:rsid w:val="00FD0919"/>
    <w:rsid w:val="00FD0CFB"/>
    <w:rsid w:val="00FD0F23"/>
    <w:rsid w:val="00FD1088"/>
    <w:rsid w:val="00FD1363"/>
    <w:rsid w:val="00FD1636"/>
    <w:rsid w:val="00FD1904"/>
    <w:rsid w:val="00FD1B84"/>
    <w:rsid w:val="00FD1C40"/>
    <w:rsid w:val="00FD1F60"/>
    <w:rsid w:val="00FD21B0"/>
    <w:rsid w:val="00FD2F43"/>
    <w:rsid w:val="00FD31ED"/>
    <w:rsid w:val="00FD383E"/>
    <w:rsid w:val="00FD3CB9"/>
    <w:rsid w:val="00FD4403"/>
    <w:rsid w:val="00FD449B"/>
    <w:rsid w:val="00FD44E9"/>
    <w:rsid w:val="00FD45A6"/>
    <w:rsid w:val="00FD4896"/>
    <w:rsid w:val="00FD49B2"/>
    <w:rsid w:val="00FD4CC7"/>
    <w:rsid w:val="00FD502A"/>
    <w:rsid w:val="00FD5149"/>
    <w:rsid w:val="00FD5260"/>
    <w:rsid w:val="00FD5596"/>
    <w:rsid w:val="00FD58AE"/>
    <w:rsid w:val="00FD598B"/>
    <w:rsid w:val="00FD62B9"/>
    <w:rsid w:val="00FD6401"/>
    <w:rsid w:val="00FD66C2"/>
    <w:rsid w:val="00FD675F"/>
    <w:rsid w:val="00FD6CCA"/>
    <w:rsid w:val="00FD6D13"/>
    <w:rsid w:val="00FD6D97"/>
    <w:rsid w:val="00FD6E5C"/>
    <w:rsid w:val="00FD70D3"/>
    <w:rsid w:val="00FD7CFF"/>
    <w:rsid w:val="00FD7E4C"/>
    <w:rsid w:val="00FE004F"/>
    <w:rsid w:val="00FE02D9"/>
    <w:rsid w:val="00FE0427"/>
    <w:rsid w:val="00FE08C6"/>
    <w:rsid w:val="00FE0C33"/>
    <w:rsid w:val="00FE1485"/>
    <w:rsid w:val="00FE17F8"/>
    <w:rsid w:val="00FE1B5E"/>
    <w:rsid w:val="00FE1F65"/>
    <w:rsid w:val="00FE2502"/>
    <w:rsid w:val="00FE271B"/>
    <w:rsid w:val="00FE2916"/>
    <w:rsid w:val="00FE2C40"/>
    <w:rsid w:val="00FE2DA4"/>
    <w:rsid w:val="00FE2F1C"/>
    <w:rsid w:val="00FE39AD"/>
    <w:rsid w:val="00FE3DAA"/>
    <w:rsid w:val="00FE3FCD"/>
    <w:rsid w:val="00FE40EA"/>
    <w:rsid w:val="00FE414B"/>
    <w:rsid w:val="00FE49AB"/>
    <w:rsid w:val="00FE4D10"/>
    <w:rsid w:val="00FE4D6B"/>
    <w:rsid w:val="00FE5038"/>
    <w:rsid w:val="00FE56CF"/>
    <w:rsid w:val="00FE572E"/>
    <w:rsid w:val="00FE58AE"/>
    <w:rsid w:val="00FE5AF4"/>
    <w:rsid w:val="00FE5D1F"/>
    <w:rsid w:val="00FE5F00"/>
    <w:rsid w:val="00FE5F7B"/>
    <w:rsid w:val="00FE5F83"/>
    <w:rsid w:val="00FE67A9"/>
    <w:rsid w:val="00FE72F5"/>
    <w:rsid w:val="00FE7444"/>
    <w:rsid w:val="00FE753A"/>
    <w:rsid w:val="00FE7557"/>
    <w:rsid w:val="00FE769B"/>
    <w:rsid w:val="00FE791B"/>
    <w:rsid w:val="00FE7986"/>
    <w:rsid w:val="00FF0037"/>
    <w:rsid w:val="00FF04BA"/>
    <w:rsid w:val="00FF04EB"/>
    <w:rsid w:val="00FF083C"/>
    <w:rsid w:val="00FF145B"/>
    <w:rsid w:val="00FF1BBE"/>
    <w:rsid w:val="00FF1C52"/>
    <w:rsid w:val="00FF1CDC"/>
    <w:rsid w:val="00FF1D9E"/>
    <w:rsid w:val="00FF270A"/>
    <w:rsid w:val="00FF2917"/>
    <w:rsid w:val="00FF2A6B"/>
    <w:rsid w:val="00FF2CDE"/>
    <w:rsid w:val="00FF30E4"/>
    <w:rsid w:val="00FF318F"/>
    <w:rsid w:val="00FF3192"/>
    <w:rsid w:val="00FF3432"/>
    <w:rsid w:val="00FF3960"/>
    <w:rsid w:val="00FF3E47"/>
    <w:rsid w:val="00FF454B"/>
    <w:rsid w:val="00FF46AC"/>
    <w:rsid w:val="00FF47C3"/>
    <w:rsid w:val="00FF4C6A"/>
    <w:rsid w:val="00FF52AC"/>
    <w:rsid w:val="00FF5B7D"/>
    <w:rsid w:val="00FF5C4E"/>
    <w:rsid w:val="00FF6176"/>
    <w:rsid w:val="00FF638A"/>
    <w:rsid w:val="00FF6544"/>
    <w:rsid w:val="00FF70CE"/>
    <w:rsid w:val="00FF75BD"/>
    <w:rsid w:val="00FF7A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martTagType w:namespaceuri="schemas-houaiss/acao" w:name="dm"/>
  <w:smartTagType w:namespaceuri="schemas-houaiss/mini" w:name="verbetes"/>
  <w:smartTagType w:namespaceuri="urn:schemas-microsoft-com:office:smarttags" w:name="stockticker"/>
  <w:shapeDefaults>
    <o:shapedefaults v:ext="edit" spidmax="6150"/>
    <o:shapelayout v:ext="edit">
      <o:idmap v:ext="edit" data="1"/>
    </o:shapelayout>
  </w:shapeDefaults>
  <w:decimalSymbol w:val=","/>
  <w:listSeparator w:val=";"/>
  <w15:docId w15:val="{58AB93F6-F1E9-4687-9120-53D0E256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620"/>
  </w:style>
  <w:style w:type="paragraph" w:styleId="Ttulo1">
    <w:name w:val="heading 1"/>
    <w:basedOn w:val="Ttulo7"/>
    <w:next w:val="Normal"/>
    <w:link w:val="Ttulo1Char"/>
    <w:uiPriority w:val="99"/>
    <w:qFormat/>
    <w:rsid w:val="004C227D"/>
    <w:pPr>
      <w:jc w:val="center"/>
      <w:outlineLvl w:val="0"/>
    </w:pPr>
    <w:rPr>
      <w:rFonts w:ascii="Times New Roman" w:hAnsi="Times New Roman" w:cs="Times New Roman"/>
      <w:sz w:val="72"/>
      <w:szCs w:val="72"/>
    </w:rPr>
  </w:style>
  <w:style w:type="paragraph" w:styleId="Ttulo2">
    <w:name w:val="heading 2"/>
    <w:basedOn w:val="Normal"/>
    <w:next w:val="Normal"/>
    <w:link w:val="Ttulo2Char"/>
    <w:uiPriority w:val="99"/>
    <w:qFormat/>
    <w:rsid w:val="007E4620"/>
    <w:pPr>
      <w:keepNext/>
      <w:jc w:val="center"/>
      <w:outlineLvl w:val="1"/>
    </w:pPr>
    <w:rPr>
      <w:rFonts w:ascii="Arial" w:hAnsi="Arial" w:cs="Arial"/>
      <w:b/>
      <w:bCs/>
      <w:color w:val="000000"/>
    </w:rPr>
  </w:style>
  <w:style w:type="paragraph" w:styleId="Ttulo3">
    <w:name w:val="heading 3"/>
    <w:basedOn w:val="Normal"/>
    <w:next w:val="Normal"/>
    <w:link w:val="Ttulo3Char"/>
    <w:uiPriority w:val="99"/>
    <w:qFormat/>
    <w:rsid w:val="004C227D"/>
    <w:pPr>
      <w:shd w:val="clear" w:color="auto" w:fill="F2F2F2"/>
      <w:jc w:val="center"/>
      <w:outlineLvl w:val="2"/>
    </w:pPr>
    <w:rPr>
      <w:b/>
      <w:caps/>
      <w:sz w:val="24"/>
      <w:szCs w:val="24"/>
    </w:rPr>
  </w:style>
  <w:style w:type="paragraph" w:styleId="Ttulo4">
    <w:name w:val="heading 4"/>
    <w:basedOn w:val="Normal"/>
    <w:next w:val="Normal"/>
    <w:link w:val="Ttulo4Char"/>
    <w:uiPriority w:val="99"/>
    <w:qFormat/>
    <w:rsid w:val="007E4620"/>
    <w:pPr>
      <w:keepNext/>
      <w:outlineLvl w:val="3"/>
    </w:pPr>
    <w:rPr>
      <w:rFonts w:ascii="Arial" w:hAnsi="Arial" w:cs="Arial"/>
      <w:b/>
      <w:bCs/>
    </w:rPr>
  </w:style>
  <w:style w:type="paragraph" w:styleId="Ttulo5">
    <w:name w:val="heading 5"/>
    <w:basedOn w:val="Normal"/>
    <w:next w:val="Normal"/>
    <w:link w:val="Ttulo5Char"/>
    <w:uiPriority w:val="99"/>
    <w:qFormat/>
    <w:rsid w:val="007E4620"/>
    <w:pPr>
      <w:keepNext/>
      <w:tabs>
        <w:tab w:val="left" w:pos="2724"/>
        <w:tab w:val="left" w:pos="3746"/>
        <w:tab w:val="left" w:pos="4596"/>
        <w:tab w:val="left" w:pos="6031"/>
        <w:tab w:val="left" w:pos="7293"/>
        <w:tab w:val="left" w:pos="9218"/>
      </w:tabs>
      <w:ind w:left="-821"/>
      <w:jc w:val="center"/>
      <w:outlineLvl w:val="4"/>
    </w:pPr>
    <w:rPr>
      <w:rFonts w:ascii="Arial" w:hAnsi="Arial" w:cs="Arial"/>
      <w:b/>
      <w:bCs/>
      <w:color w:val="000000"/>
    </w:rPr>
  </w:style>
  <w:style w:type="paragraph" w:styleId="Ttulo6">
    <w:name w:val="heading 6"/>
    <w:basedOn w:val="Normal"/>
    <w:next w:val="Normal"/>
    <w:link w:val="Ttulo6Char"/>
    <w:uiPriority w:val="99"/>
    <w:qFormat/>
    <w:rsid w:val="007E4620"/>
    <w:pPr>
      <w:keepNext/>
      <w:outlineLvl w:val="5"/>
    </w:pPr>
    <w:rPr>
      <w:rFonts w:ascii="Arial" w:hAnsi="Arial" w:cs="Arial"/>
      <w:b/>
      <w:bCs/>
      <w:color w:val="000000"/>
    </w:rPr>
  </w:style>
  <w:style w:type="paragraph" w:styleId="Ttulo7">
    <w:name w:val="heading 7"/>
    <w:basedOn w:val="Normal"/>
    <w:next w:val="Normal"/>
    <w:link w:val="Ttulo7Char"/>
    <w:uiPriority w:val="99"/>
    <w:qFormat/>
    <w:rsid w:val="007E4620"/>
    <w:pPr>
      <w:keepNext/>
      <w:spacing w:line="360" w:lineRule="auto"/>
      <w:outlineLvl w:val="6"/>
    </w:pPr>
    <w:rPr>
      <w:rFonts w:ascii="Arial" w:hAnsi="Arial" w:cs="Arial"/>
      <w:b/>
      <w:bCs/>
      <w:sz w:val="22"/>
      <w:szCs w:val="22"/>
    </w:rPr>
  </w:style>
  <w:style w:type="paragraph" w:styleId="Ttulo8">
    <w:name w:val="heading 8"/>
    <w:basedOn w:val="Normal"/>
    <w:next w:val="Normal"/>
    <w:link w:val="Ttulo8Char"/>
    <w:uiPriority w:val="99"/>
    <w:qFormat/>
    <w:rsid w:val="007E4620"/>
    <w:pPr>
      <w:keepNext/>
      <w:ind w:firstLine="254"/>
      <w:outlineLvl w:val="7"/>
    </w:pPr>
    <w:rPr>
      <w:rFonts w:ascii="Arial" w:hAnsi="Arial" w:cs="Arial"/>
      <w:b/>
      <w:bCs/>
      <w:color w:val="000000"/>
    </w:rPr>
  </w:style>
  <w:style w:type="paragraph" w:styleId="Ttulo9">
    <w:name w:val="heading 9"/>
    <w:basedOn w:val="Normal"/>
    <w:next w:val="Normal"/>
    <w:link w:val="Ttulo9Char"/>
    <w:uiPriority w:val="99"/>
    <w:qFormat/>
    <w:rsid w:val="007E4620"/>
    <w:pPr>
      <w:keepNext/>
      <w:spacing w:line="360" w:lineRule="auto"/>
      <w:ind w:right="618"/>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4C227D"/>
    <w:rPr>
      <w:b/>
      <w:bCs/>
      <w:sz w:val="72"/>
      <w:szCs w:val="72"/>
    </w:rPr>
  </w:style>
  <w:style w:type="character" w:customStyle="1" w:styleId="Ttulo2Char">
    <w:name w:val="Título 2 Char"/>
    <w:link w:val="Ttulo2"/>
    <w:uiPriority w:val="9"/>
    <w:semiHidden/>
    <w:rsid w:val="00577001"/>
    <w:rPr>
      <w:rFonts w:ascii="Cambria" w:eastAsia="Times New Roman" w:hAnsi="Cambria" w:cs="Times New Roman"/>
      <w:b/>
      <w:bCs/>
      <w:i/>
      <w:iCs/>
      <w:sz w:val="28"/>
      <w:szCs w:val="28"/>
    </w:rPr>
  </w:style>
  <w:style w:type="character" w:customStyle="1" w:styleId="Ttulo3Char">
    <w:name w:val="Título 3 Char"/>
    <w:link w:val="Ttulo3"/>
    <w:uiPriority w:val="99"/>
    <w:rsid w:val="004C227D"/>
    <w:rPr>
      <w:b/>
      <w:caps/>
      <w:sz w:val="24"/>
      <w:szCs w:val="24"/>
      <w:shd w:val="clear" w:color="auto" w:fill="F2F2F2"/>
    </w:rPr>
  </w:style>
  <w:style w:type="character" w:customStyle="1" w:styleId="Ttulo4Char">
    <w:name w:val="Título 4 Char"/>
    <w:link w:val="Ttulo4"/>
    <w:uiPriority w:val="9"/>
    <w:semiHidden/>
    <w:rsid w:val="00577001"/>
    <w:rPr>
      <w:rFonts w:ascii="Calibri" w:eastAsia="Times New Roman" w:hAnsi="Calibri" w:cs="Times New Roman"/>
      <w:b/>
      <w:bCs/>
      <w:sz w:val="28"/>
      <w:szCs w:val="28"/>
    </w:rPr>
  </w:style>
  <w:style w:type="character" w:customStyle="1" w:styleId="Ttulo5Char">
    <w:name w:val="Título 5 Char"/>
    <w:link w:val="Ttulo5"/>
    <w:uiPriority w:val="9"/>
    <w:semiHidden/>
    <w:rsid w:val="00577001"/>
    <w:rPr>
      <w:rFonts w:ascii="Calibri" w:eastAsia="Times New Roman" w:hAnsi="Calibri" w:cs="Times New Roman"/>
      <w:b/>
      <w:bCs/>
      <w:i/>
      <w:iCs/>
      <w:sz w:val="26"/>
      <w:szCs w:val="26"/>
    </w:rPr>
  </w:style>
  <w:style w:type="character" w:customStyle="1" w:styleId="Ttulo6Char">
    <w:name w:val="Título 6 Char"/>
    <w:link w:val="Ttulo6"/>
    <w:uiPriority w:val="9"/>
    <w:semiHidden/>
    <w:rsid w:val="00577001"/>
    <w:rPr>
      <w:rFonts w:ascii="Calibri" w:eastAsia="Times New Roman" w:hAnsi="Calibri" w:cs="Times New Roman"/>
      <w:b/>
      <w:bCs/>
    </w:rPr>
  </w:style>
  <w:style w:type="character" w:customStyle="1" w:styleId="Ttulo7Char">
    <w:name w:val="Título 7 Char"/>
    <w:link w:val="Ttulo7"/>
    <w:uiPriority w:val="99"/>
    <w:rsid w:val="00577001"/>
    <w:rPr>
      <w:rFonts w:ascii="Calibri" w:eastAsia="Times New Roman" w:hAnsi="Calibri" w:cs="Times New Roman"/>
      <w:sz w:val="24"/>
      <w:szCs w:val="24"/>
    </w:rPr>
  </w:style>
  <w:style w:type="character" w:customStyle="1" w:styleId="Ttulo8Char">
    <w:name w:val="Título 8 Char"/>
    <w:link w:val="Ttulo8"/>
    <w:uiPriority w:val="9"/>
    <w:semiHidden/>
    <w:rsid w:val="00577001"/>
    <w:rPr>
      <w:rFonts w:ascii="Calibri" w:eastAsia="Times New Roman" w:hAnsi="Calibri" w:cs="Times New Roman"/>
      <w:i/>
      <w:iCs/>
      <w:sz w:val="24"/>
      <w:szCs w:val="24"/>
    </w:rPr>
  </w:style>
  <w:style w:type="character" w:customStyle="1" w:styleId="Ttulo9Char">
    <w:name w:val="Título 9 Char"/>
    <w:link w:val="Ttulo9"/>
    <w:uiPriority w:val="99"/>
    <w:locked/>
    <w:rsid w:val="007E4620"/>
    <w:rPr>
      <w:b/>
      <w:bCs/>
      <w:lang w:val="pt-BR" w:eastAsia="pt-BR"/>
    </w:rPr>
  </w:style>
  <w:style w:type="paragraph" w:customStyle="1" w:styleId="PPTSource">
    <w:name w:val="PPTSource"/>
    <w:basedOn w:val="Normal"/>
    <w:uiPriority w:val="99"/>
    <w:rsid w:val="007E4620"/>
    <w:pPr>
      <w:spacing w:before="80" w:after="80" w:line="240" w:lineRule="atLeast"/>
    </w:pPr>
    <w:rPr>
      <w:rFonts w:ascii="Helvetica" w:hAnsi="Helvetica" w:cs="Helvetica"/>
    </w:rPr>
  </w:style>
  <w:style w:type="paragraph" w:customStyle="1" w:styleId="NOTAS">
    <w:name w:val="NOTAS"/>
    <w:basedOn w:val="Normal"/>
    <w:uiPriority w:val="99"/>
    <w:rsid w:val="007E4620"/>
    <w:pPr>
      <w:ind w:left="425" w:right="618" w:firstLine="709"/>
      <w:jc w:val="both"/>
    </w:pPr>
  </w:style>
  <w:style w:type="paragraph" w:customStyle="1" w:styleId="notas1">
    <w:name w:val="notas1"/>
    <w:basedOn w:val="NOTAS"/>
    <w:uiPriority w:val="99"/>
    <w:rsid w:val="007E4620"/>
    <w:pPr>
      <w:ind w:left="-624" w:right="567"/>
    </w:pPr>
  </w:style>
  <w:style w:type="paragraph" w:customStyle="1" w:styleId="citcar">
    <w:name w:val="citcar"/>
    <w:basedOn w:val="Normal"/>
    <w:uiPriority w:val="99"/>
    <w:rsid w:val="007E4620"/>
    <w:pPr>
      <w:widowControl w:val="0"/>
      <w:spacing w:line="240" w:lineRule="exact"/>
      <w:ind w:left="1134" w:right="1134"/>
      <w:jc w:val="both"/>
    </w:pPr>
    <w:rPr>
      <w:sz w:val="26"/>
      <w:szCs w:val="26"/>
    </w:rPr>
  </w:style>
  <w:style w:type="paragraph" w:customStyle="1" w:styleId="Bullet">
    <w:name w:val="Bullet"/>
    <w:basedOn w:val="Normal"/>
    <w:uiPriority w:val="99"/>
    <w:rsid w:val="007E4620"/>
    <w:pPr>
      <w:tabs>
        <w:tab w:val="num" w:pos="936"/>
      </w:tabs>
      <w:ind w:left="936" w:hanging="360"/>
    </w:pPr>
  </w:style>
  <w:style w:type="paragraph" w:styleId="Recuodecorpodetexto">
    <w:name w:val="Body Text Indent"/>
    <w:basedOn w:val="Normal"/>
    <w:next w:val="Corpodetexto"/>
    <w:link w:val="RecuodecorpodetextoChar"/>
    <w:uiPriority w:val="99"/>
    <w:rsid w:val="007E4620"/>
    <w:pPr>
      <w:spacing w:line="360" w:lineRule="auto"/>
      <w:ind w:right="618"/>
      <w:jc w:val="both"/>
    </w:pPr>
    <w:rPr>
      <w:b/>
      <w:bCs/>
    </w:rPr>
  </w:style>
  <w:style w:type="character" w:customStyle="1" w:styleId="RecuodecorpodetextoChar">
    <w:name w:val="Recuo de corpo de texto Char"/>
    <w:link w:val="Recuodecorpodetexto"/>
    <w:uiPriority w:val="99"/>
    <w:semiHidden/>
    <w:rsid w:val="00577001"/>
    <w:rPr>
      <w:sz w:val="20"/>
      <w:szCs w:val="20"/>
    </w:rPr>
  </w:style>
  <w:style w:type="paragraph" w:styleId="Corpodetexto">
    <w:name w:val="Body Text"/>
    <w:basedOn w:val="Normal"/>
    <w:link w:val="CorpodetextoChar"/>
    <w:uiPriority w:val="99"/>
    <w:rsid w:val="007E4620"/>
    <w:pPr>
      <w:jc w:val="both"/>
    </w:pPr>
    <w:rPr>
      <w:rFonts w:ascii="Arial" w:hAnsi="Arial" w:cs="Arial"/>
      <w:b/>
      <w:bCs/>
      <w:sz w:val="24"/>
      <w:szCs w:val="24"/>
    </w:rPr>
  </w:style>
  <w:style w:type="character" w:customStyle="1" w:styleId="BodyTextChar">
    <w:name w:val="Body Text Char"/>
    <w:uiPriority w:val="99"/>
    <w:locked/>
    <w:rsid w:val="007E4620"/>
    <w:rPr>
      <w:rFonts w:ascii="Arial" w:hAnsi="Arial" w:cs="Arial"/>
      <w:b/>
      <w:bCs/>
      <w:sz w:val="24"/>
      <w:szCs w:val="24"/>
      <w:lang w:val="pt-BR" w:eastAsia="pt-BR"/>
    </w:rPr>
  </w:style>
  <w:style w:type="paragraph" w:styleId="Ttulo">
    <w:name w:val="Title"/>
    <w:basedOn w:val="Normal"/>
    <w:link w:val="TtuloChar"/>
    <w:uiPriority w:val="99"/>
    <w:qFormat/>
    <w:rsid w:val="007E4620"/>
    <w:pPr>
      <w:spacing w:line="360" w:lineRule="auto"/>
      <w:jc w:val="center"/>
    </w:pPr>
    <w:rPr>
      <w:rFonts w:ascii="Arial" w:hAnsi="Arial" w:cs="Arial"/>
      <w:b/>
      <w:bCs/>
      <w:sz w:val="22"/>
      <w:szCs w:val="22"/>
    </w:rPr>
  </w:style>
  <w:style w:type="character" w:customStyle="1" w:styleId="TtuloChar">
    <w:name w:val="Título Char"/>
    <w:link w:val="Ttulo"/>
    <w:uiPriority w:val="10"/>
    <w:rsid w:val="00577001"/>
    <w:rPr>
      <w:rFonts w:ascii="Cambria" w:eastAsia="Times New Roman" w:hAnsi="Cambria" w:cs="Times New Roman"/>
      <w:b/>
      <w:bCs/>
      <w:kern w:val="28"/>
      <w:sz w:val="32"/>
      <w:szCs w:val="32"/>
    </w:rPr>
  </w:style>
  <w:style w:type="character" w:styleId="Nmerodepgina">
    <w:name w:val="page number"/>
    <w:basedOn w:val="Fontepargpadro"/>
    <w:uiPriority w:val="99"/>
    <w:rsid w:val="007E4620"/>
  </w:style>
  <w:style w:type="paragraph" w:styleId="Cabealho">
    <w:name w:val="header"/>
    <w:basedOn w:val="Normal"/>
    <w:link w:val="CabealhoChar"/>
    <w:rsid w:val="007E4620"/>
    <w:pPr>
      <w:tabs>
        <w:tab w:val="center" w:pos="4419"/>
        <w:tab w:val="right" w:pos="8838"/>
      </w:tabs>
    </w:pPr>
    <w:rPr>
      <w:rFonts w:ascii="Arial" w:hAnsi="Arial" w:cs="Arial"/>
      <w:sz w:val="24"/>
      <w:szCs w:val="24"/>
    </w:rPr>
  </w:style>
  <w:style w:type="character" w:customStyle="1" w:styleId="CabealhoChar">
    <w:name w:val="Cabeçalho Char"/>
    <w:link w:val="Cabealho"/>
    <w:rsid w:val="00577001"/>
    <w:rPr>
      <w:sz w:val="20"/>
      <w:szCs w:val="20"/>
    </w:rPr>
  </w:style>
  <w:style w:type="paragraph" w:styleId="Rodap">
    <w:name w:val="footer"/>
    <w:basedOn w:val="Normal"/>
    <w:link w:val="RodapChar"/>
    <w:rsid w:val="007E4620"/>
    <w:pPr>
      <w:tabs>
        <w:tab w:val="center" w:pos="4419"/>
        <w:tab w:val="right" w:pos="8838"/>
      </w:tabs>
    </w:pPr>
  </w:style>
  <w:style w:type="character" w:customStyle="1" w:styleId="RodapChar">
    <w:name w:val="Rodapé Char"/>
    <w:basedOn w:val="Fontepargpadro"/>
    <w:link w:val="Rodap"/>
    <w:locked/>
    <w:rsid w:val="00FC7EA9"/>
  </w:style>
  <w:style w:type="paragraph" w:styleId="Recuodecorpodetexto2">
    <w:name w:val="Body Text Indent 2"/>
    <w:basedOn w:val="Normal"/>
    <w:link w:val="Recuodecorpodetexto2Char"/>
    <w:uiPriority w:val="99"/>
    <w:rsid w:val="007E4620"/>
    <w:pPr>
      <w:spacing w:line="360" w:lineRule="auto"/>
      <w:ind w:firstLine="1701"/>
      <w:jc w:val="both"/>
    </w:pPr>
    <w:rPr>
      <w:rFonts w:ascii="Arial" w:hAnsi="Arial" w:cs="Arial"/>
      <w:noProof/>
    </w:rPr>
  </w:style>
  <w:style w:type="character" w:customStyle="1" w:styleId="Recuodecorpodetexto2Char">
    <w:name w:val="Recuo de corpo de texto 2 Char"/>
    <w:link w:val="Recuodecorpodetexto2"/>
    <w:uiPriority w:val="99"/>
    <w:semiHidden/>
    <w:rsid w:val="00577001"/>
    <w:rPr>
      <w:sz w:val="20"/>
      <w:szCs w:val="20"/>
    </w:rPr>
  </w:style>
  <w:style w:type="paragraph" w:styleId="Recuodecorpodetexto3">
    <w:name w:val="Body Text Indent 3"/>
    <w:basedOn w:val="Normal"/>
    <w:link w:val="Recuodecorpodetexto3Char"/>
    <w:uiPriority w:val="99"/>
    <w:rsid w:val="007E4620"/>
    <w:pPr>
      <w:spacing w:line="360" w:lineRule="auto"/>
      <w:ind w:firstLine="2268"/>
      <w:jc w:val="both"/>
    </w:pPr>
    <w:rPr>
      <w:rFonts w:ascii="Arial" w:hAnsi="Arial" w:cs="Arial"/>
      <w:noProof/>
    </w:rPr>
  </w:style>
  <w:style w:type="character" w:customStyle="1" w:styleId="Recuodecorpodetexto3Char">
    <w:name w:val="Recuo de corpo de texto 3 Char"/>
    <w:link w:val="Recuodecorpodetexto3"/>
    <w:uiPriority w:val="99"/>
    <w:locked/>
    <w:rsid w:val="008D0534"/>
    <w:rPr>
      <w:rFonts w:ascii="Arial" w:hAnsi="Arial" w:cs="Arial"/>
      <w:noProof/>
      <w:lang w:val="pt-BR" w:eastAsia="pt-BR"/>
    </w:rPr>
  </w:style>
  <w:style w:type="paragraph" w:styleId="Corpodetexto3">
    <w:name w:val="Body Text 3"/>
    <w:basedOn w:val="Normal"/>
    <w:link w:val="Corpodetexto3Char"/>
    <w:uiPriority w:val="99"/>
    <w:rsid w:val="007E4620"/>
    <w:pPr>
      <w:spacing w:line="324" w:lineRule="auto"/>
      <w:jc w:val="both"/>
    </w:pPr>
    <w:rPr>
      <w:rFonts w:ascii="Arial" w:hAnsi="Arial" w:cs="Arial"/>
      <w:b/>
      <w:bCs/>
      <w:color w:val="0000FF"/>
      <w:sz w:val="24"/>
      <w:szCs w:val="24"/>
    </w:rPr>
  </w:style>
  <w:style w:type="character" w:customStyle="1" w:styleId="Corpodetexto3Char">
    <w:name w:val="Corpo de texto 3 Char"/>
    <w:link w:val="Corpodetexto3"/>
    <w:uiPriority w:val="99"/>
    <w:semiHidden/>
    <w:rsid w:val="00577001"/>
    <w:rPr>
      <w:sz w:val="16"/>
      <w:szCs w:val="16"/>
    </w:rPr>
  </w:style>
  <w:style w:type="paragraph" w:styleId="Textoembloco">
    <w:name w:val="Block Text"/>
    <w:basedOn w:val="Normal"/>
    <w:rsid w:val="007E4620"/>
    <w:pPr>
      <w:ind w:left="448" w:right="595" w:firstLine="851"/>
      <w:jc w:val="both"/>
    </w:pPr>
    <w:rPr>
      <w:rFonts w:ascii="Arial" w:hAnsi="Arial" w:cs="Arial"/>
    </w:rPr>
  </w:style>
  <w:style w:type="paragraph" w:customStyle="1" w:styleId="xl48">
    <w:name w:val="xl48"/>
    <w:basedOn w:val="Normal"/>
    <w:uiPriority w:val="99"/>
    <w:rsid w:val="007E4620"/>
    <w:pPr>
      <w:spacing w:before="100" w:after="100"/>
      <w:jc w:val="right"/>
    </w:pPr>
    <w:rPr>
      <w:sz w:val="18"/>
      <w:szCs w:val="18"/>
    </w:rPr>
  </w:style>
  <w:style w:type="paragraph" w:customStyle="1" w:styleId="xl31">
    <w:name w:val="xl31"/>
    <w:basedOn w:val="Normal"/>
    <w:uiPriority w:val="99"/>
    <w:rsid w:val="007E4620"/>
    <w:pPr>
      <w:pBdr>
        <w:left w:val="single" w:sz="4" w:space="0" w:color="auto"/>
        <w:bottom w:val="single" w:sz="4" w:space="0" w:color="auto"/>
        <w:right w:val="single" w:sz="4" w:space="0" w:color="auto"/>
      </w:pBdr>
      <w:spacing w:before="100" w:after="100"/>
      <w:jc w:val="center"/>
    </w:pPr>
    <w:rPr>
      <w:rFonts w:ascii="Arial" w:hAnsi="Arial" w:cs="Arial"/>
      <w:b/>
      <w:bCs/>
      <w:sz w:val="18"/>
      <w:szCs w:val="18"/>
    </w:rPr>
  </w:style>
  <w:style w:type="paragraph" w:customStyle="1" w:styleId="xl52">
    <w:name w:val="xl52"/>
    <w:basedOn w:val="Normal"/>
    <w:uiPriority w:val="99"/>
    <w:rsid w:val="007E4620"/>
    <w:pPr>
      <w:spacing w:before="100" w:after="100"/>
      <w:jc w:val="center"/>
    </w:pPr>
    <w:rPr>
      <w:b/>
      <w:bCs/>
      <w:sz w:val="18"/>
      <w:szCs w:val="18"/>
    </w:rPr>
  </w:style>
  <w:style w:type="paragraph" w:styleId="NormalWeb">
    <w:name w:val="Normal (Web)"/>
    <w:basedOn w:val="Normal"/>
    <w:uiPriority w:val="99"/>
    <w:rsid w:val="007E4620"/>
    <w:pPr>
      <w:spacing w:before="100" w:after="100"/>
      <w:jc w:val="both"/>
    </w:pPr>
    <w:rPr>
      <w:rFonts w:ascii="Arial Unicode MS" w:eastAsia="Arial Unicode MS" w:hAnsi="Arial Unicode MS" w:cs="Arial Unicode MS"/>
      <w:sz w:val="24"/>
      <w:szCs w:val="24"/>
    </w:rPr>
  </w:style>
  <w:style w:type="character" w:styleId="Forte">
    <w:name w:val="Strong"/>
    <w:uiPriority w:val="22"/>
    <w:qFormat/>
    <w:rsid w:val="007E4620"/>
    <w:rPr>
      <w:b/>
      <w:bCs/>
    </w:rPr>
  </w:style>
  <w:style w:type="paragraph" w:styleId="Numerada">
    <w:name w:val="List Number"/>
    <w:basedOn w:val="Normal"/>
    <w:uiPriority w:val="99"/>
    <w:rsid w:val="007E4620"/>
    <w:pPr>
      <w:numPr>
        <w:numId w:val="1"/>
      </w:numPr>
      <w:spacing w:before="120" w:after="120"/>
      <w:ind w:left="720" w:firstLine="0"/>
      <w:jc w:val="both"/>
    </w:pPr>
    <w:rPr>
      <w:rFonts w:ascii="Tahoma" w:hAnsi="Tahoma" w:cs="Tahoma"/>
      <w:b/>
      <w:bCs/>
      <w:noProof/>
      <w:sz w:val="24"/>
      <w:szCs w:val="24"/>
      <w:u w:val="single"/>
    </w:rPr>
  </w:style>
  <w:style w:type="paragraph" w:styleId="Numerada2">
    <w:name w:val="List Number 2"/>
    <w:basedOn w:val="Normal"/>
    <w:uiPriority w:val="99"/>
    <w:rsid w:val="007E4620"/>
    <w:pPr>
      <w:numPr>
        <w:numId w:val="2"/>
      </w:numPr>
      <w:tabs>
        <w:tab w:val="clear" w:pos="1776"/>
        <w:tab w:val="num" w:pos="1440"/>
      </w:tabs>
      <w:spacing w:before="60" w:after="60"/>
      <w:ind w:left="1080" w:firstLine="0"/>
      <w:jc w:val="both"/>
    </w:pPr>
    <w:rPr>
      <w:rFonts w:ascii="Tahoma" w:hAnsi="Tahoma" w:cs="Tahoma"/>
      <w:b/>
      <w:bCs/>
      <w:sz w:val="24"/>
      <w:szCs w:val="24"/>
    </w:rPr>
  </w:style>
  <w:style w:type="paragraph" w:styleId="Numerada3">
    <w:name w:val="List Number 3"/>
    <w:basedOn w:val="Normal"/>
    <w:uiPriority w:val="99"/>
    <w:rsid w:val="007E4620"/>
    <w:pPr>
      <w:numPr>
        <w:numId w:val="3"/>
      </w:numPr>
      <w:tabs>
        <w:tab w:val="clear" w:pos="3105"/>
        <w:tab w:val="num" w:pos="1800"/>
      </w:tabs>
      <w:spacing w:after="60"/>
      <w:ind w:left="1440" w:firstLine="0"/>
      <w:jc w:val="both"/>
    </w:pPr>
    <w:rPr>
      <w:rFonts w:ascii="Tahoma" w:hAnsi="Tahoma" w:cs="Tahoma"/>
      <w:sz w:val="24"/>
      <w:szCs w:val="24"/>
    </w:rPr>
  </w:style>
  <w:style w:type="paragraph" w:customStyle="1" w:styleId="legenda">
    <w:name w:val="legenda"/>
    <w:basedOn w:val="Normal"/>
    <w:uiPriority w:val="99"/>
    <w:rsid w:val="007E4620"/>
    <w:pPr>
      <w:widowControl w:val="0"/>
    </w:pPr>
    <w:rPr>
      <w:rFonts w:ascii="Courier New" w:hAnsi="Courier New" w:cs="Courier New"/>
      <w:sz w:val="24"/>
      <w:szCs w:val="24"/>
    </w:rPr>
  </w:style>
  <w:style w:type="paragraph" w:styleId="MapadoDocumento">
    <w:name w:val="Document Map"/>
    <w:basedOn w:val="Normal"/>
    <w:link w:val="MapadoDocumentoChar"/>
    <w:uiPriority w:val="99"/>
    <w:semiHidden/>
    <w:rsid w:val="007E4620"/>
    <w:pPr>
      <w:shd w:val="clear" w:color="auto" w:fill="000080"/>
      <w:spacing w:line="360" w:lineRule="auto"/>
      <w:jc w:val="both"/>
    </w:pPr>
    <w:rPr>
      <w:rFonts w:ascii="Tahoma" w:hAnsi="Tahoma" w:cs="Tahoma"/>
      <w:noProof/>
      <w:sz w:val="22"/>
      <w:szCs w:val="22"/>
    </w:rPr>
  </w:style>
  <w:style w:type="character" w:customStyle="1" w:styleId="MapadoDocumentoChar">
    <w:name w:val="Mapa do Documento Char"/>
    <w:link w:val="MapadoDocumento"/>
    <w:uiPriority w:val="99"/>
    <w:semiHidden/>
    <w:rsid w:val="00577001"/>
    <w:rPr>
      <w:sz w:val="0"/>
      <w:szCs w:val="0"/>
    </w:rPr>
  </w:style>
  <w:style w:type="paragraph" w:customStyle="1" w:styleId="xl24">
    <w:name w:val="xl24"/>
    <w:basedOn w:val="Normal"/>
    <w:uiPriority w:val="99"/>
    <w:rsid w:val="007E4620"/>
    <w:pPr>
      <w:pBdr>
        <w:top w:val="single" w:sz="4" w:space="0" w:color="auto"/>
        <w:left w:val="single" w:sz="4" w:space="0" w:color="auto"/>
        <w:bottom w:val="single" w:sz="4" w:space="0" w:color="auto"/>
      </w:pBdr>
      <w:spacing w:before="100" w:after="100"/>
    </w:pPr>
    <w:rPr>
      <w:rFonts w:ascii="Arial" w:hAnsi="Arial" w:cs="Arial"/>
      <w:b/>
      <w:bCs/>
      <w:sz w:val="18"/>
      <w:szCs w:val="18"/>
    </w:rPr>
  </w:style>
  <w:style w:type="paragraph" w:customStyle="1" w:styleId="xl25">
    <w:name w:val="xl25"/>
    <w:basedOn w:val="Normal"/>
    <w:uiPriority w:val="99"/>
    <w:rsid w:val="007E4620"/>
    <w:pPr>
      <w:pBdr>
        <w:top w:val="single" w:sz="4" w:space="0" w:color="auto"/>
        <w:left w:val="single" w:sz="4" w:space="0" w:color="auto"/>
        <w:bottom w:val="single" w:sz="4" w:space="0" w:color="auto"/>
      </w:pBdr>
      <w:spacing w:before="100" w:after="100"/>
    </w:pPr>
    <w:rPr>
      <w:rFonts w:ascii="Arial" w:hAnsi="Arial" w:cs="Arial"/>
      <w:sz w:val="18"/>
      <w:szCs w:val="18"/>
    </w:rPr>
  </w:style>
  <w:style w:type="paragraph" w:customStyle="1" w:styleId="xl26">
    <w:name w:val="xl26"/>
    <w:basedOn w:val="Normal"/>
    <w:uiPriority w:val="99"/>
    <w:rsid w:val="007E4620"/>
    <w:pPr>
      <w:pBdr>
        <w:left w:val="single" w:sz="4" w:space="0" w:color="auto"/>
        <w:right w:val="single" w:sz="4" w:space="0" w:color="auto"/>
      </w:pBdr>
      <w:spacing w:before="100" w:after="100"/>
    </w:pPr>
    <w:rPr>
      <w:sz w:val="24"/>
      <w:szCs w:val="24"/>
    </w:rPr>
  </w:style>
  <w:style w:type="paragraph" w:customStyle="1" w:styleId="xl27">
    <w:name w:val="xl27"/>
    <w:basedOn w:val="Normal"/>
    <w:uiPriority w:val="99"/>
    <w:rsid w:val="007E4620"/>
    <w:pPr>
      <w:pBdr>
        <w:left w:val="single" w:sz="4" w:space="0" w:color="auto"/>
        <w:bottom w:val="single" w:sz="4" w:space="0" w:color="auto"/>
      </w:pBdr>
      <w:spacing w:before="100" w:after="100"/>
    </w:pPr>
    <w:rPr>
      <w:rFonts w:ascii="Arial" w:hAnsi="Arial" w:cs="Arial"/>
      <w:b/>
      <w:bCs/>
      <w:sz w:val="18"/>
      <w:szCs w:val="18"/>
    </w:rPr>
  </w:style>
  <w:style w:type="paragraph" w:customStyle="1" w:styleId="xl28">
    <w:name w:val="xl28"/>
    <w:basedOn w:val="Normal"/>
    <w:uiPriority w:val="99"/>
    <w:rsid w:val="007E4620"/>
    <w:pPr>
      <w:pBdr>
        <w:top w:val="single" w:sz="4" w:space="0" w:color="auto"/>
        <w:left w:val="single" w:sz="4" w:space="0" w:color="auto"/>
      </w:pBdr>
      <w:spacing w:before="100" w:after="100"/>
    </w:pPr>
    <w:rPr>
      <w:rFonts w:ascii="Arial" w:hAnsi="Arial" w:cs="Arial"/>
      <w:b/>
      <w:bCs/>
      <w:sz w:val="18"/>
      <w:szCs w:val="18"/>
    </w:rPr>
  </w:style>
  <w:style w:type="paragraph" w:customStyle="1" w:styleId="xl29">
    <w:name w:val="xl29"/>
    <w:basedOn w:val="Normal"/>
    <w:uiPriority w:val="99"/>
    <w:rsid w:val="007E4620"/>
    <w:pPr>
      <w:pBdr>
        <w:top w:val="single" w:sz="4" w:space="0" w:color="auto"/>
        <w:bottom w:val="single" w:sz="4" w:space="0" w:color="auto"/>
        <w:right w:val="single" w:sz="4" w:space="0" w:color="auto"/>
      </w:pBdr>
      <w:spacing w:before="100" w:after="100"/>
    </w:pPr>
    <w:rPr>
      <w:rFonts w:ascii="Arial" w:hAnsi="Arial" w:cs="Arial"/>
      <w:sz w:val="18"/>
      <w:szCs w:val="18"/>
    </w:rPr>
  </w:style>
  <w:style w:type="paragraph" w:customStyle="1" w:styleId="xl30">
    <w:name w:val="xl30"/>
    <w:basedOn w:val="Normal"/>
    <w:uiPriority w:val="99"/>
    <w:rsid w:val="007E4620"/>
    <w:pPr>
      <w:pBdr>
        <w:top w:val="single" w:sz="4" w:space="0" w:color="auto"/>
        <w:left w:val="single" w:sz="4" w:space="0" w:color="auto"/>
        <w:right w:val="single" w:sz="4" w:space="0" w:color="auto"/>
      </w:pBdr>
      <w:spacing w:before="100" w:after="100"/>
      <w:jc w:val="center"/>
    </w:pPr>
    <w:rPr>
      <w:rFonts w:ascii="Arial" w:hAnsi="Arial" w:cs="Arial"/>
      <w:b/>
      <w:bCs/>
      <w:sz w:val="18"/>
      <w:szCs w:val="18"/>
    </w:rPr>
  </w:style>
  <w:style w:type="paragraph" w:customStyle="1" w:styleId="xl32">
    <w:name w:val="xl32"/>
    <w:basedOn w:val="Normal"/>
    <w:uiPriority w:val="99"/>
    <w:rsid w:val="007E4620"/>
    <w:pPr>
      <w:pBdr>
        <w:top w:val="single" w:sz="4" w:space="0" w:color="auto"/>
        <w:left w:val="single" w:sz="4" w:space="0" w:color="auto"/>
        <w:bottom w:val="single" w:sz="4" w:space="0" w:color="auto"/>
        <w:right w:val="single" w:sz="4" w:space="0" w:color="auto"/>
      </w:pBdr>
      <w:spacing w:before="100" w:after="100"/>
    </w:pPr>
    <w:rPr>
      <w:rFonts w:ascii="Arial" w:hAnsi="Arial" w:cs="Arial"/>
      <w:sz w:val="18"/>
      <w:szCs w:val="18"/>
    </w:rPr>
  </w:style>
  <w:style w:type="paragraph" w:customStyle="1" w:styleId="xl33">
    <w:name w:val="xl33"/>
    <w:basedOn w:val="Normal"/>
    <w:uiPriority w:val="99"/>
    <w:rsid w:val="007E4620"/>
    <w:pPr>
      <w:pBdr>
        <w:top w:val="single" w:sz="4" w:space="0" w:color="auto"/>
        <w:left w:val="single" w:sz="4" w:space="0" w:color="auto"/>
        <w:bottom w:val="single" w:sz="4" w:space="0" w:color="auto"/>
        <w:right w:val="single" w:sz="4" w:space="0" w:color="auto"/>
      </w:pBdr>
      <w:spacing w:before="100" w:after="100"/>
    </w:pPr>
    <w:rPr>
      <w:rFonts w:ascii="Arial" w:hAnsi="Arial" w:cs="Arial"/>
      <w:b/>
      <w:bCs/>
      <w:sz w:val="18"/>
      <w:szCs w:val="18"/>
    </w:rPr>
  </w:style>
  <w:style w:type="paragraph" w:customStyle="1" w:styleId="xl34">
    <w:name w:val="xl34"/>
    <w:basedOn w:val="Normal"/>
    <w:uiPriority w:val="99"/>
    <w:rsid w:val="007E4620"/>
    <w:pPr>
      <w:pBdr>
        <w:left w:val="single" w:sz="4" w:space="0" w:color="auto"/>
        <w:bottom w:val="single" w:sz="4" w:space="0" w:color="auto"/>
      </w:pBdr>
      <w:spacing w:before="100" w:after="100"/>
    </w:pPr>
    <w:rPr>
      <w:rFonts w:ascii="Arial" w:hAnsi="Arial" w:cs="Arial"/>
      <w:sz w:val="18"/>
      <w:szCs w:val="18"/>
    </w:rPr>
  </w:style>
  <w:style w:type="paragraph" w:customStyle="1" w:styleId="xl35">
    <w:name w:val="xl35"/>
    <w:basedOn w:val="Normal"/>
    <w:uiPriority w:val="99"/>
    <w:rsid w:val="007E4620"/>
    <w:pPr>
      <w:pBdr>
        <w:left w:val="single" w:sz="4" w:space="0" w:color="auto"/>
        <w:bottom w:val="single" w:sz="4" w:space="0" w:color="auto"/>
        <w:right w:val="single" w:sz="4" w:space="0" w:color="auto"/>
      </w:pBdr>
      <w:spacing w:before="100" w:after="100"/>
    </w:pPr>
    <w:rPr>
      <w:rFonts w:ascii="Arial" w:hAnsi="Arial" w:cs="Arial"/>
      <w:sz w:val="18"/>
      <w:szCs w:val="18"/>
    </w:rPr>
  </w:style>
  <w:style w:type="paragraph" w:customStyle="1" w:styleId="xl36">
    <w:name w:val="xl36"/>
    <w:basedOn w:val="Normal"/>
    <w:uiPriority w:val="99"/>
    <w:rsid w:val="007E4620"/>
    <w:pPr>
      <w:pBdr>
        <w:left w:val="single" w:sz="4" w:space="0" w:color="auto"/>
      </w:pBdr>
      <w:spacing w:before="100" w:after="100"/>
      <w:jc w:val="center"/>
    </w:pPr>
    <w:rPr>
      <w:rFonts w:ascii="Arial" w:hAnsi="Arial" w:cs="Arial"/>
      <w:b/>
      <w:bCs/>
      <w:sz w:val="18"/>
      <w:szCs w:val="18"/>
    </w:rPr>
  </w:style>
  <w:style w:type="paragraph" w:customStyle="1" w:styleId="xl37">
    <w:name w:val="xl37"/>
    <w:basedOn w:val="Normal"/>
    <w:uiPriority w:val="99"/>
    <w:rsid w:val="007E4620"/>
    <w:pPr>
      <w:pBdr>
        <w:top w:val="single" w:sz="4" w:space="0" w:color="auto"/>
        <w:left w:val="single" w:sz="4" w:space="0" w:color="auto"/>
        <w:right w:val="single" w:sz="4" w:space="0" w:color="auto"/>
      </w:pBdr>
      <w:spacing w:before="100" w:after="100"/>
    </w:pPr>
    <w:rPr>
      <w:rFonts w:ascii="Arial" w:hAnsi="Arial" w:cs="Arial"/>
      <w:b/>
      <w:bCs/>
      <w:sz w:val="24"/>
      <w:szCs w:val="24"/>
    </w:rPr>
  </w:style>
  <w:style w:type="paragraph" w:customStyle="1" w:styleId="xl38">
    <w:name w:val="xl38"/>
    <w:basedOn w:val="Normal"/>
    <w:uiPriority w:val="99"/>
    <w:rsid w:val="007E4620"/>
    <w:pPr>
      <w:pBdr>
        <w:left w:val="single" w:sz="4" w:space="0" w:color="auto"/>
        <w:bottom w:val="single" w:sz="4" w:space="0" w:color="auto"/>
        <w:right w:val="single" w:sz="4" w:space="0" w:color="auto"/>
      </w:pBdr>
      <w:spacing w:before="100" w:after="100"/>
    </w:pPr>
    <w:rPr>
      <w:rFonts w:ascii="Arial" w:hAnsi="Arial" w:cs="Arial"/>
      <w:b/>
      <w:bCs/>
      <w:sz w:val="24"/>
      <w:szCs w:val="24"/>
    </w:rPr>
  </w:style>
  <w:style w:type="paragraph" w:customStyle="1" w:styleId="xl39">
    <w:name w:val="xl39"/>
    <w:basedOn w:val="Normal"/>
    <w:uiPriority w:val="99"/>
    <w:rsid w:val="007E4620"/>
    <w:pPr>
      <w:pBdr>
        <w:left w:val="single" w:sz="4" w:space="0" w:color="auto"/>
        <w:bottom w:val="single" w:sz="4" w:space="0" w:color="auto"/>
      </w:pBdr>
      <w:spacing w:before="100" w:after="100"/>
    </w:pPr>
    <w:rPr>
      <w:rFonts w:ascii="Arial" w:hAnsi="Arial" w:cs="Arial"/>
      <w:b/>
      <w:bCs/>
      <w:sz w:val="18"/>
      <w:szCs w:val="18"/>
    </w:rPr>
  </w:style>
  <w:style w:type="paragraph" w:customStyle="1" w:styleId="xl40">
    <w:name w:val="xl40"/>
    <w:basedOn w:val="Normal"/>
    <w:uiPriority w:val="99"/>
    <w:rsid w:val="007E4620"/>
    <w:pPr>
      <w:pBdr>
        <w:top w:val="single" w:sz="4"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41">
    <w:name w:val="xl41"/>
    <w:basedOn w:val="Normal"/>
    <w:uiPriority w:val="99"/>
    <w:rsid w:val="007E4620"/>
    <w:pPr>
      <w:pBdr>
        <w:top w:val="single" w:sz="4" w:space="0" w:color="auto"/>
        <w:bottom w:val="single" w:sz="4" w:space="0" w:color="auto"/>
      </w:pBdr>
      <w:spacing w:before="100" w:after="100"/>
      <w:jc w:val="center"/>
    </w:pPr>
    <w:rPr>
      <w:rFonts w:ascii="Arial" w:hAnsi="Arial" w:cs="Arial"/>
      <w:b/>
      <w:bCs/>
      <w:sz w:val="24"/>
      <w:szCs w:val="24"/>
    </w:rPr>
  </w:style>
  <w:style w:type="paragraph" w:customStyle="1" w:styleId="xl42">
    <w:name w:val="xl42"/>
    <w:basedOn w:val="Normal"/>
    <w:uiPriority w:val="99"/>
    <w:rsid w:val="007E4620"/>
    <w:pPr>
      <w:spacing w:before="100" w:after="100"/>
    </w:pPr>
    <w:rPr>
      <w:sz w:val="18"/>
      <w:szCs w:val="18"/>
    </w:rPr>
  </w:style>
  <w:style w:type="paragraph" w:customStyle="1" w:styleId="xl43">
    <w:name w:val="xl43"/>
    <w:basedOn w:val="Normal"/>
    <w:uiPriority w:val="99"/>
    <w:rsid w:val="007E4620"/>
    <w:pPr>
      <w:spacing w:before="100" w:after="100"/>
    </w:pPr>
    <w:rPr>
      <w:b/>
      <w:bCs/>
      <w:sz w:val="18"/>
      <w:szCs w:val="18"/>
      <w:u w:val="single"/>
    </w:rPr>
  </w:style>
  <w:style w:type="paragraph" w:customStyle="1" w:styleId="xl44">
    <w:name w:val="xl44"/>
    <w:basedOn w:val="Normal"/>
    <w:uiPriority w:val="99"/>
    <w:rsid w:val="007E4620"/>
    <w:pPr>
      <w:spacing w:before="100" w:after="100"/>
    </w:pPr>
    <w:rPr>
      <w:b/>
      <w:bCs/>
      <w:sz w:val="18"/>
      <w:szCs w:val="18"/>
      <w:u w:val="single"/>
    </w:rPr>
  </w:style>
  <w:style w:type="paragraph" w:customStyle="1" w:styleId="xl45">
    <w:name w:val="xl45"/>
    <w:basedOn w:val="Normal"/>
    <w:uiPriority w:val="99"/>
    <w:rsid w:val="007E4620"/>
    <w:pPr>
      <w:spacing w:before="100" w:after="100"/>
    </w:pPr>
    <w:rPr>
      <w:sz w:val="18"/>
      <w:szCs w:val="18"/>
    </w:rPr>
  </w:style>
  <w:style w:type="paragraph" w:customStyle="1" w:styleId="xl46">
    <w:name w:val="xl46"/>
    <w:basedOn w:val="Normal"/>
    <w:uiPriority w:val="99"/>
    <w:rsid w:val="007E4620"/>
    <w:pPr>
      <w:spacing w:before="100" w:after="100"/>
    </w:pPr>
    <w:rPr>
      <w:b/>
      <w:bCs/>
      <w:sz w:val="18"/>
      <w:szCs w:val="18"/>
    </w:rPr>
  </w:style>
  <w:style w:type="paragraph" w:customStyle="1" w:styleId="xl47">
    <w:name w:val="xl47"/>
    <w:basedOn w:val="Normal"/>
    <w:uiPriority w:val="99"/>
    <w:rsid w:val="007E4620"/>
    <w:pPr>
      <w:spacing w:before="100" w:after="100"/>
    </w:pPr>
    <w:rPr>
      <w:sz w:val="24"/>
      <w:szCs w:val="24"/>
    </w:rPr>
  </w:style>
  <w:style w:type="paragraph" w:customStyle="1" w:styleId="xl49">
    <w:name w:val="xl49"/>
    <w:basedOn w:val="Normal"/>
    <w:uiPriority w:val="99"/>
    <w:rsid w:val="007E4620"/>
    <w:pPr>
      <w:spacing w:before="100" w:after="100"/>
      <w:jc w:val="right"/>
    </w:pPr>
    <w:rPr>
      <w:sz w:val="18"/>
      <w:szCs w:val="18"/>
      <w:u w:val="single"/>
    </w:rPr>
  </w:style>
  <w:style w:type="paragraph" w:customStyle="1" w:styleId="xl50">
    <w:name w:val="xl50"/>
    <w:basedOn w:val="Normal"/>
    <w:uiPriority w:val="99"/>
    <w:rsid w:val="007E4620"/>
    <w:pPr>
      <w:spacing w:before="100" w:after="100"/>
      <w:jc w:val="right"/>
    </w:pPr>
    <w:rPr>
      <w:b/>
      <w:bCs/>
      <w:sz w:val="18"/>
      <w:szCs w:val="18"/>
    </w:rPr>
  </w:style>
  <w:style w:type="paragraph" w:customStyle="1" w:styleId="xl53">
    <w:name w:val="xl53"/>
    <w:basedOn w:val="Normal"/>
    <w:uiPriority w:val="99"/>
    <w:rsid w:val="007E4620"/>
    <w:pPr>
      <w:spacing w:before="100" w:after="100"/>
    </w:pPr>
    <w:rPr>
      <w:sz w:val="18"/>
      <w:szCs w:val="18"/>
    </w:rPr>
  </w:style>
  <w:style w:type="paragraph" w:customStyle="1" w:styleId="xl54">
    <w:name w:val="xl54"/>
    <w:basedOn w:val="Normal"/>
    <w:uiPriority w:val="99"/>
    <w:rsid w:val="007E4620"/>
    <w:pPr>
      <w:spacing w:before="100" w:after="100"/>
      <w:jc w:val="center"/>
    </w:pPr>
    <w:rPr>
      <w:b/>
      <w:bCs/>
      <w:sz w:val="18"/>
      <w:szCs w:val="18"/>
    </w:rPr>
  </w:style>
  <w:style w:type="paragraph" w:customStyle="1" w:styleId="xl56">
    <w:name w:val="xl56"/>
    <w:basedOn w:val="Normal"/>
    <w:uiPriority w:val="99"/>
    <w:rsid w:val="007E4620"/>
    <w:pPr>
      <w:spacing w:before="100" w:after="100"/>
      <w:jc w:val="center"/>
    </w:pPr>
    <w:rPr>
      <w:rFonts w:ascii="Arial Unicode MS" w:eastAsia="Arial Unicode MS" w:hAnsi="Arial Unicode MS" w:cs="Arial Unicode MS"/>
      <w:b/>
      <w:bCs/>
      <w:sz w:val="16"/>
      <w:szCs w:val="16"/>
    </w:rPr>
  </w:style>
  <w:style w:type="paragraph" w:customStyle="1" w:styleId="xl51">
    <w:name w:val="xl51"/>
    <w:basedOn w:val="Normal"/>
    <w:uiPriority w:val="99"/>
    <w:rsid w:val="007E4620"/>
    <w:pPr>
      <w:spacing w:before="100" w:after="100"/>
    </w:pPr>
    <w:rPr>
      <w:rFonts w:ascii="Arial Unicode MS" w:eastAsia="Arial Unicode MS" w:hAnsi="Arial Unicode MS" w:cs="Arial Unicode MS"/>
      <w:b/>
      <w:bCs/>
      <w:sz w:val="18"/>
      <w:szCs w:val="18"/>
      <w:u w:val="single"/>
    </w:rPr>
  </w:style>
  <w:style w:type="paragraph" w:customStyle="1" w:styleId="TextoITR">
    <w:name w:val="Texto ITR"/>
    <w:rsid w:val="007E4620"/>
    <w:pPr>
      <w:keepLines/>
      <w:suppressAutoHyphens/>
      <w:spacing w:before="120" w:after="120" w:line="360" w:lineRule="auto"/>
      <w:jc w:val="both"/>
    </w:pPr>
    <w:rPr>
      <w:rFonts w:ascii="Arial" w:hAnsi="Arial" w:cs="Arial"/>
    </w:rPr>
  </w:style>
  <w:style w:type="paragraph" w:customStyle="1" w:styleId="TtuloITR">
    <w:name w:val="Título ITR"/>
    <w:next w:val="TextoITR"/>
    <w:autoRedefine/>
    <w:uiPriority w:val="99"/>
    <w:rsid w:val="007E4620"/>
    <w:pPr>
      <w:keepNext/>
      <w:keepLines/>
      <w:tabs>
        <w:tab w:val="num" w:pos="360"/>
        <w:tab w:val="left" w:pos="426"/>
      </w:tabs>
      <w:suppressAutoHyphens/>
      <w:spacing w:before="360" w:after="120" w:line="360" w:lineRule="auto"/>
      <w:ind w:left="360" w:hanging="360"/>
      <w:outlineLvl w:val="0"/>
    </w:pPr>
    <w:rPr>
      <w:rFonts w:ascii="Arial" w:hAnsi="Arial" w:cs="Arial"/>
      <w:b/>
      <w:bCs/>
      <w:sz w:val="24"/>
      <w:szCs w:val="24"/>
    </w:rPr>
  </w:style>
  <w:style w:type="paragraph" w:customStyle="1" w:styleId="TextoITRManter">
    <w:name w:val="Texto ITR Manter"/>
    <w:basedOn w:val="TextoITR"/>
    <w:autoRedefine/>
    <w:uiPriority w:val="99"/>
    <w:rsid w:val="007E4620"/>
    <w:pPr>
      <w:keepNext/>
      <w:widowControl w:val="0"/>
    </w:pPr>
  </w:style>
  <w:style w:type="paragraph" w:customStyle="1" w:styleId="xl55">
    <w:name w:val="xl55"/>
    <w:basedOn w:val="Normal"/>
    <w:uiPriority w:val="99"/>
    <w:rsid w:val="007E4620"/>
    <w:pPr>
      <w:pBdr>
        <w:left w:val="single" w:sz="4" w:space="0" w:color="auto"/>
        <w:right w:val="single" w:sz="4" w:space="0" w:color="auto"/>
      </w:pBdr>
      <w:spacing w:before="100" w:after="100"/>
      <w:jc w:val="right"/>
    </w:pPr>
    <w:rPr>
      <w:rFonts w:ascii="Arial Unicode MS" w:eastAsia="Arial Unicode MS" w:hAnsi="Arial Unicode MS" w:cs="Arial Unicode MS"/>
      <w:b/>
      <w:bCs/>
      <w:sz w:val="18"/>
      <w:szCs w:val="18"/>
    </w:rPr>
  </w:style>
  <w:style w:type="paragraph" w:customStyle="1" w:styleId="xl57">
    <w:name w:val="xl57"/>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b/>
      <w:bCs/>
      <w:sz w:val="18"/>
      <w:szCs w:val="18"/>
    </w:rPr>
  </w:style>
  <w:style w:type="paragraph" w:customStyle="1" w:styleId="xl58">
    <w:name w:val="xl58"/>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b/>
      <w:bCs/>
      <w:sz w:val="18"/>
      <w:szCs w:val="18"/>
    </w:rPr>
  </w:style>
  <w:style w:type="paragraph" w:customStyle="1" w:styleId="xl59">
    <w:name w:val="xl59"/>
    <w:basedOn w:val="Normal"/>
    <w:uiPriority w:val="99"/>
    <w:rsid w:val="007E4620"/>
    <w:pPr>
      <w:pBdr>
        <w:left w:val="single" w:sz="4" w:space="0" w:color="auto"/>
        <w:right w:val="single" w:sz="4" w:space="0" w:color="auto"/>
      </w:pBdr>
      <w:spacing w:before="100" w:after="100"/>
      <w:jc w:val="right"/>
    </w:pPr>
    <w:rPr>
      <w:rFonts w:ascii="Arial Unicode MS" w:eastAsia="Arial Unicode MS" w:hAnsi="Arial Unicode MS" w:cs="Arial Unicode MS"/>
      <w:sz w:val="24"/>
      <w:szCs w:val="24"/>
    </w:rPr>
  </w:style>
  <w:style w:type="paragraph" w:customStyle="1" w:styleId="xl60">
    <w:name w:val="xl60"/>
    <w:basedOn w:val="Normal"/>
    <w:uiPriority w:val="99"/>
    <w:rsid w:val="007E4620"/>
    <w:pPr>
      <w:pBdr>
        <w:left w:val="single" w:sz="4" w:space="0" w:color="auto"/>
        <w:right w:val="single" w:sz="4" w:space="0" w:color="auto"/>
      </w:pBdr>
      <w:spacing w:before="100" w:after="100"/>
      <w:jc w:val="right"/>
    </w:pPr>
    <w:rPr>
      <w:rFonts w:ascii="Arial Unicode MS" w:eastAsia="Arial Unicode MS" w:hAnsi="Arial Unicode MS" w:cs="Arial Unicode MS"/>
      <w:b/>
      <w:bCs/>
      <w:sz w:val="18"/>
      <w:szCs w:val="18"/>
      <w:u w:val="single"/>
    </w:rPr>
  </w:style>
  <w:style w:type="paragraph" w:customStyle="1" w:styleId="xl61">
    <w:name w:val="xl61"/>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sz w:val="18"/>
      <w:szCs w:val="18"/>
    </w:rPr>
  </w:style>
  <w:style w:type="paragraph" w:customStyle="1" w:styleId="xl62">
    <w:name w:val="xl62"/>
    <w:basedOn w:val="Normal"/>
    <w:uiPriority w:val="99"/>
    <w:rsid w:val="007E4620"/>
    <w:pPr>
      <w:pBdr>
        <w:left w:val="single" w:sz="4" w:space="0" w:color="auto"/>
        <w:right w:val="single" w:sz="4" w:space="0" w:color="auto"/>
      </w:pBdr>
      <w:spacing w:before="100" w:after="100"/>
      <w:jc w:val="right"/>
    </w:pPr>
    <w:rPr>
      <w:rFonts w:ascii="Arial Unicode MS" w:eastAsia="Arial Unicode MS" w:hAnsi="Arial Unicode MS" w:cs="Arial Unicode MS"/>
      <w:b/>
      <w:bCs/>
      <w:sz w:val="18"/>
      <w:szCs w:val="18"/>
      <w:u w:val="single"/>
    </w:rPr>
  </w:style>
  <w:style w:type="paragraph" w:customStyle="1" w:styleId="xl63">
    <w:name w:val="xl63"/>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sz w:val="24"/>
      <w:szCs w:val="24"/>
    </w:rPr>
  </w:style>
  <w:style w:type="paragraph" w:customStyle="1" w:styleId="xl64">
    <w:name w:val="xl64"/>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b/>
      <w:bCs/>
      <w:sz w:val="24"/>
      <w:szCs w:val="24"/>
    </w:rPr>
  </w:style>
  <w:style w:type="paragraph" w:customStyle="1" w:styleId="xl65">
    <w:name w:val="xl65"/>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b/>
      <w:bCs/>
      <w:sz w:val="24"/>
      <w:szCs w:val="24"/>
    </w:rPr>
  </w:style>
  <w:style w:type="paragraph" w:customStyle="1" w:styleId="xl66">
    <w:name w:val="xl66"/>
    <w:basedOn w:val="Normal"/>
    <w:uiPriority w:val="99"/>
    <w:rsid w:val="007E4620"/>
    <w:pPr>
      <w:pBdr>
        <w:left w:val="single" w:sz="4" w:space="0" w:color="auto"/>
        <w:bottom w:val="single" w:sz="4" w:space="0" w:color="auto"/>
        <w:right w:val="single" w:sz="4" w:space="0" w:color="auto"/>
      </w:pBdr>
      <w:spacing w:before="100" w:after="100"/>
    </w:pPr>
    <w:rPr>
      <w:rFonts w:ascii="Arial Unicode MS" w:eastAsia="Arial Unicode MS" w:hAnsi="Arial Unicode MS" w:cs="Arial Unicode MS"/>
      <w:b/>
      <w:bCs/>
      <w:sz w:val="24"/>
      <w:szCs w:val="24"/>
    </w:rPr>
  </w:style>
  <w:style w:type="paragraph" w:customStyle="1" w:styleId="xl67">
    <w:name w:val="xl67"/>
    <w:basedOn w:val="Normal"/>
    <w:uiPriority w:val="99"/>
    <w:rsid w:val="007E4620"/>
    <w:pPr>
      <w:pBdr>
        <w:left w:val="single" w:sz="4" w:space="0" w:color="auto"/>
        <w:right w:val="single" w:sz="4" w:space="0" w:color="auto"/>
      </w:pBdr>
      <w:spacing w:before="100" w:after="100"/>
      <w:jc w:val="right"/>
    </w:pPr>
    <w:rPr>
      <w:rFonts w:ascii="Arial Unicode MS" w:eastAsia="Arial Unicode MS" w:hAnsi="Arial Unicode MS" w:cs="Arial Unicode MS"/>
      <w:sz w:val="18"/>
      <w:szCs w:val="18"/>
    </w:rPr>
  </w:style>
  <w:style w:type="paragraph" w:customStyle="1" w:styleId="xl68">
    <w:name w:val="xl68"/>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b/>
      <w:bCs/>
      <w:sz w:val="18"/>
      <w:szCs w:val="18"/>
    </w:rPr>
  </w:style>
  <w:style w:type="paragraph" w:customStyle="1" w:styleId="xl69">
    <w:name w:val="xl69"/>
    <w:basedOn w:val="Normal"/>
    <w:uiPriority w:val="99"/>
    <w:rsid w:val="007E4620"/>
    <w:pPr>
      <w:pBdr>
        <w:left w:val="single" w:sz="4" w:space="0" w:color="auto"/>
        <w:right w:val="single" w:sz="4" w:space="0" w:color="auto"/>
      </w:pBdr>
      <w:spacing w:before="100" w:after="100"/>
    </w:pPr>
    <w:rPr>
      <w:rFonts w:ascii="Arial Unicode MS" w:eastAsia="Arial Unicode MS" w:hAnsi="Arial Unicode MS" w:cs="Arial Unicode MS"/>
      <w:sz w:val="24"/>
      <w:szCs w:val="24"/>
    </w:rPr>
  </w:style>
  <w:style w:type="paragraph" w:customStyle="1" w:styleId="xl70">
    <w:name w:val="xl70"/>
    <w:basedOn w:val="Normal"/>
    <w:uiPriority w:val="99"/>
    <w:rsid w:val="007E4620"/>
    <w:pPr>
      <w:pBdr>
        <w:top w:val="single" w:sz="4" w:space="0" w:color="auto"/>
        <w:left w:val="single" w:sz="4" w:space="0" w:color="auto"/>
        <w:bottom w:val="single" w:sz="4" w:space="0" w:color="auto"/>
      </w:pBdr>
      <w:spacing w:before="100" w:after="100"/>
      <w:jc w:val="center"/>
    </w:pPr>
    <w:rPr>
      <w:rFonts w:ascii="Arial Unicode MS" w:eastAsia="Arial Unicode MS" w:hAnsi="Arial Unicode MS" w:cs="Arial Unicode MS"/>
      <w:b/>
      <w:bCs/>
      <w:sz w:val="24"/>
      <w:szCs w:val="24"/>
    </w:rPr>
  </w:style>
  <w:style w:type="paragraph" w:customStyle="1" w:styleId="xl71">
    <w:name w:val="xl71"/>
    <w:basedOn w:val="Normal"/>
    <w:uiPriority w:val="99"/>
    <w:rsid w:val="007E4620"/>
    <w:pPr>
      <w:pBdr>
        <w:top w:val="single" w:sz="4" w:space="0" w:color="auto"/>
        <w:bottom w:val="single" w:sz="4" w:space="0" w:color="auto"/>
      </w:pBdr>
      <w:spacing w:before="100" w:after="100"/>
      <w:jc w:val="center"/>
    </w:pPr>
    <w:rPr>
      <w:rFonts w:ascii="Arial Unicode MS" w:eastAsia="Arial Unicode MS" w:hAnsi="Arial Unicode MS" w:cs="Arial Unicode MS"/>
      <w:b/>
      <w:bCs/>
      <w:sz w:val="24"/>
      <w:szCs w:val="24"/>
    </w:rPr>
  </w:style>
  <w:style w:type="paragraph" w:customStyle="1" w:styleId="xl72">
    <w:name w:val="xl72"/>
    <w:basedOn w:val="Normal"/>
    <w:uiPriority w:val="99"/>
    <w:rsid w:val="007E4620"/>
    <w:pPr>
      <w:pBdr>
        <w:top w:val="single" w:sz="4" w:space="0" w:color="auto"/>
        <w:bottom w:val="single" w:sz="4" w:space="0" w:color="auto"/>
        <w:right w:val="single" w:sz="4" w:space="0" w:color="auto"/>
      </w:pBdr>
      <w:spacing w:before="100" w:after="100"/>
      <w:jc w:val="center"/>
    </w:pPr>
    <w:rPr>
      <w:rFonts w:ascii="Arial Unicode MS" w:eastAsia="Arial Unicode MS" w:hAnsi="Arial Unicode MS" w:cs="Arial Unicode MS"/>
      <w:b/>
      <w:bCs/>
      <w:sz w:val="24"/>
      <w:szCs w:val="24"/>
    </w:rPr>
  </w:style>
  <w:style w:type="paragraph" w:styleId="Legenda0">
    <w:name w:val="caption"/>
    <w:basedOn w:val="Normal"/>
    <w:next w:val="Normal"/>
    <w:uiPriority w:val="99"/>
    <w:qFormat/>
    <w:rsid w:val="007E4620"/>
    <w:pPr>
      <w:spacing w:before="120" w:after="120"/>
    </w:pPr>
    <w:rPr>
      <w:b/>
      <w:bCs/>
    </w:rPr>
  </w:style>
  <w:style w:type="paragraph" w:styleId="Corpodetexto2">
    <w:name w:val="Body Text 2"/>
    <w:basedOn w:val="Normal"/>
    <w:link w:val="Corpodetexto2Char"/>
    <w:uiPriority w:val="99"/>
    <w:rsid w:val="007E4620"/>
    <w:pPr>
      <w:spacing w:after="120" w:line="480" w:lineRule="auto"/>
    </w:pPr>
  </w:style>
  <w:style w:type="character" w:customStyle="1" w:styleId="Corpodetexto2Char">
    <w:name w:val="Corpo de texto 2 Char"/>
    <w:link w:val="Corpodetexto2"/>
    <w:uiPriority w:val="99"/>
    <w:semiHidden/>
    <w:rsid w:val="00577001"/>
    <w:rPr>
      <w:sz w:val="20"/>
      <w:szCs w:val="20"/>
    </w:rPr>
  </w:style>
  <w:style w:type="paragraph" w:customStyle="1" w:styleId="BalloonText1">
    <w:name w:val="Balloon Text1"/>
    <w:basedOn w:val="Normal"/>
    <w:uiPriority w:val="99"/>
    <w:semiHidden/>
    <w:rsid w:val="007E4620"/>
    <w:rPr>
      <w:rFonts w:ascii="Tahoma" w:hAnsi="Tahoma" w:cs="Tahoma"/>
      <w:sz w:val="16"/>
      <w:szCs w:val="16"/>
    </w:rPr>
  </w:style>
  <w:style w:type="character" w:styleId="Nmerodelinha">
    <w:name w:val="line number"/>
    <w:basedOn w:val="Fontepargpadro"/>
    <w:uiPriority w:val="99"/>
    <w:rsid w:val="007E4620"/>
  </w:style>
  <w:style w:type="paragraph" w:customStyle="1" w:styleId="NormalJustificado">
    <w:name w:val="Normal + Justificado"/>
    <w:aliases w:val="Espaçamento entre linhas:  Duplo"/>
    <w:basedOn w:val="Normal"/>
    <w:uiPriority w:val="99"/>
    <w:rsid w:val="007E4620"/>
    <w:pPr>
      <w:widowControl w:val="0"/>
      <w:spacing w:line="480" w:lineRule="auto"/>
      <w:jc w:val="both"/>
    </w:pPr>
    <w:rPr>
      <w:rFonts w:ascii="Arial" w:hAnsi="Arial" w:cs="Arial"/>
      <w:sz w:val="24"/>
      <w:szCs w:val="24"/>
    </w:rPr>
  </w:style>
  <w:style w:type="paragraph" w:customStyle="1" w:styleId="Normalarial">
    <w:name w:val="Normal + arial"/>
    <w:basedOn w:val="Recuodecorpodetexto2"/>
    <w:uiPriority w:val="99"/>
    <w:rsid w:val="007E4620"/>
    <w:pPr>
      <w:spacing w:before="120"/>
    </w:pPr>
  </w:style>
  <w:style w:type="paragraph" w:customStyle="1" w:styleId="textoitr0">
    <w:name w:val="textoitr"/>
    <w:basedOn w:val="Normal"/>
    <w:uiPriority w:val="99"/>
    <w:rsid w:val="007E4620"/>
    <w:pPr>
      <w:spacing w:before="120" w:after="120" w:line="360" w:lineRule="auto"/>
      <w:jc w:val="both"/>
    </w:pPr>
    <w:rPr>
      <w:rFonts w:ascii="Arial" w:eastAsia="Arial Unicode MS" w:hAnsi="Arial" w:cs="Arial"/>
    </w:rPr>
  </w:style>
  <w:style w:type="paragraph" w:customStyle="1" w:styleId="LHOTimes">
    <w:name w:val="LHO Times"/>
    <w:basedOn w:val="Ttulo1"/>
    <w:uiPriority w:val="99"/>
    <w:rsid w:val="007E4620"/>
    <w:pPr>
      <w:spacing w:line="340" w:lineRule="atLeast"/>
    </w:pPr>
    <w:rPr>
      <w:b w:val="0"/>
      <w:bCs w:val="0"/>
      <w:sz w:val="22"/>
      <w:szCs w:val="22"/>
    </w:rPr>
  </w:style>
  <w:style w:type="character" w:customStyle="1" w:styleId="CharChar">
    <w:name w:val="Char Char"/>
    <w:uiPriority w:val="99"/>
    <w:rsid w:val="007E4620"/>
    <w:rPr>
      <w:rFonts w:ascii="Arial" w:hAnsi="Arial" w:cs="Arial"/>
      <w:b/>
      <w:bCs/>
      <w:sz w:val="24"/>
      <w:szCs w:val="24"/>
      <w:lang w:val="pt-BR" w:eastAsia="pt-BR"/>
    </w:rPr>
  </w:style>
  <w:style w:type="paragraph" w:customStyle="1" w:styleId="14Sub-sub-ttulo">
    <w:name w:val="14. Sub-sub-título"/>
    <w:basedOn w:val="Normal"/>
    <w:uiPriority w:val="99"/>
    <w:rsid w:val="007E4620"/>
    <w:pPr>
      <w:spacing w:before="140" w:after="260" w:line="260" w:lineRule="atLeast"/>
      <w:ind w:hanging="720"/>
    </w:pPr>
    <w:rPr>
      <w:b/>
      <w:bCs/>
      <w:i/>
      <w:iCs/>
      <w:sz w:val="24"/>
      <w:szCs w:val="24"/>
      <w:lang w:val="en-US"/>
    </w:rPr>
  </w:style>
  <w:style w:type="paragraph" w:customStyle="1" w:styleId="Texto1">
    <w:name w:val="Texto 1"/>
    <w:uiPriority w:val="99"/>
    <w:rsid w:val="007E4620"/>
    <w:pPr>
      <w:keepNext/>
      <w:keepLines/>
      <w:tabs>
        <w:tab w:val="left" w:pos="-720"/>
      </w:tabs>
      <w:suppressAutoHyphens/>
    </w:pPr>
    <w:rPr>
      <w:lang w:val="en-US"/>
    </w:rPr>
  </w:style>
  <w:style w:type="paragraph" w:customStyle="1" w:styleId="Tcnico5">
    <w:name w:val="TÀ)Àcnico 5"/>
    <w:uiPriority w:val="99"/>
    <w:rsid w:val="007E4620"/>
    <w:pPr>
      <w:tabs>
        <w:tab w:val="left" w:pos="-720"/>
      </w:tabs>
      <w:suppressAutoHyphens/>
      <w:ind w:firstLine="720"/>
    </w:pPr>
    <w:rPr>
      <w:b/>
      <w:bCs/>
      <w:lang w:val="en-US"/>
    </w:rPr>
  </w:style>
  <w:style w:type="paragraph" w:customStyle="1" w:styleId="Text">
    <w:name w:val="Text"/>
    <w:uiPriority w:val="99"/>
    <w:rsid w:val="007E4620"/>
    <w:pPr>
      <w:spacing w:before="240" w:line="260" w:lineRule="atLeast"/>
    </w:pPr>
    <w:rPr>
      <w:noProof/>
      <w:sz w:val="22"/>
      <w:szCs w:val="22"/>
      <w:lang w:val="en-US" w:eastAsia="en-US"/>
    </w:rPr>
  </w:style>
  <w:style w:type="character" w:customStyle="1" w:styleId="CorpodetextoChar">
    <w:name w:val="Corpo de texto Char"/>
    <w:link w:val="Corpodetexto"/>
    <w:uiPriority w:val="99"/>
    <w:locked/>
    <w:rsid w:val="00D434C0"/>
    <w:rPr>
      <w:rFonts w:ascii="Arial" w:hAnsi="Arial" w:cs="Arial"/>
      <w:b/>
      <w:bCs/>
      <w:sz w:val="24"/>
      <w:szCs w:val="24"/>
    </w:rPr>
  </w:style>
  <w:style w:type="paragraph" w:styleId="Textodebalo">
    <w:name w:val="Balloon Text"/>
    <w:basedOn w:val="Normal"/>
    <w:link w:val="TextodebaloChar"/>
    <w:uiPriority w:val="99"/>
    <w:semiHidden/>
    <w:rsid w:val="00EF53AC"/>
    <w:rPr>
      <w:rFonts w:ascii="Tahoma" w:hAnsi="Tahoma" w:cs="Tahoma"/>
      <w:sz w:val="16"/>
      <w:szCs w:val="16"/>
    </w:rPr>
  </w:style>
  <w:style w:type="character" w:customStyle="1" w:styleId="TextodebaloChar">
    <w:name w:val="Texto de balão Char"/>
    <w:link w:val="Textodebalo"/>
    <w:uiPriority w:val="99"/>
    <w:locked/>
    <w:rsid w:val="00EF53AC"/>
    <w:rPr>
      <w:rFonts w:ascii="Tahoma" w:hAnsi="Tahoma" w:cs="Tahoma"/>
      <w:sz w:val="16"/>
      <w:szCs w:val="16"/>
    </w:rPr>
  </w:style>
  <w:style w:type="paragraph" w:customStyle="1" w:styleId="Default">
    <w:name w:val="Default"/>
    <w:rsid w:val="00110F71"/>
    <w:pPr>
      <w:autoSpaceDE w:val="0"/>
      <w:autoSpaceDN w:val="0"/>
      <w:adjustRightInd w:val="0"/>
    </w:pPr>
    <w:rPr>
      <w:rFonts w:ascii="Calibri" w:hAnsi="Calibri" w:cs="Calibri"/>
      <w:color w:val="000000"/>
      <w:sz w:val="24"/>
      <w:szCs w:val="24"/>
      <w:lang w:eastAsia="en-US"/>
    </w:rPr>
  </w:style>
  <w:style w:type="character" w:customStyle="1" w:styleId="BodyTextChar1">
    <w:name w:val="Body Text Char1"/>
    <w:uiPriority w:val="99"/>
    <w:locked/>
    <w:rsid w:val="00530318"/>
    <w:rPr>
      <w:rFonts w:ascii="Arial" w:hAnsi="Arial" w:cs="Arial"/>
      <w:b/>
      <w:bCs/>
      <w:sz w:val="24"/>
      <w:szCs w:val="24"/>
      <w:lang w:val="pt-BR" w:eastAsia="pt-BR"/>
    </w:rPr>
  </w:style>
  <w:style w:type="paragraph" w:styleId="PargrafodaLista">
    <w:name w:val="List Paragraph"/>
    <w:basedOn w:val="Normal"/>
    <w:link w:val="PargrafodaListaChar"/>
    <w:uiPriority w:val="34"/>
    <w:qFormat/>
    <w:rsid w:val="00530318"/>
    <w:pPr>
      <w:spacing w:after="200" w:line="276" w:lineRule="auto"/>
      <w:ind w:left="720"/>
    </w:pPr>
    <w:rPr>
      <w:rFonts w:ascii="Calibri" w:hAnsi="Calibri" w:cs="Calibri"/>
      <w:sz w:val="22"/>
      <w:szCs w:val="22"/>
      <w:lang w:val="en-US" w:eastAsia="en-US"/>
    </w:rPr>
  </w:style>
  <w:style w:type="table" w:styleId="Tabelacomgrade">
    <w:name w:val="Table Grid"/>
    <w:basedOn w:val="Tabelanormal"/>
    <w:rsid w:val="00613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cnico4">
    <w:name w:val="TÀ)Àcnico 4"/>
    <w:uiPriority w:val="99"/>
    <w:rsid w:val="008D0534"/>
    <w:pPr>
      <w:tabs>
        <w:tab w:val="left" w:pos="-720"/>
      </w:tabs>
      <w:suppressAutoHyphens/>
    </w:pPr>
    <w:rPr>
      <w:b/>
      <w:bCs/>
      <w:lang w:val="en-US"/>
    </w:rPr>
  </w:style>
  <w:style w:type="character" w:styleId="Refdecomentrio">
    <w:name w:val="annotation reference"/>
    <w:uiPriority w:val="99"/>
    <w:rsid w:val="003D42AB"/>
    <w:rPr>
      <w:sz w:val="16"/>
      <w:szCs w:val="16"/>
    </w:rPr>
  </w:style>
  <w:style w:type="paragraph" w:styleId="Textodecomentrio">
    <w:name w:val="annotation text"/>
    <w:basedOn w:val="Normal"/>
    <w:link w:val="TextodecomentrioChar"/>
    <w:uiPriority w:val="99"/>
    <w:rsid w:val="003D42AB"/>
  </w:style>
  <w:style w:type="character" w:customStyle="1" w:styleId="TextodecomentrioChar">
    <w:name w:val="Texto de comentário Char"/>
    <w:basedOn w:val="Fontepargpadro"/>
    <w:link w:val="Textodecomentrio"/>
    <w:uiPriority w:val="99"/>
    <w:locked/>
    <w:rsid w:val="003D42AB"/>
  </w:style>
  <w:style w:type="paragraph" w:styleId="Assuntodocomentrio">
    <w:name w:val="annotation subject"/>
    <w:basedOn w:val="Textodecomentrio"/>
    <w:next w:val="Textodecomentrio"/>
    <w:link w:val="AssuntodocomentrioChar"/>
    <w:uiPriority w:val="99"/>
    <w:semiHidden/>
    <w:rsid w:val="003D42AB"/>
    <w:rPr>
      <w:b/>
      <w:bCs/>
    </w:rPr>
  </w:style>
  <w:style w:type="character" w:customStyle="1" w:styleId="AssuntodocomentrioChar">
    <w:name w:val="Assunto do comentário Char"/>
    <w:link w:val="Assuntodocomentrio"/>
    <w:uiPriority w:val="99"/>
    <w:locked/>
    <w:rsid w:val="003D42AB"/>
    <w:rPr>
      <w:b/>
      <w:bCs/>
    </w:rPr>
  </w:style>
  <w:style w:type="paragraph" w:customStyle="1" w:styleId="ListParagraph1">
    <w:name w:val="List Paragraph1"/>
    <w:basedOn w:val="Normal"/>
    <w:uiPriority w:val="99"/>
    <w:rsid w:val="00731A32"/>
    <w:pPr>
      <w:spacing w:before="120" w:after="200" w:line="276" w:lineRule="auto"/>
      <w:ind w:left="720"/>
      <w:jc w:val="both"/>
    </w:pPr>
    <w:rPr>
      <w:rFonts w:ascii="Calibri" w:hAnsi="Calibri" w:cs="Calibri"/>
      <w:sz w:val="22"/>
      <w:szCs w:val="22"/>
      <w:lang w:val="en-US" w:eastAsia="en-US"/>
    </w:rPr>
  </w:style>
  <w:style w:type="paragraph" w:customStyle="1" w:styleId="corpodotextodf">
    <w:name w:val="corpo do texto df"/>
    <w:basedOn w:val="Normal"/>
    <w:uiPriority w:val="99"/>
    <w:rsid w:val="003E2A4A"/>
    <w:pPr>
      <w:keepLines/>
      <w:widowControl w:val="0"/>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jc w:val="both"/>
    </w:pPr>
    <w:rPr>
      <w:sz w:val="22"/>
      <w:szCs w:val="22"/>
      <w:lang w:eastAsia="en-US"/>
    </w:rPr>
  </w:style>
  <w:style w:type="paragraph" w:customStyle="1" w:styleId="item">
    <w:name w:val="item"/>
    <w:basedOn w:val="Normal"/>
    <w:rsid w:val="00E92849"/>
    <w:pPr>
      <w:tabs>
        <w:tab w:val="num" w:pos="644"/>
      </w:tabs>
      <w:ind w:left="624" w:hanging="340"/>
    </w:pPr>
  </w:style>
  <w:style w:type="paragraph" w:customStyle="1" w:styleId="Corpodotextodf2">
    <w:name w:val="Corpo do texto df 2"/>
    <w:basedOn w:val="Normal"/>
    <w:qFormat/>
    <w:rsid w:val="00E92849"/>
    <w:pPr>
      <w:keepLines/>
      <w:ind w:left="360"/>
      <w:jc w:val="both"/>
    </w:pPr>
    <w:rPr>
      <w:sz w:val="22"/>
      <w:szCs w:val="22"/>
      <w:lang w:eastAsia="en-US"/>
    </w:rPr>
  </w:style>
  <w:style w:type="paragraph" w:styleId="Lista">
    <w:name w:val="List"/>
    <w:basedOn w:val="Normal"/>
    <w:uiPriority w:val="99"/>
    <w:rsid w:val="00040AAF"/>
    <w:pPr>
      <w:ind w:left="283" w:hanging="283"/>
    </w:pPr>
  </w:style>
  <w:style w:type="character" w:customStyle="1" w:styleId="hlhilite">
    <w:name w:val="hlhilite"/>
    <w:basedOn w:val="Fontepargpadro"/>
    <w:uiPriority w:val="99"/>
    <w:rsid w:val="00E04146"/>
  </w:style>
  <w:style w:type="character" w:styleId="nfase">
    <w:name w:val="Emphasis"/>
    <w:uiPriority w:val="20"/>
    <w:qFormat/>
    <w:locked/>
    <w:rsid w:val="00E346B2"/>
    <w:rPr>
      <w:i/>
      <w:iCs/>
    </w:rPr>
  </w:style>
  <w:style w:type="paragraph" w:styleId="Textodenotaderodap">
    <w:name w:val="footnote text"/>
    <w:basedOn w:val="Normal"/>
    <w:link w:val="TextodenotaderodapChar"/>
    <w:rsid w:val="003B20E8"/>
    <w:rPr>
      <w:rFonts w:eastAsia="SimSun"/>
      <w:lang w:val="en-GB" w:eastAsia="zh-CN"/>
    </w:rPr>
  </w:style>
  <w:style w:type="character" w:customStyle="1" w:styleId="TextodenotaderodapChar">
    <w:name w:val="Texto de nota de rodapé Char"/>
    <w:link w:val="Textodenotaderodap"/>
    <w:rsid w:val="003B20E8"/>
    <w:rPr>
      <w:rFonts w:eastAsia="SimSun"/>
      <w:sz w:val="20"/>
      <w:szCs w:val="20"/>
      <w:lang w:val="en-GB" w:eastAsia="zh-CN"/>
    </w:rPr>
  </w:style>
  <w:style w:type="character" w:styleId="Refdenotaderodap">
    <w:name w:val="footnote reference"/>
    <w:rsid w:val="003B20E8"/>
    <w:rPr>
      <w:vertAlign w:val="superscript"/>
    </w:rPr>
  </w:style>
  <w:style w:type="paragraph" w:styleId="Textodenotadefim">
    <w:name w:val="endnote text"/>
    <w:basedOn w:val="Normal"/>
    <w:link w:val="TextodenotadefimChar"/>
    <w:uiPriority w:val="99"/>
    <w:semiHidden/>
    <w:unhideWhenUsed/>
    <w:rsid w:val="00050A8A"/>
    <w:rPr>
      <w:rFonts w:eastAsia="SimSun"/>
      <w:lang w:val="en-GB" w:eastAsia="zh-CN"/>
    </w:rPr>
  </w:style>
  <w:style w:type="character" w:customStyle="1" w:styleId="TextodenotadefimChar">
    <w:name w:val="Texto de nota de fim Char"/>
    <w:link w:val="Textodenotadefim"/>
    <w:uiPriority w:val="99"/>
    <w:semiHidden/>
    <w:rsid w:val="00050A8A"/>
    <w:rPr>
      <w:rFonts w:eastAsia="SimSun"/>
      <w:sz w:val="20"/>
      <w:szCs w:val="20"/>
      <w:lang w:val="en-GB" w:eastAsia="zh-CN"/>
    </w:rPr>
  </w:style>
  <w:style w:type="paragraph" w:styleId="Reviso">
    <w:name w:val="Revision"/>
    <w:hidden/>
    <w:uiPriority w:val="99"/>
    <w:semiHidden/>
    <w:rsid w:val="00292353"/>
  </w:style>
  <w:style w:type="paragraph" w:styleId="TextosemFormatao">
    <w:name w:val="Plain Text"/>
    <w:basedOn w:val="Normal"/>
    <w:link w:val="TextosemFormataoChar"/>
    <w:uiPriority w:val="99"/>
    <w:unhideWhenUsed/>
    <w:rsid w:val="0088327A"/>
    <w:rPr>
      <w:rFonts w:ascii="Consolas" w:eastAsia="Calibri" w:hAnsi="Consolas"/>
      <w:sz w:val="21"/>
      <w:szCs w:val="21"/>
      <w:lang w:eastAsia="en-US"/>
    </w:rPr>
  </w:style>
  <w:style w:type="character" w:customStyle="1" w:styleId="TextosemFormataoChar">
    <w:name w:val="Texto sem Formatação Char"/>
    <w:link w:val="TextosemFormatao"/>
    <w:uiPriority w:val="99"/>
    <w:rsid w:val="0088327A"/>
    <w:rPr>
      <w:rFonts w:ascii="Consolas" w:eastAsia="Calibri" w:hAnsi="Consolas" w:cs="Times New Roman"/>
      <w:sz w:val="21"/>
      <w:szCs w:val="21"/>
      <w:lang w:eastAsia="en-US"/>
    </w:rPr>
  </w:style>
  <w:style w:type="paragraph" w:customStyle="1" w:styleId="Corpodotexto12Negrito">
    <w:name w:val="Corpo do texto 12  Negrito"/>
    <w:qFormat/>
    <w:rsid w:val="00F9145F"/>
    <w:rPr>
      <w:b/>
      <w:sz w:val="24"/>
      <w:szCs w:val="22"/>
      <w:lang w:eastAsia="en-US"/>
    </w:rPr>
  </w:style>
  <w:style w:type="paragraph" w:customStyle="1" w:styleId="Corpodotexto12NegritoItlico">
    <w:name w:val="Corpo do texto 12 Negrito Itálico"/>
    <w:basedOn w:val="Corpodotexto12Negrito"/>
    <w:rsid w:val="00F9145F"/>
    <w:pPr>
      <w:numPr>
        <w:ilvl w:val="1"/>
      </w:numPr>
    </w:pPr>
    <w:rPr>
      <w:i/>
    </w:rPr>
  </w:style>
  <w:style w:type="paragraph" w:customStyle="1" w:styleId="Corpodotexto12Itlico">
    <w:name w:val="Corpo do texto 12 Itálico"/>
    <w:basedOn w:val="Corpodotexto12NegritoItlico"/>
    <w:qFormat/>
    <w:rsid w:val="00F9145F"/>
    <w:pPr>
      <w:numPr>
        <w:ilvl w:val="2"/>
      </w:numPr>
    </w:pPr>
    <w:rPr>
      <w:b w:val="0"/>
    </w:rPr>
  </w:style>
  <w:style w:type="paragraph" w:customStyle="1" w:styleId="Corpodotexto11Negrito">
    <w:name w:val="Corpo do texto 11 Negrito"/>
    <w:basedOn w:val="Normal"/>
    <w:qFormat/>
    <w:rsid w:val="00F9145F"/>
    <w:pPr>
      <w:numPr>
        <w:ilvl w:val="3"/>
        <w:numId w:val="4"/>
      </w:numPr>
    </w:pPr>
    <w:rPr>
      <w:rFonts w:eastAsia="Calibri"/>
      <w:b/>
      <w:sz w:val="22"/>
      <w:szCs w:val="24"/>
      <w:lang w:eastAsia="en-US"/>
    </w:rPr>
  </w:style>
  <w:style w:type="paragraph" w:customStyle="1" w:styleId="AsteriscoMarcador2">
    <w:name w:val="AsteriscoMarcador2"/>
    <w:basedOn w:val="Normal"/>
    <w:qFormat/>
    <w:rsid w:val="00BC771C"/>
    <w:pPr>
      <w:spacing w:after="220"/>
      <w:ind w:hanging="734"/>
    </w:pPr>
    <w:rPr>
      <w:rFonts w:eastAsia="Calibri"/>
      <w:sz w:val="22"/>
    </w:rPr>
  </w:style>
  <w:style w:type="paragraph" w:customStyle="1" w:styleId="MarcadorRomanoMinusculo">
    <w:name w:val="MarcadorRomanoMinusculo"/>
    <w:qFormat/>
    <w:rsid w:val="008109EC"/>
    <w:pPr>
      <w:numPr>
        <w:numId w:val="5"/>
      </w:numPr>
      <w:spacing w:after="220"/>
    </w:pPr>
    <w:rPr>
      <w:sz w:val="22"/>
      <w:lang w:eastAsia="en-US"/>
    </w:rPr>
  </w:style>
  <w:style w:type="paragraph" w:customStyle="1" w:styleId="17TEXTOcorpojustificado">
    <w:name w:val="17. «TEXTO» corpo justificado"/>
    <w:basedOn w:val="Normal"/>
    <w:link w:val="17TEXTOcorpojustificadoChar"/>
    <w:rsid w:val="005E1B6A"/>
    <w:pPr>
      <w:spacing w:line="260" w:lineRule="atLeast"/>
      <w:jc w:val="both"/>
    </w:pPr>
    <w:rPr>
      <w:rFonts w:ascii="Times" w:hAnsi="Times"/>
      <w:sz w:val="22"/>
      <w:lang w:eastAsia="en-US"/>
    </w:rPr>
  </w:style>
  <w:style w:type="character" w:customStyle="1" w:styleId="17TEXTOcorpojustificadoChar">
    <w:name w:val="17. «TEXTO» corpo justificado Char"/>
    <w:link w:val="17TEXTOcorpojustificado"/>
    <w:uiPriority w:val="99"/>
    <w:locked/>
    <w:rsid w:val="005E1B6A"/>
    <w:rPr>
      <w:rFonts w:ascii="Times" w:hAnsi="Times"/>
      <w:szCs w:val="20"/>
      <w:lang w:eastAsia="en-US"/>
    </w:rPr>
  </w:style>
  <w:style w:type="paragraph" w:customStyle="1" w:styleId="Marcadora">
    <w:name w:val="Marcador(a.)"/>
    <w:basedOn w:val="Normal"/>
    <w:qFormat/>
    <w:rsid w:val="004A3FD9"/>
    <w:pPr>
      <w:numPr>
        <w:numId w:val="6"/>
      </w:numPr>
      <w:spacing w:after="220"/>
    </w:pPr>
    <w:rPr>
      <w:sz w:val="22"/>
      <w:szCs w:val="28"/>
      <w:lang w:eastAsia="en-US"/>
    </w:rPr>
  </w:style>
  <w:style w:type="paragraph" w:customStyle="1" w:styleId="AParentesesNovo">
    <w:name w:val="AParentesesNovo"/>
    <w:qFormat/>
    <w:rsid w:val="00237226"/>
    <w:pPr>
      <w:numPr>
        <w:numId w:val="7"/>
      </w:numPr>
      <w:spacing w:after="220"/>
    </w:pPr>
    <w:rPr>
      <w:sz w:val="22"/>
      <w:szCs w:val="24"/>
      <w:lang w:eastAsia="en-US"/>
    </w:rPr>
  </w:style>
  <w:style w:type="paragraph" w:customStyle="1" w:styleId="Marcadori">
    <w:name w:val="Marcadori"/>
    <w:basedOn w:val="Normal"/>
    <w:qFormat/>
    <w:rsid w:val="00C74056"/>
    <w:pPr>
      <w:numPr>
        <w:numId w:val="8"/>
      </w:numPr>
      <w:spacing w:after="220"/>
    </w:pPr>
    <w:rPr>
      <w:sz w:val="22"/>
      <w:szCs w:val="28"/>
      <w:lang w:eastAsia="en-US"/>
    </w:rPr>
  </w:style>
  <w:style w:type="paragraph" w:styleId="Assinatura">
    <w:name w:val="Signature"/>
    <w:basedOn w:val="Normal"/>
    <w:link w:val="AssinaturaChar"/>
    <w:rsid w:val="00C075E8"/>
    <w:pPr>
      <w:keepNext/>
      <w:keepLines/>
      <w:spacing w:before="600" w:after="120"/>
      <w:jc w:val="center"/>
    </w:pPr>
    <w:rPr>
      <w:b/>
      <w:i/>
      <w:sz w:val="18"/>
    </w:rPr>
  </w:style>
  <w:style w:type="character" w:customStyle="1" w:styleId="AssinaturaChar">
    <w:name w:val="Assinatura Char"/>
    <w:link w:val="Assinatura"/>
    <w:rsid w:val="00C075E8"/>
    <w:rPr>
      <w:b/>
      <w:i/>
      <w:sz w:val="18"/>
      <w:szCs w:val="20"/>
    </w:rPr>
  </w:style>
  <w:style w:type="character" w:styleId="RefernciaIntensa">
    <w:name w:val="Intense Reference"/>
    <w:uiPriority w:val="32"/>
    <w:qFormat/>
    <w:rsid w:val="00234DDB"/>
    <w:rPr>
      <w:b/>
      <w:bCs/>
      <w:smallCaps/>
      <w:color w:val="000000"/>
      <w:spacing w:val="5"/>
      <w:u w:val="single"/>
    </w:rPr>
  </w:style>
  <w:style w:type="paragraph" w:customStyle="1" w:styleId="11Textojustificado">
    <w:name w:val="11. Texto justificado"/>
    <w:basedOn w:val="Normal"/>
    <w:link w:val="11TextojustificadoChar"/>
    <w:rsid w:val="008B4997"/>
    <w:pPr>
      <w:spacing w:after="260" w:line="240" w:lineRule="atLeast"/>
      <w:jc w:val="both"/>
    </w:pPr>
    <w:rPr>
      <w:sz w:val="22"/>
    </w:rPr>
  </w:style>
  <w:style w:type="character" w:customStyle="1" w:styleId="11TextojustificadoChar">
    <w:name w:val="11. Texto justificado Char"/>
    <w:link w:val="11Textojustificado"/>
    <w:rsid w:val="008B4997"/>
    <w:rPr>
      <w:szCs w:val="20"/>
    </w:rPr>
  </w:style>
  <w:style w:type="character" w:customStyle="1" w:styleId="PargrafodaListaChar">
    <w:name w:val="Parágrafo da Lista Char"/>
    <w:link w:val="PargrafodaLista"/>
    <w:uiPriority w:val="34"/>
    <w:rsid w:val="004C21B7"/>
    <w:rPr>
      <w:rFonts w:ascii="Calibri" w:hAnsi="Calibri" w:cs="Calibri"/>
      <w:lang w:val="en-US" w:eastAsia="en-US"/>
    </w:rPr>
  </w:style>
  <w:style w:type="paragraph" w:customStyle="1" w:styleId="1ttuloprincipaldf">
    <w:name w:val="1ttuloprincipaldf"/>
    <w:basedOn w:val="Normal"/>
    <w:rsid w:val="005A3697"/>
    <w:pPr>
      <w:spacing w:before="100" w:beforeAutospacing="1" w:after="100" w:afterAutospacing="1"/>
    </w:pPr>
    <w:rPr>
      <w:rFonts w:eastAsia="Calibri"/>
      <w:sz w:val="24"/>
      <w:szCs w:val="24"/>
    </w:rPr>
  </w:style>
  <w:style w:type="character" w:styleId="Hyperlink">
    <w:name w:val="Hyperlink"/>
    <w:uiPriority w:val="99"/>
    <w:unhideWhenUsed/>
    <w:rsid w:val="00BF43C5"/>
    <w:rPr>
      <w:color w:val="0000FF"/>
      <w:u w:val="single"/>
    </w:rPr>
  </w:style>
  <w:style w:type="paragraph" w:customStyle="1" w:styleId="corpodotextodf0">
    <w:name w:val="corpodotextodf"/>
    <w:basedOn w:val="Normal"/>
    <w:rsid w:val="00BF43C5"/>
    <w:pPr>
      <w:autoSpaceDN w:val="0"/>
      <w:jc w:val="both"/>
    </w:pPr>
    <w:rPr>
      <w:rFonts w:eastAsia="Calibri"/>
      <w:sz w:val="22"/>
      <w:szCs w:val="22"/>
    </w:rPr>
  </w:style>
  <w:style w:type="paragraph" w:styleId="SemEspaamento">
    <w:name w:val="No Spacing"/>
    <w:link w:val="SemEspaamentoChar"/>
    <w:uiPriority w:val="1"/>
    <w:qFormat/>
    <w:rsid w:val="00A55967"/>
    <w:rPr>
      <w:rFonts w:ascii="Calibri" w:hAnsi="Calibri"/>
      <w:sz w:val="22"/>
      <w:szCs w:val="22"/>
      <w:lang w:eastAsia="en-US"/>
    </w:rPr>
  </w:style>
  <w:style w:type="character" w:customStyle="1" w:styleId="SemEspaamentoChar">
    <w:name w:val="Sem Espaçamento Char"/>
    <w:link w:val="SemEspaamento"/>
    <w:uiPriority w:val="1"/>
    <w:rsid w:val="00A55967"/>
    <w:rPr>
      <w:rFonts w:ascii="Calibri" w:eastAsia="Times New Roman" w:hAnsi="Calibri" w:cs="Times New Roman"/>
      <w:lang w:eastAsia="en-US"/>
    </w:rPr>
  </w:style>
  <w:style w:type="paragraph" w:styleId="CabealhodoSumrio">
    <w:name w:val="TOC Heading"/>
    <w:basedOn w:val="Ttulo1"/>
    <w:next w:val="Normal"/>
    <w:uiPriority w:val="39"/>
    <w:semiHidden/>
    <w:unhideWhenUsed/>
    <w:qFormat/>
    <w:rsid w:val="00A55967"/>
    <w:pPr>
      <w:keepLines/>
      <w:spacing w:before="480" w:line="276" w:lineRule="auto"/>
      <w:jc w:val="left"/>
      <w:outlineLvl w:val="9"/>
    </w:pPr>
    <w:rPr>
      <w:rFonts w:ascii="Cambria" w:hAnsi="Cambria"/>
      <w:color w:val="A5A5A5"/>
      <w:sz w:val="28"/>
      <w:szCs w:val="28"/>
      <w:lang w:eastAsia="en-US"/>
    </w:rPr>
  </w:style>
  <w:style w:type="paragraph" w:styleId="Sumrio2">
    <w:name w:val="toc 2"/>
    <w:basedOn w:val="Normal"/>
    <w:next w:val="Normal"/>
    <w:autoRedefine/>
    <w:uiPriority w:val="39"/>
    <w:semiHidden/>
    <w:unhideWhenUsed/>
    <w:qFormat/>
    <w:rsid w:val="00A55967"/>
    <w:pPr>
      <w:spacing w:after="100" w:line="276" w:lineRule="auto"/>
      <w:ind w:left="220"/>
    </w:pPr>
    <w:rPr>
      <w:rFonts w:ascii="Calibri" w:hAnsi="Calibri"/>
      <w:sz w:val="22"/>
      <w:szCs w:val="22"/>
      <w:lang w:eastAsia="en-US"/>
    </w:rPr>
  </w:style>
  <w:style w:type="paragraph" w:styleId="Sumrio1">
    <w:name w:val="toc 1"/>
    <w:basedOn w:val="Normal"/>
    <w:next w:val="Normal"/>
    <w:autoRedefine/>
    <w:uiPriority w:val="39"/>
    <w:unhideWhenUsed/>
    <w:qFormat/>
    <w:rsid w:val="00A55967"/>
    <w:pPr>
      <w:spacing w:after="100" w:line="276" w:lineRule="auto"/>
    </w:pPr>
    <w:rPr>
      <w:rFonts w:ascii="Calibri" w:hAnsi="Calibri"/>
      <w:sz w:val="22"/>
      <w:szCs w:val="22"/>
      <w:lang w:eastAsia="en-US"/>
    </w:rPr>
  </w:style>
  <w:style w:type="paragraph" w:styleId="Sumrio3">
    <w:name w:val="toc 3"/>
    <w:basedOn w:val="Normal"/>
    <w:next w:val="Normal"/>
    <w:autoRedefine/>
    <w:uiPriority w:val="39"/>
    <w:unhideWhenUsed/>
    <w:qFormat/>
    <w:rsid w:val="00C2200D"/>
    <w:pPr>
      <w:tabs>
        <w:tab w:val="left" w:pos="993"/>
        <w:tab w:val="right" w:leader="dot" w:pos="9912"/>
      </w:tabs>
      <w:spacing w:after="100" w:line="276" w:lineRule="auto"/>
      <w:ind w:left="440"/>
    </w:pPr>
    <w:rPr>
      <w:rFonts w:ascii="Calibri" w:hAnsi="Calibri"/>
      <w:sz w:val="22"/>
      <w:szCs w:val="22"/>
      <w:lang w:eastAsia="en-US"/>
    </w:rPr>
  </w:style>
  <w:style w:type="table" w:customStyle="1" w:styleId="GradeClara-nfase11">
    <w:name w:val="Grade Clara - Ênfase 11"/>
    <w:basedOn w:val="Tabelanormal"/>
    <w:uiPriority w:val="62"/>
    <w:rsid w:val="00797C5B"/>
    <w:pPr>
      <w:jc w:val="both"/>
    </w:pPr>
    <w:rPr>
      <w:rFonts w:ascii="Calibri" w:hAnsi="Calibri"/>
      <w:lang w:val="en-US" w:eastAsia="en-US" w:bidi="en-US"/>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DDDDDD"/>
          <w:left w:val="single" w:sz="8" w:space="0" w:color="DDDDDD"/>
          <w:bottom w:val="single" w:sz="18" w:space="0" w:color="DDDDDD"/>
          <w:right w:val="single" w:sz="8" w:space="0" w:color="DDDDDD"/>
          <w:insideH w:val="nil"/>
          <w:insideV w:val="single" w:sz="8" w:space="0" w:color="DDDDDD"/>
        </w:tcBorders>
      </w:tcPr>
    </w:tblStylePr>
    <w:tblStylePr w:type="lastRow">
      <w:pPr>
        <w:spacing w:before="0" w:after="0" w:line="240" w:lineRule="auto"/>
      </w:pPr>
      <w:rPr>
        <w:rFonts w:ascii="Cambria" w:eastAsia="Times New Roman" w:hAnsi="Cambria" w:cs="Times New Roman"/>
        <w:b/>
        <w:bCs/>
      </w:rPr>
      <w:tblPr/>
      <w:tcPr>
        <w:tcBorders>
          <w:top w:val="double" w:sz="6" w:space="0" w:color="DDDDDD"/>
          <w:left w:val="single" w:sz="8" w:space="0" w:color="DDDDDD"/>
          <w:bottom w:val="single" w:sz="8" w:space="0" w:color="DDDDDD"/>
          <w:right w:val="single" w:sz="8" w:space="0" w:color="DDDDDD"/>
          <w:insideH w:val="nil"/>
          <w:insideV w:val="single" w:sz="8" w:space="0" w:color="DDDDD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DDDDD"/>
          <w:left w:val="single" w:sz="8" w:space="0" w:color="DDDDDD"/>
          <w:bottom w:val="single" w:sz="8" w:space="0" w:color="DDDDDD"/>
          <w:right w:val="single" w:sz="8" w:space="0" w:color="DDDDDD"/>
        </w:tcBorders>
      </w:tcPr>
    </w:tblStylePr>
    <w:tblStylePr w:type="band1Vert">
      <w:tblPr/>
      <w:tcPr>
        <w:tcBorders>
          <w:top w:val="single" w:sz="8" w:space="0" w:color="DDDDDD"/>
          <w:left w:val="single" w:sz="8" w:space="0" w:color="DDDDDD"/>
          <w:bottom w:val="single" w:sz="8" w:space="0" w:color="DDDDDD"/>
          <w:right w:val="single" w:sz="8" w:space="0" w:color="DDDDDD"/>
        </w:tcBorders>
        <w:shd w:val="clear" w:color="auto" w:fill="F6F6F6"/>
      </w:tcPr>
    </w:tblStylePr>
    <w:tblStylePr w:type="band1Horz">
      <w:tblPr/>
      <w:tcPr>
        <w:tcBorders>
          <w:top w:val="single" w:sz="8" w:space="0" w:color="DDDDDD"/>
          <w:left w:val="single" w:sz="8" w:space="0" w:color="DDDDDD"/>
          <w:bottom w:val="single" w:sz="8" w:space="0" w:color="DDDDDD"/>
          <w:right w:val="single" w:sz="8" w:space="0" w:color="DDDDDD"/>
          <w:insideV w:val="single" w:sz="8" w:space="0" w:color="DDDDDD"/>
        </w:tcBorders>
        <w:shd w:val="clear" w:color="auto" w:fill="F6F6F6"/>
      </w:tcPr>
    </w:tblStylePr>
    <w:tblStylePr w:type="band2Horz">
      <w:tblPr/>
      <w:tcPr>
        <w:tcBorders>
          <w:top w:val="single" w:sz="8" w:space="0" w:color="DDDDDD"/>
          <w:left w:val="single" w:sz="8" w:space="0" w:color="DDDDDD"/>
          <w:bottom w:val="single" w:sz="8" w:space="0" w:color="DDDDDD"/>
          <w:right w:val="single" w:sz="8" w:space="0" w:color="DDDDDD"/>
          <w:insideV w:val="single" w:sz="8" w:space="0" w:color="DDDDDD"/>
        </w:tcBorders>
      </w:tcPr>
    </w:tblStylePr>
  </w:style>
  <w:style w:type="table" w:customStyle="1" w:styleId="LightShading1">
    <w:name w:val="Light Shading1"/>
    <w:basedOn w:val="Tabelanormal"/>
    <w:uiPriority w:val="60"/>
    <w:rsid w:val="00797C5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
    <w:name w:val="Medium List 21"/>
    <w:basedOn w:val="Tabelanormal"/>
    <w:uiPriority w:val="66"/>
    <w:rsid w:val="00797C5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SombreamentoEscuro-nfase1">
    <w:name w:val="Colorful Shading Accent 1"/>
    <w:basedOn w:val="Tabelanormal"/>
    <w:uiPriority w:val="71"/>
    <w:rsid w:val="00797C5B"/>
    <w:rPr>
      <w:color w:val="000000"/>
    </w:rPr>
    <w:tblPr>
      <w:tblStyleRowBandSize w:val="1"/>
      <w:tblStyleColBandSize w:val="1"/>
      <w:tblInd w:w="0" w:type="dxa"/>
      <w:tblBorders>
        <w:top w:val="single" w:sz="24" w:space="0" w:color="000000"/>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b/>
        <w:bCs/>
      </w:rPr>
      <w:tblPr/>
      <w:tcPr>
        <w:tcBorders>
          <w:top w:val="nil"/>
          <w:left w:val="nil"/>
          <w:bottom w:val="single" w:sz="24" w:space="0" w:color="000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styleId="ListaMdia1-nfase6">
    <w:name w:val="Medium List 1 Accent 6"/>
    <w:basedOn w:val="Tabelanormal"/>
    <w:uiPriority w:val="65"/>
    <w:rsid w:val="00797C5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000000"/>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1">
    <w:name w:val="Light Shading - Accent 11"/>
    <w:basedOn w:val="Tabelanormal"/>
    <w:uiPriority w:val="60"/>
    <w:rsid w:val="00797C5B"/>
    <w:rPr>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paragraph" w:customStyle="1" w:styleId="default0">
    <w:name w:val="default"/>
    <w:basedOn w:val="Normal"/>
    <w:rsid w:val="0028051C"/>
    <w:pPr>
      <w:autoSpaceDE w:val="0"/>
      <w:autoSpaceDN w:val="0"/>
      <w:spacing w:before="200" w:after="200" w:line="276" w:lineRule="auto"/>
    </w:pPr>
    <w:rPr>
      <w:rFonts w:eastAsiaTheme="minorHAnsi"/>
      <w:color w:val="000000"/>
      <w:sz w:val="24"/>
      <w:szCs w:val="24"/>
    </w:rPr>
  </w:style>
  <w:style w:type="table" w:customStyle="1" w:styleId="ListaClara-nfase11">
    <w:name w:val="Lista Clara - Ênfase 11"/>
    <w:basedOn w:val="Tabelanormal"/>
    <w:uiPriority w:val="61"/>
    <w:rsid w:val="002327D5"/>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ListaClara-nfase12">
    <w:name w:val="Lista Clara - Ênfase 12"/>
    <w:basedOn w:val="Tabelanormal"/>
    <w:uiPriority w:val="61"/>
    <w:rsid w:val="001749FF"/>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character" w:customStyle="1" w:styleId="Textodocorpo2">
    <w:name w:val="Texto do corpo (2)_"/>
    <w:basedOn w:val="Fontepargpadro"/>
    <w:link w:val="Textodocorpo20"/>
    <w:rsid w:val="00E9008A"/>
    <w:rPr>
      <w:rFonts w:ascii="Georgia" w:eastAsia="Georgia" w:hAnsi="Georgia" w:cs="Georgia"/>
      <w:shd w:val="clear" w:color="auto" w:fill="FFFFFF"/>
    </w:rPr>
  </w:style>
  <w:style w:type="paragraph" w:customStyle="1" w:styleId="Textodocorpo20">
    <w:name w:val="Texto do corpo (2)"/>
    <w:basedOn w:val="Normal"/>
    <w:link w:val="Textodocorpo2"/>
    <w:rsid w:val="00E9008A"/>
    <w:pPr>
      <w:widowControl w:val="0"/>
      <w:shd w:val="clear" w:color="auto" w:fill="FFFFFF"/>
      <w:spacing w:before="780" w:line="223" w:lineRule="exact"/>
      <w:jc w:val="both"/>
    </w:pPr>
    <w:rPr>
      <w:rFonts w:ascii="Georgia" w:eastAsia="Georgia" w:hAnsi="Georgia" w:cs="Georgia"/>
    </w:rPr>
  </w:style>
  <w:style w:type="paragraph" w:customStyle="1" w:styleId="m-194866399670516267msolistparagraph">
    <w:name w:val="m_-194866399670516267msolistparagraph"/>
    <w:basedOn w:val="Normal"/>
    <w:rsid w:val="00E9008A"/>
    <w:pPr>
      <w:spacing w:before="100" w:beforeAutospacing="1" w:after="100" w:afterAutospacing="1"/>
    </w:pPr>
    <w:rPr>
      <w:rFonts w:eastAsiaTheme="minorHAnsi"/>
      <w:sz w:val="24"/>
      <w:szCs w:val="24"/>
    </w:rPr>
  </w:style>
  <w:style w:type="paragraph" w:customStyle="1" w:styleId="TtulodaResoluo">
    <w:name w:val="Título da Resolução"/>
    <w:basedOn w:val="Normal"/>
    <w:rsid w:val="00E9008A"/>
    <w:pPr>
      <w:keepNext/>
      <w:framePr w:hSpace="142" w:wrap="around" w:vAnchor="page" w:hAnchor="text" w:y="1"/>
      <w:spacing w:before="120" w:after="120"/>
      <w:jc w:val="center"/>
    </w:pPr>
    <w:rPr>
      <w:rFonts w:ascii="Bookman Old Style" w:hAnsi="Bookman Old Style"/>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3">
      <w:bodyDiv w:val="1"/>
      <w:marLeft w:val="0"/>
      <w:marRight w:val="0"/>
      <w:marTop w:val="0"/>
      <w:marBottom w:val="0"/>
      <w:divBdr>
        <w:top w:val="none" w:sz="0" w:space="0" w:color="auto"/>
        <w:left w:val="none" w:sz="0" w:space="0" w:color="auto"/>
        <w:bottom w:val="none" w:sz="0" w:space="0" w:color="auto"/>
        <w:right w:val="none" w:sz="0" w:space="0" w:color="auto"/>
      </w:divBdr>
    </w:div>
    <w:div w:id="352032">
      <w:bodyDiv w:val="1"/>
      <w:marLeft w:val="0"/>
      <w:marRight w:val="0"/>
      <w:marTop w:val="0"/>
      <w:marBottom w:val="0"/>
      <w:divBdr>
        <w:top w:val="none" w:sz="0" w:space="0" w:color="auto"/>
        <w:left w:val="none" w:sz="0" w:space="0" w:color="auto"/>
        <w:bottom w:val="none" w:sz="0" w:space="0" w:color="auto"/>
        <w:right w:val="none" w:sz="0" w:space="0" w:color="auto"/>
      </w:divBdr>
    </w:div>
    <w:div w:id="1786740">
      <w:bodyDiv w:val="1"/>
      <w:marLeft w:val="0"/>
      <w:marRight w:val="0"/>
      <w:marTop w:val="0"/>
      <w:marBottom w:val="0"/>
      <w:divBdr>
        <w:top w:val="none" w:sz="0" w:space="0" w:color="auto"/>
        <w:left w:val="none" w:sz="0" w:space="0" w:color="auto"/>
        <w:bottom w:val="none" w:sz="0" w:space="0" w:color="auto"/>
        <w:right w:val="none" w:sz="0" w:space="0" w:color="auto"/>
      </w:divBdr>
    </w:div>
    <w:div w:id="1979938">
      <w:bodyDiv w:val="1"/>
      <w:marLeft w:val="0"/>
      <w:marRight w:val="0"/>
      <w:marTop w:val="0"/>
      <w:marBottom w:val="0"/>
      <w:divBdr>
        <w:top w:val="none" w:sz="0" w:space="0" w:color="auto"/>
        <w:left w:val="none" w:sz="0" w:space="0" w:color="auto"/>
        <w:bottom w:val="none" w:sz="0" w:space="0" w:color="auto"/>
        <w:right w:val="none" w:sz="0" w:space="0" w:color="auto"/>
      </w:divBdr>
    </w:div>
    <w:div w:id="4090457">
      <w:bodyDiv w:val="1"/>
      <w:marLeft w:val="0"/>
      <w:marRight w:val="0"/>
      <w:marTop w:val="0"/>
      <w:marBottom w:val="0"/>
      <w:divBdr>
        <w:top w:val="none" w:sz="0" w:space="0" w:color="auto"/>
        <w:left w:val="none" w:sz="0" w:space="0" w:color="auto"/>
        <w:bottom w:val="none" w:sz="0" w:space="0" w:color="auto"/>
        <w:right w:val="none" w:sz="0" w:space="0" w:color="auto"/>
      </w:divBdr>
    </w:div>
    <w:div w:id="4141425">
      <w:bodyDiv w:val="1"/>
      <w:marLeft w:val="0"/>
      <w:marRight w:val="0"/>
      <w:marTop w:val="0"/>
      <w:marBottom w:val="0"/>
      <w:divBdr>
        <w:top w:val="none" w:sz="0" w:space="0" w:color="auto"/>
        <w:left w:val="none" w:sz="0" w:space="0" w:color="auto"/>
        <w:bottom w:val="none" w:sz="0" w:space="0" w:color="auto"/>
        <w:right w:val="none" w:sz="0" w:space="0" w:color="auto"/>
      </w:divBdr>
    </w:div>
    <w:div w:id="9109914">
      <w:bodyDiv w:val="1"/>
      <w:marLeft w:val="0"/>
      <w:marRight w:val="0"/>
      <w:marTop w:val="0"/>
      <w:marBottom w:val="0"/>
      <w:divBdr>
        <w:top w:val="none" w:sz="0" w:space="0" w:color="auto"/>
        <w:left w:val="none" w:sz="0" w:space="0" w:color="auto"/>
        <w:bottom w:val="none" w:sz="0" w:space="0" w:color="auto"/>
        <w:right w:val="none" w:sz="0" w:space="0" w:color="auto"/>
      </w:divBdr>
    </w:div>
    <w:div w:id="10959203">
      <w:bodyDiv w:val="1"/>
      <w:marLeft w:val="0"/>
      <w:marRight w:val="0"/>
      <w:marTop w:val="0"/>
      <w:marBottom w:val="0"/>
      <w:divBdr>
        <w:top w:val="none" w:sz="0" w:space="0" w:color="auto"/>
        <w:left w:val="none" w:sz="0" w:space="0" w:color="auto"/>
        <w:bottom w:val="none" w:sz="0" w:space="0" w:color="auto"/>
        <w:right w:val="none" w:sz="0" w:space="0" w:color="auto"/>
      </w:divBdr>
    </w:div>
    <w:div w:id="12390789">
      <w:bodyDiv w:val="1"/>
      <w:marLeft w:val="0"/>
      <w:marRight w:val="0"/>
      <w:marTop w:val="0"/>
      <w:marBottom w:val="0"/>
      <w:divBdr>
        <w:top w:val="none" w:sz="0" w:space="0" w:color="auto"/>
        <w:left w:val="none" w:sz="0" w:space="0" w:color="auto"/>
        <w:bottom w:val="none" w:sz="0" w:space="0" w:color="auto"/>
        <w:right w:val="none" w:sz="0" w:space="0" w:color="auto"/>
      </w:divBdr>
    </w:div>
    <w:div w:id="12845969">
      <w:bodyDiv w:val="1"/>
      <w:marLeft w:val="0"/>
      <w:marRight w:val="0"/>
      <w:marTop w:val="0"/>
      <w:marBottom w:val="0"/>
      <w:divBdr>
        <w:top w:val="none" w:sz="0" w:space="0" w:color="auto"/>
        <w:left w:val="none" w:sz="0" w:space="0" w:color="auto"/>
        <w:bottom w:val="none" w:sz="0" w:space="0" w:color="auto"/>
        <w:right w:val="none" w:sz="0" w:space="0" w:color="auto"/>
      </w:divBdr>
    </w:div>
    <w:div w:id="13502688">
      <w:bodyDiv w:val="1"/>
      <w:marLeft w:val="0"/>
      <w:marRight w:val="0"/>
      <w:marTop w:val="0"/>
      <w:marBottom w:val="0"/>
      <w:divBdr>
        <w:top w:val="none" w:sz="0" w:space="0" w:color="auto"/>
        <w:left w:val="none" w:sz="0" w:space="0" w:color="auto"/>
        <w:bottom w:val="none" w:sz="0" w:space="0" w:color="auto"/>
        <w:right w:val="none" w:sz="0" w:space="0" w:color="auto"/>
      </w:divBdr>
    </w:div>
    <w:div w:id="17438423">
      <w:bodyDiv w:val="1"/>
      <w:marLeft w:val="0"/>
      <w:marRight w:val="0"/>
      <w:marTop w:val="0"/>
      <w:marBottom w:val="0"/>
      <w:divBdr>
        <w:top w:val="none" w:sz="0" w:space="0" w:color="auto"/>
        <w:left w:val="none" w:sz="0" w:space="0" w:color="auto"/>
        <w:bottom w:val="none" w:sz="0" w:space="0" w:color="auto"/>
        <w:right w:val="none" w:sz="0" w:space="0" w:color="auto"/>
      </w:divBdr>
    </w:div>
    <w:div w:id="18052105">
      <w:bodyDiv w:val="1"/>
      <w:marLeft w:val="0"/>
      <w:marRight w:val="0"/>
      <w:marTop w:val="0"/>
      <w:marBottom w:val="0"/>
      <w:divBdr>
        <w:top w:val="none" w:sz="0" w:space="0" w:color="auto"/>
        <w:left w:val="none" w:sz="0" w:space="0" w:color="auto"/>
        <w:bottom w:val="none" w:sz="0" w:space="0" w:color="auto"/>
        <w:right w:val="none" w:sz="0" w:space="0" w:color="auto"/>
      </w:divBdr>
    </w:div>
    <w:div w:id="18822860">
      <w:bodyDiv w:val="1"/>
      <w:marLeft w:val="0"/>
      <w:marRight w:val="0"/>
      <w:marTop w:val="0"/>
      <w:marBottom w:val="0"/>
      <w:divBdr>
        <w:top w:val="none" w:sz="0" w:space="0" w:color="auto"/>
        <w:left w:val="none" w:sz="0" w:space="0" w:color="auto"/>
        <w:bottom w:val="none" w:sz="0" w:space="0" w:color="auto"/>
        <w:right w:val="none" w:sz="0" w:space="0" w:color="auto"/>
      </w:divBdr>
    </w:div>
    <w:div w:id="19014726">
      <w:bodyDiv w:val="1"/>
      <w:marLeft w:val="0"/>
      <w:marRight w:val="0"/>
      <w:marTop w:val="0"/>
      <w:marBottom w:val="0"/>
      <w:divBdr>
        <w:top w:val="none" w:sz="0" w:space="0" w:color="auto"/>
        <w:left w:val="none" w:sz="0" w:space="0" w:color="auto"/>
        <w:bottom w:val="none" w:sz="0" w:space="0" w:color="auto"/>
        <w:right w:val="none" w:sz="0" w:space="0" w:color="auto"/>
      </w:divBdr>
    </w:div>
    <w:div w:id="19168377">
      <w:bodyDiv w:val="1"/>
      <w:marLeft w:val="0"/>
      <w:marRight w:val="0"/>
      <w:marTop w:val="0"/>
      <w:marBottom w:val="0"/>
      <w:divBdr>
        <w:top w:val="none" w:sz="0" w:space="0" w:color="auto"/>
        <w:left w:val="none" w:sz="0" w:space="0" w:color="auto"/>
        <w:bottom w:val="none" w:sz="0" w:space="0" w:color="auto"/>
        <w:right w:val="none" w:sz="0" w:space="0" w:color="auto"/>
      </w:divBdr>
    </w:div>
    <w:div w:id="20279036">
      <w:bodyDiv w:val="1"/>
      <w:marLeft w:val="0"/>
      <w:marRight w:val="0"/>
      <w:marTop w:val="0"/>
      <w:marBottom w:val="0"/>
      <w:divBdr>
        <w:top w:val="none" w:sz="0" w:space="0" w:color="auto"/>
        <w:left w:val="none" w:sz="0" w:space="0" w:color="auto"/>
        <w:bottom w:val="none" w:sz="0" w:space="0" w:color="auto"/>
        <w:right w:val="none" w:sz="0" w:space="0" w:color="auto"/>
      </w:divBdr>
    </w:div>
    <w:div w:id="20863228">
      <w:bodyDiv w:val="1"/>
      <w:marLeft w:val="0"/>
      <w:marRight w:val="0"/>
      <w:marTop w:val="0"/>
      <w:marBottom w:val="0"/>
      <w:divBdr>
        <w:top w:val="none" w:sz="0" w:space="0" w:color="auto"/>
        <w:left w:val="none" w:sz="0" w:space="0" w:color="auto"/>
        <w:bottom w:val="none" w:sz="0" w:space="0" w:color="auto"/>
        <w:right w:val="none" w:sz="0" w:space="0" w:color="auto"/>
      </w:divBdr>
    </w:div>
    <w:div w:id="21563864">
      <w:bodyDiv w:val="1"/>
      <w:marLeft w:val="0"/>
      <w:marRight w:val="0"/>
      <w:marTop w:val="0"/>
      <w:marBottom w:val="0"/>
      <w:divBdr>
        <w:top w:val="none" w:sz="0" w:space="0" w:color="auto"/>
        <w:left w:val="none" w:sz="0" w:space="0" w:color="auto"/>
        <w:bottom w:val="none" w:sz="0" w:space="0" w:color="auto"/>
        <w:right w:val="none" w:sz="0" w:space="0" w:color="auto"/>
      </w:divBdr>
    </w:div>
    <w:div w:id="23481026">
      <w:bodyDiv w:val="1"/>
      <w:marLeft w:val="0"/>
      <w:marRight w:val="0"/>
      <w:marTop w:val="0"/>
      <w:marBottom w:val="0"/>
      <w:divBdr>
        <w:top w:val="none" w:sz="0" w:space="0" w:color="auto"/>
        <w:left w:val="none" w:sz="0" w:space="0" w:color="auto"/>
        <w:bottom w:val="none" w:sz="0" w:space="0" w:color="auto"/>
        <w:right w:val="none" w:sz="0" w:space="0" w:color="auto"/>
      </w:divBdr>
    </w:div>
    <w:div w:id="24258870">
      <w:bodyDiv w:val="1"/>
      <w:marLeft w:val="0"/>
      <w:marRight w:val="0"/>
      <w:marTop w:val="0"/>
      <w:marBottom w:val="0"/>
      <w:divBdr>
        <w:top w:val="none" w:sz="0" w:space="0" w:color="auto"/>
        <w:left w:val="none" w:sz="0" w:space="0" w:color="auto"/>
        <w:bottom w:val="none" w:sz="0" w:space="0" w:color="auto"/>
        <w:right w:val="none" w:sz="0" w:space="0" w:color="auto"/>
      </w:divBdr>
    </w:div>
    <w:div w:id="25645369">
      <w:bodyDiv w:val="1"/>
      <w:marLeft w:val="0"/>
      <w:marRight w:val="0"/>
      <w:marTop w:val="0"/>
      <w:marBottom w:val="0"/>
      <w:divBdr>
        <w:top w:val="none" w:sz="0" w:space="0" w:color="auto"/>
        <w:left w:val="none" w:sz="0" w:space="0" w:color="auto"/>
        <w:bottom w:val="none" w:sz="0" w:space="0" w:color="auto"/>
        <w:right w:val="none" w:sz="0" w:space="0" w:color="auto"/>
      </w:divBdr>
    </w:div>
    <w:div w:id="25763117">
      <w:bodyDiv w:val="1"/>
      <w:marLeft w:val="0"/>
      <w:marRight w:val="0"/>
      <w:marTop w:val="0"/>
      <w:marBottom w:val="0"/>
      <w:divBdr>
        <w:top w:val="none" w:sz="0" w:space="0" w:color="auto"/>
        <w:left w:val="none" w:sz="0" w:space="0" w:color="auto"/>
        <w:bottom w:val="none" w:sz="0" w:space="0" w:color="auto"/>
        <w:right w:val="none" w:sz="0" w:space="0" w:color="auto"/>
      </w:divBdr>
    </w:div>
    <w:div w:id="26099816">
      <w:bodyDiv w:val="1"/>
      <w:marLeft w:val="0"/>
      <w:marRight w:val="0"/>
      <w:marTop w:val="0"/>
      <w:marBottom w:val="0"/>
      <w:divBdr>
        <w:top w:val="none" w:sz="0" w:space="0" w:color="auto"/>
        <w:left w:val="none" w:sz="0" w:space="0" w:color="auto"/>
        <w:bottom w:val="none" w:sz="0" w:space="0" w:color="auto"/>
        <w:right w:val="none" w:sz="0" w:space="0" w:color="auto"/>
      </w:divBdr>
    </w:div>
    <w:div w:id="26177472">
      <w:bodyDiv w:val="1"/>
      <w:marLeft w:val="0"/>
      <w:marRight w:val="0"/>
      <w:marTop w:val="0"/>
      <w:marBottom w:val="0"/>
      <w:divBdr>
        <w:top w:val="none" w:sz="0" w:space="0" w:color="auto"/>
        <w:left w:val="none" w:sz="0" w:space="0" w:color="auto"/>
        <w:bottom w:val="none" w:sz="0" w:space="0" w:color="auto"/>
        <w:right w:val="none" w:sz="0" w:space="0" w:color="auto"/>
      </w:divBdr>
    </w:div>
    <w:div w:id="27266557">
      <w:bodyDiv w:val="1"/>
      <w:marLeft w:val="0"/>
      <w:marRight w:val="0"/>
      <w:marTop w:val="0"/>
      <w:marBottom w:val="0"/>
      <w:divBdr>
        <w:top w:val="none" w:sz="0" w:space="0" w:color="auto"/>
        <w:left w:val="none" w:sz="0" w:space="0" w:color="auto"/>
        <w:bottom w:val="none" w:sz="0" w:space="0" w:color="auto"/>
        <w:right w:val="none" w:sz="0" w:space="0" w:color="auto"/>
      </w:divBdr>
    </w:div>
    <w:div w:id="28267343">
      <w:bodyDiv w:val="1"/>
      <w:marLeft w:val="0"/>
      <w:marRight w:val="0"/>
      <w:marTop w:val="0"/>
      <w:marBottom w:val="0"/>
      <w:divBdr>
        <w:top w:val="none" w:sz="0" w:space="0" w:color="auto"/>
        <w:left w:val="none" w:sz="0" w:space="0" w:color="auto"/>
        <w:bottom w:val="none" w:sz="0" w:space="0" w:color="auto"/>
        <w:right w:val="none" w:sz="0" w:space="0" w:color="auto"/>
      </w:divBdr>
    </w:div>
    <w:div w:id="29039946">
      <w:bodyDiv w:val="1"/>
      <w:marLeft w:val="0"/>
      <w:marRight w:val="0"/>
      <w:marTop w:val="0"/>
      <w:marBottom w:val="0"/>
      <w:divBdr>
        <w:top w:val="none" w:sz="0" w:space="0" w:color="auto"/>
        <w:left w:val="none" w:sz="0" w:space="0" w:color="auto"/>
        <w:bottom w:val="none" w:sz="0" w:space="0" w:color="auto"/>
        <w:right w:val="none" w:sz="0" w:space="0" w:color="auto"/>
      </w:divBdr>
    </w:div>
    <w:div w:id="29690007">
      <w:bodyDiv w:val="1"/>
      <w:marLeft w:val="0"/>
      <w:marRight w:val="0"/>
      <w:marTop w:val="0"/>
      <w:marBottom w:val="0"/>
      <w:divBdr>
        <w:top w:val="none" w:sz="0" w:space="0" w:color="auto"/>
        <w:left w:val="none" w:sz="0" w:space="0" w:color="auto"/>
        <w:bottom w:val="none" w:sz="0" w:space="0" w:color="auto"/>
        <w:right w:val="none" w:sz="0" w:space="0" w:color="auto"/>
      </w:divBdr>
    </w:div>
    <w:div w:id="29962878">
      <w:bodyDiv w:val="1"/>
      <w:marLeft w:val="0"/>
      <w:marRight w:val="0"/>
      <w:marTop w:val="0"/>
      <w:marBottom w:val="0"/>
      <w:divBdr>
        <w:top w:val="none" w:sz="0" w:space="0" w:color="auto"/>
        <w:left w:val="none" w:sz="0" w:space="0" w:color="auto"/>
        <w:bottom w:val="none" w:sz="0" w:space="0" w:color="auto"/>
        <w:right w:val="none" w:sz="0" w:space="0" w:color="auto"/>
      </w:divBdr>
    </w:div>
    <w:div w:id="31852329">
      <w:bodyDiv w:val="1"/>
      <w:marLeft w:val="0"/>
      <w:marRight w:val="0"/>
      <w:marTop w:val="0"/>
      <w:marBottom w:val="0"/>
      <w:divBdr>
        <w:top w:val="none" w:sz="0" w:space="0" w:color="auto"/>
        <w:left w:val="none" w:sz="0" w:space="0" w:color="auto"/>
        <w:bottom w:val="none" w:sz="0" w:space="0" w:color="auto"/>
        <w:right w:val="none" w:sz="0" w:space="0" w:color="auto"/>
      </w:divBdr>
    </w:div>
    <w:div w:id="32119785">
      <w:bodyDiv w:val="1"/>
      <w:marLeft w:val="0"/>
      <w:marRight w:val="0"/>
      <w:marTop w:val="0"/>
      <w:marBottom w:val="0"/>
      <w:divBdr>
        <w:top w:val="none" w:sz="0" w:space="0" w:color="auto"/>
        <w:left w:val="none" w:sz="0" w:space="0" w:color="auto"/>
        <w:bottom w:val="none" w:sz="0" w:space="0" w:color="auto"/>
        <w:right w:val="none" w:sz="0" w:space="0" w:color="auto"/>
      </w:divBdr>
    </w:div>
    <w:div w:id="32923197">
      <w:bodyDiv w:val="1"/>
      <w:marLeft w:val="0"/>
      <w:marRight w:val="0"/>
      <w:marTop w:val="0"/>
      <w:marBottom w:val="0"/>
      <w:divBdr>
        <w:top w:val="none" w:sz="0" w:space="0" w:color="auto"/>
        <w:left w:val="none" w:sz="0" w:space="0" w:color="auto"/>
        <w:bottom w:val="none" w:sz="0" w:space="0" w:color="auto"/>
        <w:right w:val="none" w:sz="0" w:space="0" w:color="auto"/>
      </w:divBdr>
    </w:div>
    <w:div w:id="33385913">
      <w:bodyDiv w:val="1"/>
      <w:marLeft w:val="0"/>
      <w:marRight w:val="0"/>
      <w:marTop w:val="0"/>
      <w:marBottom w:val="0"/>
      <w:divBdr>
        <w:top w:val="none" w:sz="0" w:space="0" w:color="auto"/>
        <w:left w:val="none" w:sz="0" w:space="0" w:color="auto"/>
        <w:bottom w:val="none" w:sz="0" w:space="0" w:color="auto"/>
        <w:right w:val="none" w:sz="0" w:space="0" w:color="auto"/>
      </w:divBdr>
    </w:div>
    <w:div w:id="33506423">
      <w:bodyDiv w:val="1"/>
      <w:marLeft w:val="0"/>
      <w:marRight w:val="0"/>
      <w:marTop w:val="0"/>
      <w:marBottom w:val="0"/>
      <w:divBdr>
        <w:top w:val="none" w:sz="0" w:space="0" w:color="auto"/>
        <w:left w:val="none" w:sz="0" w:space="0" w:color="auto"/>
        <w:bottom w:val="none" w:sz="0" w:space="0" w:color="auto"/>
        <w:right w:val="none" w:sz="0" w:space="0" w:color="auto"/>
      </w:divBdr>
    </w:div>
    <w:div w:id="34085688">
      <w:bodyDiv w:val="1"/>
      <w:marLeft w:val="0"/>
      <w:marRight w:val="0"/>
      <w:marTop w:val="0"/>
      <w:marBottom w:val="0"/>
      <w:divBdr>
        <w:top w:val="none" w:sz="0" w:space="0" w:color="auto"/>
        <w:left w:val="none" w:sz="0" w:space="0" w:color="auto"/>
        <w:bottom w:val="none" w:sz="0" w:space="0" w:color="auto"/>
        <w:right w:val="none" w:sz="0" w:space="0" w:color="auto"/>
      </w:divBdr>
    </w:div>
    <w:div w:id="36860814">
      <w:bodyDiv w:val="1"/>
      <w:marLeft w:val="0"/>
      <w:marRight w:val="0"/>
      <w:marTop w:val="0"/>
      <w:marBottom w:val="0"/>
      <w:divBdr>
        <w:top w:val="none" w:sz="0" w:space="0" w:color="auto"/>
        <w:left w:val="none" w:sz="0" w:space="0" w:color="auto"/>
        <w:bottom w:val="none" w:sz="0" w:space="0" w:color="auto"/>
        <w:right w:val="none" w:sz="0" w:space="0" w:color="auto"/>
      </w:divBdr>
    </w:div>
    <w:div w:id="37971897">
      <w:bodyDiv w:val="1"/>
      <w:marLeft w:val="0"/>
      <w:marRight w:val="0"/>
      <w:marTop w:val="0"/>
      <w:marBottom w:val="0"/>
      <w:divBdr>
        <w:top w:val="none" w:sz="0" w:space="0" w:color="auto"/>
        <w:left w:val="none" w:sz="0" w:space="0" w:color="auto"/>
        <w:bottom w:val="none" w:sz="0" w:space="0" w:color="auto"/>
        <w:right w:val="none" w:sz="0" w:space="0" w:color="auto"/>
      </w:divBdr>
    </w:div>
    <w:div w:id="38091798">
      <w:bodyDiv w:val="1"/>
      <w:marLeft w:val="0"/>
      <w:marRight w:val="0"/>
      <w:marTop w:val="0"/>
      <w:marBottom w:val="0"/>
      <w:divBdr>
        <w:top w:val="none" w:sz="0" w:space="0" w:color="auto"/>
        <w:left w:val="none" w:sz="0" w:space="0" w:color="auto"/>
        <w:bottom w:val="none" w:sz="0" w:space="0" w:color="auto"/>
        <w:right w:val="none" w:sz="0" w:space="0" w:color="auto"/>
      </w:divBdr>
    </w:div>
    <w:div w:id="38406476">
      <w:bodyDiv w:val="1"/>
      <w:marLeft w:val="0"/>
      <w:marRight w:val="0"/>
      <w:marTop w:val="0"/>
      <w:marBottom w:val="0"/>
      <w:divBdr>
        <w:top w:val="none" w:sz="0" w:space="0" w:color="auto"/>
        <w:left w:val="none" w:sz="0" w:space="0" w:color="auto"/>
        <w:bottom w:val="none" w:sz="0" w:space="0" w:color="auto"/>
        <w:right w:val="none" w:sz="0" w:space="0" w:color="auto"/>
      </w:divBdr>
    </w:div>
    <w:div w:id="41760529">
      <w:bodyDiv w:val="1"/>
      <w:marLeft w:val="0"/>
      <w:marRight w:val="0"/>
      <w:marTop w:val="0"/>
      <w:marBottom w:val="0"/>
      <w:divBdr>
        <w:top w:val="none" w:sz="0" w:space="0" w:color="auto"/>
        <w:left w:val="none" w:sz="0" w:space="0" w:color="auto"/>
        <w:bottom w:val="none" w:sz="0" w:space="0" w:color="auto"/>
        <w:right w:val="none" w:sz="0" w:space="0" w:color="auto"/>
      </w:divBdr>
    </w:div>
    <w:div w:id="41902831">
      <w:bodyDiv w:val="1"/>
      <w:marLeft w:val="0"/>
      <w:marRight w:val="0"/>
      <w:marTop w:val="0"/>
      <w:marBottom w:val="0"/>
      <w:divBdr>
        <w:top w:val="none" w:sz="0" w:space="0" w:color="auto"/>
        <w:left w:val="none" w:sz="0" w:space="0" w:color="auto"/>
        <w:bottom w:val="none" w:sz="0" w:space="0" w:color="auto"/>
        <w:right w:val="none" w:sz="0" w:space="0" w:color="auto"/>
      </w:divBdr>
    </w:div>
    <w:div w:id="43219151">
      <w:bodyDiv w:val="1"/>
      <w:marLeft w:val="0"/>
      <w:marRight w:val="0"/>
      <w:marTop w:val="0"/>
      <w:marBottom w:val="0"/>
      <w:divBdr>
        <w:top w:val="none" w:sz="0" w:space="0" w:color="auto"/>
        <w:left w:val="none" w:sz="0" w:space="0" w:color="auto"/>
        <w:bottom w:val="none" w:sz="0" w:space="0" w:color="auto"/>
        <w:right w:val="none" w:sz="0" w:space="0" w:color="auto"/>
      </w:divBdr>
    </w:div>
    <w:div w:id="44187467">
      <w:bodyDiv w:val="1"/>
      <w:marLeft w:val="0"/>
      <w:marRight w:val="0"/>
      <w:marTop w:val="0"/>
      <w:marBottom w:val="0"/>
      <w:divBdr>
        <w:top w:val="none" w:sz="0" w:space="0" w:color="auto"/>
        <w:left w:val="none" w:sz="0" w:space="0" w:color="auto"/>
        <w:bottom w:val="none" w:sz="0" w:space="0" w:color="auto"/>
        <w:right w:val="none" w:sz="0" w:space="0" w:color="auto"/>
      </w:divBdr>
    </w:div>
    <w:div w:id="45034430">
      <w:bodyDiv w:val="1"/>
      <w:marLeft w:val="0"/>
      <w:marRight w:val="0"/>
      <w:marTop w:val="0"/>
      <w:marBottom w:val="0"/>
      <w:divBdr>
        <w:top w:val="none" w:sz="0" w:space="0" w:color="auto"/>
        <w:left w:val="none" w:sz="0" w:space="0" w:color="auto"/>
        <w:bottom w:val="none" w:sz="0" w:space="0" w:color="auto"/>
        <w:right w:val="none" w:sz="0" w:space="0" w:color="auto"/>
      </w:divBdr>
    </w:div>
    <w:div w:id="46224052">
      <w:bodyDiv w:val="1"/>
      <w:marLeft w:val="0"/>
      <w:marRight w:val="0"/>
      <w:marTop w:val="0"/>
      <w:marBottom w:val="0"/>
      <w:divBdr>
        <w:top w:val="none" w:sz="0" w:space="0" w:color="auto"/>
        <w:left w:val="none" w:sz="0" w:space="0" w:color="auto"/>
        <w:bottom w:val="none" w:sz="0" w:space="0" w:color="auto"/>
        <w:right w:val="none" w:sz="0" w:space="0" w:color="auto"/>
      </w:divBdr>
    </w:div>
    <w:div w:id="47072564">
      <w:bodyDiv w:val="1"/>
      <w:marLeft w:val="0"/>
      <w:marRight w:val="0"/>
      <w:marTop w:val="0"/>
      <w:marBottom w:val="0"/>
      <w:divBdr>
        <w:top w:val="none" w:sz="0" w:space="0" w:color="auto"/>
        <w:left w:val="none" w:sz="0" w:space="0" w:color="auto"/>
        <w:bottom w:val="none" w:sz="0" w:space="0" w:color="auto"/>
        <w:right w:val="none" w:sz="0" w:space="0" w:color="auto"/>
      </w:divBdr>
    </w:div>
    <w:div w:id="47842488">
      <w:bodyDiv w:val="1"/>
      <w:marLeft w:val="0"/>
      <w:marRight w:val="0"/>
      <w:marTop w:val="0"/>
      <w:marBottom w:val="0"/>
      <w:divBdr>
        <w:top w:val="none" w:sz="0" w:space="0" w:color="auto"/>
        <w:left w:val="none" w:sz="0" w:space="0" w:color="auto"/>
        <w:bottom w:val="none" w:sz="0" w:space="0" w:color="auto"/>
        <w:right w:val="none" w:sz="0" w:space="0" w:color="auto"/>
      </w:divBdr>
    </w:div>
    <w:div w:id="47850674">
      <w:bodyDiv w:val="1"/>
      <w:marLeft w:val="0"/>
      <w:marRight w:val="0"/>
      <w:marTop w:val="0"/>
      <w:marBottom w:val="0"/>
      <w:divBdr>
        <w:top w:val="none" w:sz="0" w:space="0" w:color="auto"/>
        <w:left w:val="none" w:sz="0" w:space="0" w:color="auto"/>
        <w:bottom w:val="none" w:sz="0" w:space="0" w:color="auto"/>
        <w:right w:val="none" w:sz="0" w:space="0" w:color="auto"/>
      </w:divBdr>
    </w:div>
    <w:div w:id="49572407">
      <w:bodyDiv w:val="1"/>
      <w:marLeft w:val="0"/>
      <w:marRight w:val="0"/>
      <w:marTop w:val="0"/>
      <w:marBottom w:val="0"/>
      <w:divBdr>
        <w:top w:val="none" w:sz="0" w:space="0" w:color="auto"/>
        <w:left w:val="none" w:sz="0" w:space="0" w:color="auto"/>
        <w:bottom w:val="none" w:sz="0" w:space="0" w:color="auto"/>
        <w:right w:val="none" w:sz="0" w:space="0" w:color="auto"/>
      </w:divBdr>
    </w:div>
    <w:div w:id="52043570">
      <w:bodyDiv w:val="1"/>
      <w:marLeft w:val="0"/>
      <w:marRight w:val="0"/>
      <w:marTop w:val="0"/>
      <w:marBottom w:val="0"/>
      <w:divBdr>
        <w:top w:val="none" w:sz="0" w:space="0" w:color="auto"/>
        <w:left w:val="none" w:sz="0" w:space="0" w:color="auto"/>
        <w:bottom w:val="none" w:sz="0" w:space="0" w:color="auto"/>
        <w:right w:val="none" w:sz="0" w:space="0" w:color="auto"/>
      </w:divBdr>
    </w:div>
    <w:div w:id="52966204">
      <w:bodyDiv w:val="1"/>
      <w:marLeft w:val="0"/>
      <w:marRight w:val="0"/>
      <w:marTop w:val="0"/>
      <w:marBottom w:val="0"/>
      <w:divBdr>
        <w:top w:val="none" w:sz="0" w:space="0" w:color="auto"/>
        <w:left w:val="none" w:sz="0" w:space="0" w:color="auto"/>
        <w:bottom w:val="none" w:sz="0" w:space="0" w:color="auto"/>
        <w:right w:val="none" w:sz="0" w:space="0" w:color="auto"/>
      </w:divBdr>
    </w:div>
    <w:div w:id="53165199">
      <w:bodyDiv w:val="1"/>
      <w:marLeft w:val="0"/>
      <w:marRight w:val="0"/>
      <w:marTop w:val="0"/>
      <w:marBottom w:val="0"/>
      <w:divBdr>
        <w:top w:val="none" w:sz="0" w:space="0" w:color="auto"/>
        <w:left w:val="none" w:sz="0" w:space="0" w:color="auto"/>
        <w:bottom w:val="none" w:sz="0" w:space="0" w:color="auto"/>
        <w:right w:val="none" w:sz="0" w:space="0" w:color="auto"/>
      </w:divBdr>
    </w:div>
    <w:div w:id="53310132">
      <w:bodyDiv w:val="1"/>
      <w:marLeft w:val="0"/>
      <w:marRight w:val="0"/>
      <w:marTop w:val="0"/>
      <w:marBottom w:val="0"/>
      <w:divBdr>
        <w:top w:val="none" w:sz="0" w:space="0" w:color="auto"/>
        <w:left w:val="none" w:sz="0" w:space="0" w:color="auto"/>
        <w:bottom w:val="none" w:sz="0" w:space="0" w:color="auto"/>
        <w:right w:val="none" w:sz="0" w:space="0" w:color="auto"/>
      </w:divBdr>
    </w:div>
    <w:div w:id="56051268">
      <w:bodyDiv w:val="1"/>
      <w:marLeft w:val="0"/>
      <w:marRight w:val="0"/>
      <w:marTop w:val="0"/>
      <w:marBottom w:val="0"/>
      <w:divBdr>
        <w:top w:val="none" w:sz="0" w:space="0" w:color="auto"/>
        <w:left w:val="none" w:sz="0" w:space="0" w:color="auto"/>
        <w:bottom w:val="none" w:sz="0" w:space="0" w:color="auto"/>
        <w:right w:val="none" w:sz="0" w:space="0" w:color="auto"/>
      </w:divBdr>
    </w:div>
    <w:div w:id="56982466">
      <w:bodyDiv w:val="1"/>
      <w:marLeft w:val="0"/>
      <w:marRight w:val="0"/>
      <w:marTop w:val="0"/>
      <w:marBottom w:val="0"/>
      <w:divBdr>
        <w:top w:val="none" w:sz="0" w:space="0" w:color="auto"/>
        <w:left w:val="none" w:sz="0" w:space="0" w:color="auto"/>
        <w:bottom w:val="none" w:sz="0" w:space="0" w:color="auto"/>
        <w:right w:val="none" w:sz="0" w:space="0" w:color="auto"/>
      </w:divBdr>
    </w:div>
    <w:div w:id="59259477">
      <w:bodyDiv w:val="1"/>
      <w:marLeft w:val="0"/>
      <w:marRight w:val="0"/>
      <w:marTop w:val="0"/>
      <w:marBottom w:val="0"/>
      <w:divBdr>
        <w:top w:val="none" w:sz="0" w:space="0" w:color="auto"/>
        <w:left w:val="none" w:sz="0" w:space="0" w:color="auto"/>
        <w:bottom w:val="none" w:sz="0" w:space="0" w:color="auto"/>
        <w:right w:val="none" w:sz="0" w:space="0" w:color="auto"/>
      </w:divBdr>
    </w:div>
    <w:div w:id="59717453">
      <w:bodyDiv w:val="1"/>
      <w:marLeft w:val="0"/>
      <w:marRight w:val="0"/>
      <w:marTop w:val="0"/>
      <w:marBottom w:val="0"/>
      <w:divBdr>
        <w:top w:val="none" w:sz="0" w:space="0" w:color="auto"/>
        <w:left w:val="none" w:sz="0" w:space="0" w:color="auto"/>
        <w:bottom w:val="none" w:sz="0" w:space="0" w:color="auto"/>
        <w:right w:val="none" w:sz="0" w:space="0" w:color="auto"/>
      </w:divBdr>
    </w:div>
    <w:div w:id="61026575">
      <w:bodyDiv w:val="1"/>
      <w:marLeft w:val="0"/>
      <w:marRight w:val="0"/>
      <w:marTop w:val="0"/>
      <w:marBottom w:val="0"/>
      <w:divBdr>
        <w:top w:val="none" w:sz="0" w:space="0" w:color="auto"/>
        <w:left w:val="none" w:sz="0" w:space="0" w:color="auto"/>
        <w:bottom w:val="none" w:sz="0" w:space="0" w:color="auto"/>
        <w:right w:val="none" w:sz="0" w:space="0" w:color="auto"/>
      </w:divBdr>
    </w:div>
    <w:div w:id="63376530">
      <w:bodyDiv w:val="1"/>
      <w:marLeft w:val="0"/>
      <w:marRight w:val="0"/>
      <w:marTop w:val="0"/>
      <w:marBottom w:val="0"/>
      <w:divBdr>
        <w:top w:val="none" w:sz="0" w:space="0" w:color="auto"/>
        <w:left w:val="none" w:sz="0" w:space="0" w:color="auto"/>
        <w:bottom w:val="none" w:sz="0" w:space="0" w:color="auto"/>
        <w:right w:val="none" w:sz="0" w:space="0" w:color="auto"/>
      </w:divBdr>
    </w:div>
    <w:div w:id="63722503">
      <w:bodyDiv w:val="1"/>
      <w:marLeft w:val="0"/>
      <w:marRight w:val="0"/>
      <w:marTop w:val="0"/>
      <w:marBottom w:val="0"/>
      <w:divBdr>
        <w:top w:val="none" w:sz="0" w:space="0" w:color="auto"/>
        <w:left w:val="none" w:sz="0" w:space="0" w:color="auto"/>
        <w:bottom w:val="none" w:sz="0" w:space="0" w:color="auto"/>
        <w:right w:val="none" w:sz="0" w:space="0" w:color="auto"/>
      </w:divBdr>
    </w:div>
    <w:div w:id="64228190">
      <w:bodyDiv w:val="1"/>
      <w:marLeft w:val="0"/>
      <w:marRight w:val="0"/>
      <w:marTop w:val="0"/>
      <w:marBottom w:val="0"/>
      <w:divBdr>
        <w:top w:val="none" w:sz="0" w:space="0" w:color="auto"/>
        <w:left w:val="none" w:sz="0" w:space="0" w:color="auto"/>
        <w:bottom w:val="none" w:sz="0" w:space="0" w:color="auto"/>
        <w:right w:val="none" w:sz="0" w:space="0" w:color="auto"/>
      </w:divBdr>
    </w:div>
    <w:div w:id="67390096">
      <w:bodyDiv w:val="1"/>
      <w:marLeft w:val="0"/>
      <w:marRight w:val="0"/>
      <w:marTop w:val="0"/>
      <w:marBottom w:val="0"/>
      <w:divBdr>
        <w:top w:val="none" w:sz="0" w:space="0" w:color="auto"/>
        <w:left w:val="none" w:sz="0" w:space="0" w:color="auto"/>
        <w:bottom w:val="none" w:sz="0" w:space="0" w:color="auto"/>
        <w:right w:val="none" w:sz="0" w:space="0" w:color="auto"/>
      </w:divBdr>
    </w:div>
    <w:div w:id="68814252">
      <w:bodyDiv w:val="1"/>
      <w:marLeft w:val="0"/>
      <w:marRight w:val="0"/>
      <w:marTop w:val="0"/>
      <w:marBottom w:val="0"/>
      <w:divBdr>
        <w:top w:val="none" w:sz="0" w:space="0" w:color="auto"/>
        <w:left w:val="none" w:sz="0" w:space="0" w:color="auto"/>
        <w:bottom w:val="none" w:sz="0" w:space="0" w:color="auto"/>
        <w:right w:val="none" w:sz="0" w:space="0" w:color="auto"/>
      </w:divBdr>
    </w:div>
    <w:div w:id="69231368">
      <w:bodyDiv w:val="1"/>
      <w:marLeft w:val="0"/>
      <w:marRight w:val="0"/>
      <w:marTop w:val="0"/>
      <w:marBottom w:val="0"/>
      <w:divBdr>
        <w:top w:val="none" w:sz="0" w:space="0" w:color="auto"/>
        <w:left w:val="none" w:sz="0" w:space="0" w:color="auto"/>
        <w:bottom w:val="none" w:sz="0" w:space="0" w:color="auto"/>
        <w:right w:val="none" w:sz="0" w:space="0" w:color="auto"/>
      </w:divBdr>
    </w:div>
    <w:div w:id="69620392">
      <w:bodyDiv w:val="1"/>
      <w:marLeft w:val="0"/>
      <w:marRight w:val="0"/>
      <w:marTop w:val="0"/>
      <w:marBottom w:val="0"/>
      <w:divBdr>
        <w:top w:val="none" w:sz="0" w:space="0" w:color="auto"/>
        <w:left w:val="none" w:sz="0" w:space="0" w:color="auto"/>
        <w:bottom w:val="none" w:sz="0" w:space="0" w:color="auto"/>
        <w:right w:val="none" w:sz="0" w:space="0" w:color="auto"/>
      </w:divBdr>
    </w:div>
    <w:div w:id="69815445">
      <w:bodyDiv w:val="1"/>
      <w:marLeft w:val="0"/>
      <w:marRight w:val="0"/>
      <w:marTop w:val="0"/>
      <w:marBottom w:val="0"/>
      <w:divBdr>
        <w:top w:val="none" w:sz="0" w:space="0" w:color="auto"/>
        <w:left w:val="none" w:sz="0" w:space="0" w:color="auto"/>
        <w:bottom w:val="none" w:sz="0" w:space="0" w:color="auto"/>
        <w:right w:val="none" w:sz="0" w:space="0" w:color="auto"/>
      </w:divBdr>
    </w:div>
    <w:div w:id="70658617">
      <w:bodyDiv w:val="1"/>
      <w:marLeft w:val="0"/>
      <w:marRight w:val="0"/>
      <w:marTop w:val="0"/>
      <w:marBottom w:val="0"/>
      <w:divBdr>
        <w:top w:val="none" w:sz="0" w:space="0" w:color="auto"/>
        <w:left w:val="none" w:sz="0" w:space="0" w:color="auto"/>
        <w:bottom w:val="none" w:sz="0" w:space="0" w:color="auto"/>
        <w:right w:val="none" w:sz="0" w:space="0" w:color="auto"/>
      </w:divBdr>
    </w:div>
    <w:div w:id="72239748">
      <w:bodyDiv w:val="1"/>
      <w:marLeft w:val="0"/>
      <w:marRight w:val="0"/>
      <w:marTop w:val="0"/>
      <w:marBottom w:val="0"/>
      <w:divBdr>
        <w:top w:val="none" w:sz="0" w:space="0" w:color="auto"/>
        <w:left w:val="none" w:sz="0" w:space="0" w:color="auto"/>
        <w:bottom w:val="none" w:sz="0" w:space="0" w:color="auto"/>
        <w:right w:val="none" w:sz="0" w:space="0" w:color="auto"/>
      </w:divBdr>
    </w:div>
    <w:div w:id="72968304">
      <w:bodyDiv w:val="1"/>
      <w:marLeft w:val="0"/>
      <w:marRight w:val="0"/>
      <w:marTop w:val="0"/>
      <w:marBottom w:val="0"/>
      <w:divBdr>
        <w:top w:val="none" w:sz="0" w:space="0" w:color="auto"/>
        <w:left w:val="none" w:sz="0" w:space="0" w:color="auto"/>
        <w:bottom w:val="none" w:sz="0" w:space="0" w:color="auto"/>
        <w:right w:val="none" w:sz="0" w:space="0" w:color="auto"/>
      </w:divBdr>
    </w:div>
    <w:div w:id="73748391">
      <w:bodyDiv w:val="1"/>
      <w:marLeft w:val="0"/>
      <w:marRight w:val="0"/>
      <w:marTop w:val="0"/>
      <w:marBottom w:val="0"/>
      <w:divBdr>
        <w:top w:val="none" w:sz="0" w:space="0" w:color="auto"/>
        <w:left w:val="none" w:sz="0" w:space="0" w:color="auto"/>
        <w:bottom w:val="none" w:sz="0" w:space="0" w:color="auto"/>
        <w:right w:val="none" w:sz="0" w:space="0" w:color="auto"/>
      </w:divBdr>
    </w:div>
    <w:div w:id="75515868">
      <w:bodyDiv w:val="1"/>
      <w:marLeft w:val="0"/>
      <w:marRight w:val="0"/>
      <w:marTop w:val="0"/>
      <w:marBottom w:val="0"/>
      <w:divBdr>
        <w:top w:val="none" w:sz="0" w:space="0" w:color="auto"/>
        <w:left w:val="none" w:sz="0" w:space="0" w:color="auto"/>
        <w:bottom w:val="none" w:sz="0" w:space="0" w:color="auto"/>
        <w:right w:val="none" w:sz="0" w:space="0" w:color="auto"/>
      </w:divBdr>
    </w:div>
    <w:div w:id="75708632">
      <w:bodyDiv w:val="1"/>
      <w:marLeft w:val="0"/>
      <w:marRight w:val="0"/>
      <w:marTop w:val="0"/>
      <w:marBottom w:val="0"/>
      <w:divBdr>
        <w:top w:val="none" w:sz="0" w:space="0" w:color="auto"/>
        <w:left w:val="none" w:sz="0" w:space="0" w:color="auto"/>
        <w:bottom w:val="none" w:sz="0" w:space="0" w:color="auto"/>
        <w:right w:val="none" w:sz="0" w:space="0" w:color="auto"/>
      </w:divBdr>
    </w:div>
    <w:div w:id="75833628">
      <w:bodyDiv w:val="1"/>
      <w:marLeft w:val="0"/>
      <w:marRight w:val="0"/>
      <w:marTop w:val="0"/>
      <w:marBottom w:val="0"/>
      <w:divBdr>
        <w:top w:val="none" w:sz="0" w:space="0" w:color="auto"/>
        <w:left w:val="none" w:sz="0" w:space="0" w:color="auto"/>
        <w:bottom w:val="none" w:sz="0" w:space="0" w:color="auto"/>
        <w:right w:val="none" w:sz="0" w:space="0" w:color="auto"/>
      </w:divBdr>
    </w:div>
    <w:div w:id="76026720">
      <w:bodyDiv w:val="1"/>
      <w:marLeft w:val="0"/>
      <w:marRight w:val="0"/>
      <w:marTop w:val="0"/>
      <w:marBottom w:val="0"/>
      <w:divBdr>
        <w:top w:val="none" w:sz="0" w:space="0" w:color="auto"/>
        <w:left w:val="none" w:sz="0" w:space="0" w:color="auto"/>
        <w:bottom w:val="none" w:sz="0" w:space="0" w:color="auto"/>
        <w:right w:val="none" w:sz="0" w:space="0" w:color="auto"/>
      </w:divBdr>
    </w:div>
    <w:div w:id="76102501">
      <w:bodyDiv w:val="1"/>
      <w:marLeft w:val="0"/>
      <w:marRight w:val="0"/>
      <w:marTop w:val="0"/>
      <w:marBottom w:val="0"/>
      <w:divBdr>
        <w:top w:val="none" w:sz="0" w:space="0" w:color="auto"/>
        <w:left w:val="none" w:sz="0" w:space="0" w:color="auto"/>
        <w:bottom w:val="none" w:sz="0" w:space="0" w:color="auto"/>
        <w:right w:val="none" w:sz="0" w:space="0" w:color="auto"/>
      </w:divBdr>
    </w:div>
    <w:div w:id="77599226">
      <w:bodyDiv w:val="1"/>
      <w:marLeft w:val="0"/>
      <w:marRight w:val="0"/>
      <w:marTop w:val="0"/>
      <w:marBottom w:val="0"/>
      <w:divBdr>
        <w:top w:val="none" w:sz="0" w:space="0" w:color="auto"/>
        <w:left w:val="none" w:sz="0" w:space="0" w:color="auto"/>
        <w:bottom w:val="none" w:sz="0" w:space="0" w:color="auto"/>
        <w:right w:val="none" w:sz="0" w:space="0" w:color="auto"/>
      </w:divBdr>
    </w:div>
    <w:div w:id="776005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78795145">
      <w:bodyDiv w:val="1"/>
      <w:marLeft w:val="0"/>
      <w:marRight w:val="0"/>
      <w:marTop w:val="0"/>
      <w:marBottom w:val="0"/>
      <w:divBdr>
        <w:top w:val="none" w:sz="0" w:space="0" w:color="auto"/>
        <w:left w:val="none" w:sz="0" w:space="0" w:color="auto"/>
        <w:bottom w:val="none" w:sz="0" w:space="0" w:color="auto"/>
        <w:right w:val="none" w:sz="0" w:space="0" w:color="auto"/>
      </w:divBdr>
    </w:div>
    <w:div w:id="79447602">
      <w:bodyDiv w:val="1"/>
      <w:marLeft w:val="0"/>
      <w:marRight w:val="0"/>
      <w:marTop w:val="0"/>
      <w:marBottom w:val="0"/>
      <w:divBdr>
        <w:top w:val="none" w:sz="0" w:space="0" w:color="auto"/>
        <w:left w:val="none" w:sz="0" w:space="0" w:color="auto"/>
        <w:bottom w:val="none" w:sz="0" w:space="0" w:color="auto"/>
        <w:right w:val="none" w:sz="0" w:space="0" w:color="auto"/>
      </w:divBdr>
    </w:div>
    <w:div w:id="80420828">
      <w:bodyDiv w:val="1"/>
      <w:marLeft w:val="0"/>
      <w:marRight w:val="0"/>
      <w:marTop w:val="0"/>
      <w:marBottom w:val="0"/>
      <w:divBdr>
        <w:top w:val="none" w:sz="0" w:space="0" w:color="auto"/>
        <w:left w:val="none" w:sz="0" w:space="0" w:color="auto"/>
        <w:bottom w:val="none" w:sz="0" w:space="0" w:color="auto"/>
        <w:right w:val="none" w:sz="0" w:space="0" w:color="auto"/>
      </w:divBdr>
    </w:div>
    <w:div w:id="82532126">
      <w:bodyDiv w:val="1"/>
      <w:marLeft w:val="0"/>
      <w:marRight w:val="0"/>
      <w:marTop w:val="0"/>
      <w:marBottom w:val="0"/>
      <w:divBdr>
        <w:top w:val="none" w:sz="0" w:space="0" w:color="auto"/>
        <w:left w:val="none" w:sz="0" w:space="0" w:color="auto"/>
        <w:bottom w:val="none" w:sz="0" w:space="0" w:color="auto"/>
        <w:right w:val="none" w:sz="0" w:space="0" w:color="auto"/>
      </w:divBdr>
    </w:div>
    <w:div w:id="83308429">
      <w:bodyDiv w:val="1"/>
      <w:marLeft w:val="0"/>
      <w:marRight w:val="0"/>
      <w:marTop w:val="0"/>
      <w:marBottom w:val="0"/>
      <w:divBdr>
        <w:top w:val="none" w:sz="0" w:space="0" w:color="auto"/>
        <w:left w:val="none" w:sz="0" w:space="0" w:color="auto"/>
        <w:bottom w:val="none" w:sz="0" w:space="0" w:color="auto"/>
        <w:right w:val="none" w:sz="0" w:space="0" w:color="auto"/>
      </w:divBdr>
    </w:div>
    <w:div w:id="84376232">
      <w:bodyDiv w:val="1"/>
      <w:marLeft w:val="0"/>
      <w:marRight w:val="0"/>
      <w:marTop w:val="0"/>
      <w:marBottom w:val="0"/>
      <w:divBdr>
        <w:top w:val="none" w:sz="0" w:space="0" w:color="auto"/>
        <w:left w:val="none" w:sz="0" w:space="0" w:color="auto"/>
        <w:bottom w:val="none" w:sz="0" w:space="0" w:color="auto"/>
        <w:right w:val="none" w:sz="0" w:space="0" w:color="auto"/>
      </w:divBdr>
    </w:div>
    <w:div w:id="85001445">
      <w:bodyDiv w:val="1"/>
      <w:marLeft w:val="0"/>
      <w:marRight w:val="0"/>
      <w:marTop w:val="0"/>
      <w:marBottom w:val="0"/>
      <w:divBdr>
        <w:top w:val="none" w:sz="0" w:space="0" w:color="auto"/>
        <w:left w:val="none" w:sz="0" w:space="0" w:color="auto"/>
        <w:bottom w:val="none" w:sz="0" w:space="0" w:color="auto"/>
        <w:right w:val="none" w:sz="0" w:space="0" w:color="auto"/>
      </w:divBdr>
    </w:div>
    <w:div w:id="85922911">
      <w:bodyDiv w:val="1"/>
      <w:marLeft w:val="0"/>
      <w:marRight w:val="0"/>
      <w:marTop w:val="0"/>
      <w:marBottom w:val="0"/>
      <w:divBdr>
        <w:top w:val="none" w:sz="0" w:space="0" w:color="auto"/>
        <w:left w:val="none" w:sz="0" w:space="0" w:color="auto"/>
        <w:bottom w:val="none" w:sz="0" w:space="0" w:color="auto"/>
        <w:right w:val="none" w:sz="0" w:space="0" w:color="auto"/>
      </w:divBdr>
    </w:div>
    <w:div w:id="86075403">
      <w:bodyDiv w:val="1"/>
      <w:marLeft w:val="0"/>
      <w:marRight w:val="0"/>
      <w:marTop w:val="0"/>
      <w:marBottom w:val="0"/>
      <w:divBdr>
        <w:top w:val="none" w:sz="0" w:space="0" w:color="auto"/>
        <w:left w:val="none" w:sz="0" w:space="0" w:color="auto"/>
        <w:bottom w:val="none" w:sz="0" w:space="0" w:color="auto"/>
        <w:right w:val="none" w:sz="0" w:space="0" w:color="auto"/>
      </w:divBdr>
    </w:div>
    <w:div w:id="87780029">
      <w:bodyDiv w:val="1"/>
      <w:marLeft w:val="0"/>
      <w:marRight w:val="0"/>
      <w:marTop w:val="0"/>
      <w:marBottom w:val="0"/>
      <w:divBdr>
        <w:top w:val="none" w:sz="0" w:space="0" w:color="auto"/>
        <w:left w:val="none" w:sz="0" w:space="0" w:color="auto"/>
        <w:bottom w:val="none" w:sz="0" w:space="0" w:color="auto"/>
        <w:right w:val="none" w:sz="0" w:space="0" w:color="auto"/>
      </w:divBdr>
    </w:div>
    <w:div w:id="90011843">
      <w:bodyDiv w:val="1"/>
      <w:marLeft w:val="0"/>
      <w:marRight w:val="0"/>
      <w:marTop w:val="0"/>
      <w:marBottom w:val="0"/>
      <w:divBdr>
        <w:top w:val="none" w:sz="0" w:space="0" w:color="auto"/>
        <w:left w:val="none" w:sz="0" w:space="0" w:color="auto"/>
        <w:bottom w:val="none" w:sz="0" w:space="0" w:color="auto"/>
        <w:right w:val="none" w:sz="0" w:space="0" w:color="auto"/>
      </w:divBdr>
    </w:div>
    <w:div w:id="90322642">
      <w:bodyDiv w:val="1"/>
      <w:marLeft w:val="0"/>
      <w:marRight w:val="0"/>
      <w:marTop w:val="0"/>
      <w:marBottom w:val="0"/>
      <w:divBdr>
        <w:top w:val="none" w:sz="0" w:space="0" w:color="auto"/>
        <w:left w:val="none" w:sz="0" w:space="0" w:color="auto"/>
        <w:bottom w:val="none" w:sz="0" w:space="0" w:color="auto"/>
        <w:right w:val="none" w:sz="0" w:space="0" w:color="auto"/>
      </w:divBdr>
    </w:div>
    <w:div w:id="91315950">
      <w:bodyDiv w:val="1"/>
      <w:marLeft w:val="0"/>
      <w:marRight w:val="0"/>
      <w:marTop w:val="0"/>
      <w:marBottom w:val="0"/>
      <w:divBdr>
        <w:top w:val="none" w:sz="0" w:space="0" w:color="auto"/>
        <w:left w:val="none" w:sz="0" w:space="0" w:color="auto"/>
        <w:bottom w:val="none" w:sz="0" w:space="0" w:color="auto"/>
        <w:right w:val="none" w:sz="0" w:space="0" w:color="auto"/>
      </w:divBdr>
    </w:div>
    <w:div w:id="92747468">
      <w:bodyDiv w:val="1"/>
      <w:marLeft w:val="0"/>
      <w:marRight w:val="0"/>
      <w:marTop w:val="0"/>
      <w:marBottom w:val="0"/>
      <w:divBdr>
        <w:top w:val="none" w:sz="0" w:space="0" w:color="auto"/>
        <w:left w:val="none" w:sz="0" w:space="0" w:color="auto"/>
        <w:bottom w:val="none" w:sz="0" w:space="0" w:color="auto"/>
        <w:right w:val="none" w:sz="0" w:space="0" w:color="auto"/>
      </w:divBdr>
    </w:div>
    <w:div w:id="92937189">
      <w:bodyDiv w:val="1"/>
      <w:marLeft w:val="0"/>
      <w:marRight w:val="0"/>
      <w:marTop w:val="0"/>
      <w:marBottom w:val="0"/>
      <w:divBdr>
        <w:top w:val="none" w:sz="0" w:space="0" w:color="auto"/>
        <w:left w:val="none" w:sz="0" w:space="0" w:color="auto"/>
        <w:bottom w:val="none" w:sz="0" w:space="0" w:color="auto"/>
        <w:right w:val="none" w:sz="0" w:space="0" w:color="auto"/>
      </w:divBdr>
    </w:div>
    <w:div w:id="93405253">
      <w:bodyDiv w:val="1"/>
      <w:marLeft w:val="0"/>
      <w:marRight w:val="0"/>
      <w:marTop w:val="0"/>
      <w:marBottom w:val="0"/>
      <w:divBdr>
        <w:top w:val="none" w:sz="0" w:space="0" w:color="auto"/>
        <w:left w:val="none" w:sz="0" w:space="0" w:color="auto"/>
        <w:bottom w:val="none" w:sz="0" w:space="0" w:color="auto"/>
        <w:right w:val="none" w:sz="0" w:space="0" w:color="auto"/>
      </w:divBdr>
    </w:div>
    <w:div w:id="93787720">
      <w:bodyDiv w:val="1"/>
      <w:marLeft w:val="0"/>
      <w:marRight w:val="0"/>
      <w:marTop w:val="0"/>
      <w:marBottom w:val="0"/>
      <w:divBdr>
        <w:top w:val="none" w:sz="0" w:space="0" w:color="auto"/>
        <w:left w:val="none" w:sz="0" w:space="0" w:color="auto"/>
        <w:bottom w:val="none" w:sz="0" w:space="0" w:color="auto"/>
        <w:right w:val="none" w:sz="0" w:space="0" w:color="auto"/>
      </w:divBdr>
    </w:div>
    <w:div w:id="95254907">
      <w:bodyDiv w:val="1"/>
      <w:marLeft w:val="0"/>
      <w:marRight w:val="0"/>
      <w:marTop w:val="0"/>
      <w:marBottom w:val="0"/>
      <w:divBdr>
        <w:top w:val="none" w:sz="0" w:space="0" w:color="auto"/>
        <w:left w:val="none" w:sz="0" w:space="0" w:color="auto"/>
        <w:bottom w:val="none" w:sz="0" w:space="0" w:color="auto"/>
        <w:right w:val="none" w:sz="0" w:space="0" w:color="auto"/>
      </w:divBdr>
    </w:div>
    <w:div w:id="95562479">
      <w:bodyDiv w:val="1"/>
      <w:marLeft w:val="0"/>
      <w:marRight w:val="0"/>
      <w:marTop w:val="0"/>
      <w:marBottom w:val="0"/>
      <w:divBdr>
        <w:top w:val="none" w:sz="0" w:space="0" w:color="auto"/>
        <w:left w:val="none" w:sz="0" w:space="0" w:color="auto"/>
        <w:bottom w:val="none" w:sz="0" w:space="0" w:color="auto"/>
        <w:right w:val="none" w:sz="0" w:space="0" w:color="auto"/>
      </w:divBdr>
    </w:div>
    <w:div w:id="96950583">
      <w:bodyDiv w:val="1"/>
      <w:marLeft w:val="0"/>
      <w:marRight w:val="0"/>
      <w:marTop w:val="0"/>
      <w:marBottom w:val="0"/>
      <w:divBdr>
        <w:top w:val="none" w:sz="0" w:space="0" w:color="auto"/>
        <w:left w:val="none" w:sz="0" w:space="0" w:color="auto"/>
        <w:bottom w:val="none" w:sz="0" w:space="0" w:color="auto"/>
        <w:right w:val="none" w:sz="0" w:space="0" w:color="auto"/>
      </w:divBdr>
    </w:div>
    <w:div w:id="97913289">
      <w:bodyDiv w:val="1"/>
      <w:marLeft w:val="0"/>
      <w:marRight w:val="0"/>
      <w:marTop w:val="0"/>
      <w:marBottom w:val="0"/>
      <w:divBdr>
        <w:top w:val="none" w:sz="0" w:space="0" w:color="auto"/>
        <w:left w:val="none" w:sz="0" w:space="0" w:color="auto"/>
        <w:bottom w:val="none" w:sz="0" w:space="0" w:color="auto"/>
        <w:right w:val="none" w:sz="0" w:space="0" w:color="auto"/>
      </w:divBdr>
    </w:div>
    <w:div w:id="98113782">
      <w:bodyDiv w:val="1"/>
      <w:marLeft w:val="0"/>
      <w:marRight w:val="0"/>
      <w:marTop w:val="0"/>
      <w:marBottom w:val="0"/>
      <w:divBdr>
        <w:top w:val="none" w:sz="0" w:space="0" w:color="auto"/>
        <w:left w:val="none" w:sz="0" w:space="0" w:color="auto"/>
        <w:bottom w:val="none" w:sz="0" w:space="0" w:color="auto"/>
        <w:right w:val="none" w:sz="0" w:space="0" w:color="auto"/>
      </w:divBdr>
    </w:div>
    <w:div w:id="102699579">
      <w:bodyDiv w:val="1"/>
      <w:marLeft w:val="0"/>
      <w:marRight w:val="0"/>
      <w:marTop w:val="0"/>
      <w:marBottom w:val="0"/>
      <w:divBdr>
        <w:top w:val="none" w:sz="0" w:space="0" w:color="auto"/>
        <w:left w:val="none" w:sz="0" w:space="0" w:color="auto"/>
        <w:bottom w:val="none" w:sz="0" w:space="0" w:color="auto"/>
        <w:right w:val="none" w:sz="0" w:space="0" w:color="auto"/>
      </w:divBdr>
    </w:div>
    <w:div w:id="102962706">
      <w:bodyDiv w:val="1"/>
      <w:marLeft w:val="0"/>
      <w:marRight w:val="0"/>
      <w:marTop w:val="0"/>
      <w:marBottom w:val="0"/>
      <w:divBdr>
        <w:top w:val="none" w:sz="0" w:space="0" w:color="auto"/>
        <w:left w:val="none" w:sz="0" w:space="0" w:color="auto"/>
        <w:bottom w:val="none" w:sz="0" w:space="0" w:color="auto"/>
        <w:right w:val="none" w:sz="0" w:space="0" w:color="auto"/>
      </w:divBdr>
    </w:div>
    <w:div w:id="103119234">
      <w:bodyDiv w:val="1"/>
      <w:marLeft w:val="0"/>
      <w:marRight w:val="0"/>
      <w:marTop w:val="0"/>
      <w:marBottom w:val="0"/>
      <w:divBdr>
        <w:top w:val="none" w:sz="0" w:space="0" w:color="auto"/>
        <w:left w:val="none" w:sz="0" w:space="0" w:color="auto"/>
        <w:bottom w:val="none" w:sz="0" w:space="0" w:color="auto"/>
        <w:right w:val="none" w:sz="0" w:space="0" w:color="auto"/>
      </w:divBdr>
    </w:div>
    <w:div w:id="107703603">
      <w:bodyDiv w:val="1"/>
      <w:marLeft w:val="0"/>
      <w:marRight w:val="0"/>
      <w:marTop w:val="0"/>
      <w:marBottom w:val="0"/>
      <w:divBdr>
        <w:top w:val="none" w:sz="0" w:space="0" w:color="auto"/>
        <w:left w:val="none" w:sz="0" w:space="0" w:color="auto"/>
        <w:bottom w:val="none" w:sz="0" w:space="0" w:color="auto"/>
        <w:right w:val="none" w:sz="0" w:space="0" w:color="auto"/>
      </w:divBdr>
    </w:div>
    <w:div w:id="109127939">
      <w:bodyDiv w:val="1"/>
      <w:marLeft w:val="0"/>
      <w:marRight w:val="0"/>
      <w:marTop w:val="0"/>
      <w:marBottom w:val="0"/>
      <w:divBdr>
        <w:top w:val="none" w:sz="0" w:space="0" w:color="auto"/>
        <w:left w:val="none" w:sz="0" w:space="0" w:color="auto"/>
        <w:bottom w:val="none" w:sz="0" w:space="0" w:color="auto"/>
        <w:right w:val="none" w:sz="0" w:space="0" w:color="auto"/>
      </w:divBdr>
    </w:div>
    <w:div w:id="109861349">
      <w:bodyDiv w:val="1"/>
      <w:marLeft w:val="0"/>
      <w:marRight w:val="0"/>
      <w:marTop w:val="0"/>
      <w:marBottom w:val="0"/>
      <w:divBdr>
        <w:top w:val="none" w:sz="0" w:space="0" w:color="auto"/>
        <w:left w:val="none" w:sz="0" w:space="0" w:color="auto"/>
        <w:bottom w:val="none" w:sz="0" w:space="0" w:color="auto"/>
        <w:right w:val="none" w:sz="0" w:space="0" w:color="auto"/>
      </w:divBdr>
    </w:div>
    <w:div w:id="112402024">
      <w:bodyDiv w:val="1"/>
      <w:marLeft w:val="0"/>
      <w:marRight w:val="0"/>
      <w:marTop w:val="0"/>
      <w:marBottom w:val="0"/>
      <w:divBdr>
        <w:top w:val="none" w:sz="0" w:space="0" w:color="auto"/>
        <w:left w:val="none" w:sz="0" w:space="0" w:color="auto"/>
        <w:bottom w:val="none" w:sz="0" w:space="0" w:color="auto"/>
        <w:right w:val="none" w:sz="0" w:space="0" w:color="auto"/>
      </w:divBdr>
    </w:div>
    <w:div w:id="116266578">
      <w:bodyDiv w:val="1"/>
      <w:marLeft w:val="0"/>
      <w:marRight w:val="0"/>
      <w:marTop w:val="0"/>
      <w:marBottom w:val="0"/>
      <w:divBdr>
        <w:top w:val="none" w:sz="0" w:space="0" w:color="auto"/>
        <w:left w:val="none" w:sz="0" w:space="0" w:color="auto"/>
        <w:bottom w:val="none" w:sz="0" w:space="0" w:color="auto"/>
        <w:right w:val="none" w:sz="0" w:space="0" w:color="auto"/>
      </w:divBdr>
    </w:div>
    <w:div w:id="117531296">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2308618">
      <w:bodyDiv w:val="1"/>
      <w:marLeft w:val="0"/>
      <w:marRight w:val="0"/>
      <w:marTop w:val="0"/>
      <w:marBottom w:val="0"/>
      <w:divBdr>
        <w:top w:val="none" w:sz="0" w:space="0" w:color="auto"/>
        <w:left w:val="none" w:sz="0" w:space="0" w:color="auto"/>
        <w:bottom w:val="none" w:sz="0" w:space="0" w:color="auto"/>
        <w:right w:val="none" w:sz="0" w:space="0" w:color="auto"/>
      </w:divBdr>
    </w:div>
    <w:div w:id="123232374">
      <w:bodyDiv w:val="1"/>
      <w:marLeft w:val="0"/>
      <w:marRight w:val="0"/>
      <w:marTop w:val="0"/>
      <w:marBottom w:val="0"/>
      <w:divBdr>
        <w:top w:val="none" w:sz="0" w:space="0" w:color="auto"/>
        <w:left w:val="none" w:sz="0" w:space="0" w:color="auto"/>
        <w:bottom w:val="none" w:sz="0" w:space="0" w:color="auto"/>
        <w:right w:val="none" w:sz="0" w:space="0" w:color="auto"/>
      </w:divBdr>
    </w:div>
    <w:div w:id="124662664">
      <w:bodyDiv w:val="1"/>
      <w:marLeft w:val="0"/>
      <w:marRight w:val="0"/>
      <w:marTop w:val="0"/>
      <w:marBottom w:val="0"/>
      <w:divBdr>
        <w:top w:val="none" w:sz="0" w:space="0" w:color="auto"/>
        <w:left w:val="none" w:sz="0" w:space="0" w:color="auto"/>
        <w:bottom w:val="none" w:sz="0" w:space="0" w:color="auto"/>
        <w:right w:val="none" w:sz="0" w:space="0" w:color="auto"/>
      </w:divBdr>
    </w:div>
    <w:div w:id="125780322">
      <w:bodyDiv w:val="1"/>
      <w:marLeft w:val="0"/>
      <w:marRight w:val="0"/>
      <w:marTop w:val="0"/>
      <w:marBottom w:val="0"/>
      <w:divBdr>
        <w:top w:val="none" w:sz="0" w:space="0" w:color="auto"/>
        <w:left w:val="none" w:sz="0" w:space="0" w:color="auto"/>
        <w:bottom w:val="none" w:sz="0" w:space="0" w:color="auto"/>
        <w:right w:val="none" w:sz="0" w:space="0" w:color="auto"/>
      </w:divBdr>
    </w:div>
    <w:div w:id="126510407">
      <w:bodyDiv w:val="1"/>
      <w:marLeft w:val="0"/>
      <w:marRight w:val="0"/>
      <w:marTop w:val="0"/>
      <w:marBottom w:val="0"/>
      <w:divBdr>
        <w:top w:val="none" w:sz="0" w:space="0" w:color="auto"/>
        <w:left w:val="none" w:sz="0" w:space="0" w:color="auto"/>
        <w:bottom w:val="none" w:sz="0" w:space="0" w:color="auto"/>
        <w:right w:val="none" w:sz="0" w:space="0" w:color="auto"/>
      </w:divBdr>
    </w:div>
    <w:div w:id="127433412">
      <w:bodyDiv w:val="1"/>
      <w:marLeft w:val="0"/>
      <w:marRight w:val="0"/>
      <w:marTop w:val="0"/>
      <w:marBottom w:val="0"/>
      <w:divBdr>
        <w:top w:val="none" w:sz="0" w:space="0" w:color="auto"/>
        <w:left w:val="none" w:sz="0" w:space="0" w:color="auto"/>
        <w:bottom w:val="none" w:sz="0" w:space="0" w:color="auto"/>
        <w:right w:val="none" w:sz="0" w:space="0" w:color="auto"/>
      </w:divBdr>
    </w:div>
    <w:div w:id="129369047">
      <w:bodyDiv w:val="1"/>
      <w:marLeft w:val="0"/>
      <w:marRight w:val="0"/>
      <w:marTop w:val="0"/>
      <w:marBottom w:val="0"/>
      <w:divBdr>
        <w:top w:val="none" w:sz="0" w:space="0" w:color="auto"/>
        <w:left w:val="none" w:sz="0" w:space="0" w:color="auto"/>
        <w:bottom w:val="none" w:sz="0" w:space="0" w:color="auto"/>
        <w:right w:val="none" w:sz="0" w:space="0" w:color="auto"/>
      </w:divBdr>
    </w:div>
    <w:div w:id="129635617">
      <w:bodyDiv w:val="1"/>
      <w:marLeft w:val="0"/>
      <w:marRight w:val="0"/>
      <w:marTop w:val="0"/>
      <w:marBottom w:val="0"/>
      <w:divBdr>
        <w:top w:val="none" w:sz="0" w:space="0" w:color="auto"/>
        <w:left w:val="none" w:sz="0" w:space="0" w:color="auto"/>
        <w:bottom w:val="none" w:sz="0" w:space="0" w:color="auto"/>
        <w:right w:val="none" w:sz="0" w:space="0" w:color="auto"/>
      </w:divBdr>
    </w:div>
    <w:div w:id="129714542">
      <w:bodyDiv w:val="1"/>
      <w:marLeft w:val="0"/>
      <w:marRight w:val="0"/>
      <w:marTop w:val="0"/>
      <w:marBottom w:val="0"/>
      <w:divBdr>
        <w:top w:val="none" w:sz="0" w:space="0" w:color="auto"/>
        <w:left w:val="none" w:sz="0" w:space="0" w:color="auto"/>
        <w:bottom w:val="none" w:sz="0" w:space="0" w:color="auto"/>
        <w:right w:val="none" w:sz="0" w:space="0" w:color="auto"/>
      </w:divBdr>
    </w:div>
    <w:div w:id="130098731">
      <w:bodyDiv w:val="1"/>
      <w:marLeft w:val="0"/>
      <w:marRight w:val="0"/>
      <w:marTop w:val="0"/>
      <w:marBottom w:val="0"/>
      <w:divBdr>
        <w:top w:val="none" w:sz="0" w:space="0" w:color="auto"/>
        <w:left w:val="none" w:sz="0" w:space="0" w:color="auto"/>
        <w:bottom w:val="none" w:sz="0" w:space="0" w:color="auto"/>
        <w:right w:val="none" w:sz="0" w:space="0" w:color="auto"/>
      </w:divBdr>
    </w:div>
    <w:div w:id="132606591">
      <w:bodyDiv w:val="1"/>
      <w:marLeft w:val="0"/>
      <w:marRight w:val="0"/>
      <w:marTop w:val="0"/>
      <w:marBottom w:val="0"/>
      <w:divBdr>
        <w:top w:val="none" w:sz="0" w:space="0" w:color="auto"/>
        <w:left w:val="none" w:sz="0" w:space="0" w:color="auto"/>
        <w:bottom w:val="none" w:sz="0" w:space="0" w:color="auto"/>
        <w:right w:val="none" w:sz="0" w:space="0" w:color="auto"/>
      </w:divBdr>
    </w:div>
    <w:div w:id="133061424">
      <w:bodyDiv w:val="1"/>
      <w:marLeft w:val="0"/>
      <w:marRight w:val="0"/>
      <w:marTop w:val="0"/>
      <w:marBottom w:val="0"/>
      <w:divBdr>
        <w:top w:val="none" w:sz="0" w:space="0" w:color="auto"/>
        <w:left w:val="none" w:sz="0" w:space="0" w:color="auto"/>
        <w:bottom w:val="none" w:sz="0" w:space="0" w:color="auto"/>
        <w:right w:val="none" w:sz="0" w:space="0" w:color="auto"/>
      </w:divBdr>
    </w:div>
    <w:div w:id="134572702">
      <w:bodyDiv w:val="1"/>
      <w:marLeft w:val="0"/>
      <w:marRight w:val="0"/>
      <w:marTop w:val="0"/>
      <w:marBottom w:val="0"/>
      <w:divBdr>
        <w:top w:val="none" w:sz="0" w:space="0" w:color="auto"/>
        <w:left w:val="none" w:sz="0" w:space="0" w:color="auto"/>
        <w:bottom w:val="none" w:sz="0" w:space="0" w:color="auto"/>
        <w:right w:val="none" w:sz="0" w:space="0" w:color="auto"/>
      </w:divBdr>
    </w:div>
    <w:div w:id="134880185">
      <w:bodyDiv w:val="1"/>
      <w:marLeft w:val="0"/>
      <w:marRight w:val="0"/>
      <w:marTop w:val="0"/>
      <w:marBottom w:val="0"/>
      <w:divBdr>
        <w:top w:val="none" w:sz="0" w:space="0" w:color="auto"/>
        <w:left w:val="none" w:sz="0" w:space="0" w:color="auto"/>
        <w:bottom w:val="none" w:sz="0" w:space="0" w:color="auto"/>
        <w:right w:val="none" w:sz="0" w:space="0" w:color="auto"/>
      </w:divBdr>
    </w:div>
    <w:div w:id="136261425">
      <w:bodyDiv w:val="1"/>
      <w:marLeft w:val="0"/>
      <w:marRight w:val="0"/>
      <w:marTop w:val="0"/>
      <w:marBottom w:val="0"/>
      <w:divBdr>
        <w:top w:val="none" w:sz="0" w:space="0" w:color="auto"/>
        <w:left w:val="none" w:sz="0" w:space="0" w:color="auto"/>
        <w:bottom w:val="none" w:sz="0" w:space="0" w:color="auto"/>
        <w:right w:val="none" w:sz="0" w:space="0" w:color="auto"/>
      </w:divBdr>
    </w:div>
    <w:div w:id="136848611">
      <w:bodyDiv w:val="1"/>
      <w:marLeft w:val="0"/>
      <w:marRight w:val="0"/>
      <w:marTop w:val="0"/>
      <w:marBottom w:val="0"/>
      <w:divBdr>
        <w:top w:val="none" w:sz="0" w:space="0" w:color="auto"/>
        <w:left w:val="none" w:sz="0" w:space="0" w:color="auto"/>
        <w:bottom w:val="none" w:sz="0" w:space="0" w:color="auto"/>
        <w:right w:val="none" w:sz="0" w:space="0" w:color="auto"/>
      </w:divBdr>
    </w:div>
    <w:div w:id="137187657">
      <w:bodyDiv w:val="1"/>
      <w:marLeft w:val="0"/>
      <w:marRight w:val="0"/>
      <w:marTop w:val="0"/>
      <w:marBottom w:val="0"/>
      <w:divBdr>
        <w:top w:val="none" w:sz="0" w:space="0" w:color="auto"/>
        <w:left w:val="none" w:sz="0" w:space="0" w:color="auto"/>
        <w:bottom w:val="none" w:sz="0" w:space="0" w:color="auto"/>
        <w:right w:val="none" w:sz="0" w:space="0" w:color="auto"/>
      </w:divBdr>
    </w:div>
    <w:div w:id="137306261">
      <w:bodyDiv w:val="1"/>
      <w:marLeft w:val="0"/>
      <w:marRight w:val="0"/>
      <w:marTop w:val="0"/>
      <w:marBottom w:val="0"/>
      <w:divBdr>
        <w:top w:val="none" w:sz="0" w:space="0" w:color="auto"/>
        <w:left w:val="none" w:sz="0" w:space="0" w:color="auto"/>
        <w:bottom w:val="none" w:sz="0" w:space="0" w:color="auto"/>
        <w:right w:val="none" w:sz="0" w:space="0" w:color="auto"/>
      </w:divBdr>
    </w:div>
    <w:div w:id="139660227">
      <w:bodyDiv w:val="1"/>
      <w:marLeft w:val="0"/>
      <w:marRight w:val="0"/>
      <w:marTop w:val="0"/>
      <w:marBottom w:val="0"/>
      <w:divBdr>
        <w:top w:val="none" w:sz="0" w:space="0" w:color="auto"/>
        <w:left w:val="none" w:sz="0" w:space="0" w:color="auto"/>
        <w:bottom w:val="none" w:sz="0" w:space="0" w:color="auto"/>
        <w:right w:val="none" w:sz="0" w:space="0" w:color="auto"/>
      </w:divBdr>
    </w:div>
    <w:div w:id="142040553">
      <w:bodyDiv w:val="1"/>
      <w:marLeft w:val="0"/>
      <w:marRight w:val="0"/>
      <w:marTop w:val="0"/>
      <w:marBottom w:val="0"/>
      <w:divBdr>
        <w:top w:val="none" w:sz="0" w:space="0" w:color="auto"/>
        <w:left w:val="none" w:sz="0" w:space="0" w:color="auto"/>
        <w:bottom w:val="none" w:sz="0" w:space="0" w:color="auto"/>
        <w:right w:val="none" w:sz="0" w:space="0" w:color="auto"/>
      </w:divBdr>
    </w:div>
    <w:div w:id="142242299">
      <w:bodyDiv w:val="1"/>
      <w:marLeft w:val="0"/>
      <w:marRight w:val="0"/>
      <w:marTop w:val="0"/>
      <w:marBottom w:val="0"/>
      <w:divBdr>
        <w:top w:val="none" w:sz="0" w:space="0" w:color="auto"/>
        <w:left w:val="none" w:sz="0" w:space="0" w:color="auto"/>
        <w:bottom w:val="none" w:sz="0" w:space="0" w:color="auto"/>
        <w:right w:val="none" w:sz="0" w:space="0" w:color="auto"/>
      </w:divBdr>
    </w:div>
    <w:div w:id="145169082">
      <w:bodyDiv w:val="1"/>
      <w:marLeft w:val="0"/>
      <w:marRight w:val="0"/>
      <w:marTop w:val="0"/>
      <w:marBottom w:val="0"/>
      <w:divBdr>
        <w:top w:val="none" w:sz="0" w:space="0" w:color="auto"/>
        <w:left w:val="none" w:sz="0" w:space="0" w:color="auto"/>
        <w:bottom w:val="none" w:sz="0" w:space="0" w:color="auto"/>
        <w:right w:val="none" w:sz="0" w:space="0" w:color="auto"/>
      </w:divBdr>
    </w:div>
    <w:div w:id="145824558">
      <w:bodyDiv w:val="1"/>
      <w:marLeft w:val="0"/>
      <w:marRight w:val="0"/>
      <w:marTop w:val="0"/>
      <w:marBottom w:val="0"/>
      <w:divBdr>
        <w:top w:val="none" w:sz="0" w:space="0" w:color="auto"/>
        <w:left w:val="none" w:sz="0" w:space="0" w:color="auto"/>
        <w:bottom w:val="none" w:sz="0" w:space="0" w:color="auto"/>
        <w:right w:val="none" w:sz="0" w:space="0" w:color="auto"/>
      </w:divBdr>
    </w:div>
    <w:div w:id="147743883">
      <w:bodyDiv w:val="1"/>
      <w:marLeft w:val="0"/>
      <w:marRight w:val="0"/>
      <w:marTop w:val="0"/>
      <w:marBottom w:val="0"/>
      <w:divBdr>
        <w:top w:val="none" w:sz="0" w:space="0" w:color="auto"/>
        <w:left w:val="none" w:sz="0" w:space="0" w:color="auto"/>
        <w:bottom w:val="none" w:sz="0" w:space="0" w:color="auto"/>
        <w:right w:val="none" w:sz="0" w:space="0" w:color="auto"/>
      </w:divBdr>
    </w:div>
    <w:div w:id="147794957">
      <w:bodyDiv w:val="1"/>
      <w:marLeft w:val="0"/>
      <w:marRight w:val="0"/>
      <w:marTop w:val="0"/>
      <w:marBottom w:val="0"/>
      <w:divBdr>
        <w:top w:val="none" w:sz="0" w:space="0" w:color="auto"/>
        <w:left w:val="none" w:sz="0" w:space="0" w:color="auto"/>
        <w:bottom w:val="none" w:sz="0" w:space="0" w:color="auto"/>
        <w:right w:val="none" w:sz="0" w:space="0" w:color="auto"/>
      </w:divBdr>
    </w:div>
    <w:div w:id="148058256">
      <w:bodyDiv w:val="1"/>
      <w:marLeft w:val="0"/>
      <w:marRight w:val="0"/>
      <w:marTop w:val="0"/>
      <w:marBottom w:val="0"/>
      <w:divBdr>
        <w:top w:val="none" w:sz="0" w:space="0" w:color="auto"/>
        <w:left w:val="none" w:sz="0" w:space="0" w:color="auto"/>
        <w:bottom w:val="none" w:sz="0" w:space="0" w:color="auto"/>
        <w:right w:val="none" w:sz="0" w:space="0" w:color="auto"/>
      </w:divBdr>
    </w:div>
    <w:div w:id="148405494">
      <w:bodyDiv w:val="1"/>
      <w:marLeft w:val="0"/>
      <w:marRight w:val="0"/>
      <w:marTop w:val="0"/>
      <w:marBottom w:val="0"/>
      <w:divBdr>
        <w:top w:val="none" w:sz="0" w:space="0" w:color="auto"/>
        <w:left w:val="none" w:sz="0" w:space="0" w:color="auto"/>
        <w:bottom w:val="none" w:sz="0" w:space="0" w:color="auto"/>
        <w:right w:val="none" w:sz="0" w:space="0" w:color="auto"/>
      </w:divBdr>
    </w:div>
    <w:div w:id="148446489">
      <w:bodyDiv w:val="1"/>
      <w:marLeft w:val="0"/>
      <w:marRight w:val="0"/>
      <w:marTop w:val="0"/>
      <w:marBottom w:val="0"/>
      <w:divBdr>
        <w:top w:val="none" w:sz="0" w:space="0" w:color="auto"/>
        <w:left w:val="none" w:sz="0" w:space="0" w:color="auto"/>
        <w:bottom w:val="none" w:sz="0" w:space="0" w:color="auto"/>
        <w:right w:val="none" w:sz="0" w:space="0" w:color="auto"/>
      </w:divBdr>
    </w:div>
    <w:div w:id="150290843">
      <w:bodyDiv w:val="1"/>
      <w:marLeft w:val="0"/>
      <w:marRight w:val="0"/>
      <w:marTop w:val="0"/>
      <w:marBottom w:val="0"/>
      <w:divBdr>
        <w:top w:val="none" w:sz="0" w:space="0" w:color="auto"/>
        <w:left w:val="none" w:sz="0" w:space="0" w:color="auto"/>
        <w:bottom w:val="none" w:sz="0" w:space="0" w:color="auto"/>
        <w:right w:val="none" w:sz="0" w:space="0" w:color="auto"/>
      </w:divBdr>
    </w:div>
    <w:div w:id="150953504">
      <w:bodyDiv w:val="1"/>
      <w:marLeft w:val="0"/>
      <w:marRight w:val="0"/>
      <w:marTop w:val="0"/>
      <w:marBottom w:val="0"/>
      <w:divBdr>
        <w:top w:val="none" w:sz="0" w:space="0" w:color="auto"/>
        <w:left w:val="none" w:sz="0" w:space="0" w:color="auto"/>
        <w:bottom w:val="none" w:sz="0" w:space="0" w:color="auto"/>
        <w:right w:val="none" w:sz="0" w:space="0" w:color="auto"/>
      </w:divBdr>
    </w:div>
    <w:div w:id="151682057">
      <w:bodyDiv w:val="1"/>
      <w:marLeft w:val="0"/>
      <w:marRight w:val="0"/>
      <w:marTop w:val="0"/>
      <w:marBottom w:val="0"/>
      <w:divBdr>
        <w:top w:val="none" w:sz="0" w:space="0" w:color="auto"/>
        <w:left w:val="none" w:sz="0" w:space="0" w:color="auto"/>
        <w:bottom w:val="none" w:sz="0" w:space="0" w:color="auto"/>
        <w:right w:val="none" w:sz="0" w:space="0" w:color="auto"/>
      </w:divBdr>
    </w:div>
    <w:div w:id="152841788">
      <w:bodyDiv w:val="1"/>
      <w:marLeft w:val="0"/>
      <w:marRight w:val="0"/>
      <w:marTop w:val="0"/>
      <w:marBottom w:val="0"/>
      <w:divBdr>
        <w:top w:val="none" w:sz="0" w:space="0" w:color="auto"/>
        <w:left w:val="none" w:sz="0" w:space="0" w:color="auto"/>
        <w:bottom w:val="none" w:sz="0" w:space="0" w:color="auto"/>
        <w:right w:val="none" w:sz="0" w:space="0" w:color="auto"/>
      </w:divBdr>
    </w:div>
    <w:div w:id="153424312">
      <w:bodyDiv w:val="1"/>
      <w:marLeft w:val="0"/>
      <w:marRight w:val="0"/>
      <w:marTop w:val="0"/>
      <w:marBottom w:val="0"/>
      <w:divBdr>
        <w:top w:val="none" w:sz="0" w:space="0" w:color="auto"/>
        <w:left w:val="none" w:sz="0" w:space="0" w:color="auto"/>
        <w:bottom w:val="none" w:sz="0" w:space="0" w:color="auto"/>
        <w:right w:val="none" w:sz="0" w:space="0" w:color="auto"/>
      </w:divBdr>
    </w:div>
    <w:div w:id="154103786">
      <w:bodyDiv w:val="1"/>
      <w:marLeft w:val="0"/>
      <w:marRight w:val="0"/>
      <w:marTop w:val="0"/>
      <w:marBottom w:val="0"/>
      <w:divBdr>
        <w:top w:val="none" w:sz="0" w:space="0" w:color="auto"/>
        <w:left w:val="none" w:sz="0" w:space="0" w:color="auto"/>
        <w:bottom w:val="none" w:sz="0" w:space="0" w:color="auto"/>
        <w:right w:val="none" w:sz="0" w:space="0" w:color="auto"/>
      </w:divBdr>
    </w:div>
    <w:div w:id="156120097">
      <w:bodyDiv w:val="1"/>
      <w:marLeft w:val="0"/>
      <w:marRight w:val="0"/>
      <w:marTop w:val="0"/>
      <w:marBottom w:val="0"/>
      <w:divBdr>
        <w:top w:val="none" w:sz="0" w:space="0" w:color="auto"/>
        <w:left w:val="none" w:sz="0" w:space="0" w:color="auto"/>
        <w:bottom w:val="none" w:sz="0" w:space="0" w:color="auto"/>
        <w:right w:val="none" w:sz="0" w:space="0" w:color="auto"/>
      </w:divBdr>
    </w:div>
    <w:div w:id="157692281">
      <w:bodyDiv w:val="1"/>
      <w:marLeft w:val="0"/>
      <w:marRight w:val="0"/>
      <w:marTop w:val="0"/>
      <w:marBottom w:val="0"/>
      <w:divBdr>
        <w:top w:val="none" w:sz="0" w:space="0" w:color="auto"/>
        <w:left w:val="none" w:sz="0" w:space="0" w:color="auto"/>
        <w:bottom w:val="none" w:sz="0" w:space="0" w:color="auto"/>
        <w:right w:val="none" w:sz="0" w:space="0" w:color="auto"/>
      </w:divBdr>
    </w:div>
    <w:div w:id="158158770">
      <w:bodyDiv w:val="1"/>
      <w:marLeft w:val="0"/>
      <w:marRight w:val="0"/>
      <w:marTop w:val="0"/>
      <w:marBottom w:val="0"/>
      <w:divBdr>
        <w:top w:val="none" w:sz="0" w:space="0" w:color="auto"/>
        <w:left w:val="none" w:sz="0" w:space="0" w:color="auto"/>
        <w:bottom w:val="none" w:sz="0" w:space="0" w:color="auto"/>
        <w:right w:val="none" w:sz="0" w:space="0" w:color="auto"/>
      </w:divBdr>
    </w:div>
    <w:div w:id="158472611">
      <w:bodyDiv w:val="1"/>
      <w:marLeft w:val="0"/>
      <w:marRight w:val="0"/>
      <w:marTop w:val="0"/>
      <w:marBottom w:val="0"/>
      <w:divBdr>
        <w:top w:val="none" w:sz="0" w:space="0" w:color="auto"/>
        <w:left w:val="none" w:sz="0" w:space="0" w:color="auto"/>
        <w:bottom w:val="none" w:sz="0" w:space="0" w:color="auto"/>
        <w:right w:val="none" w:sz="0" w:space="0" w:color="auto"/>
      </w:divBdr>
    </w:div>
    <w:div w:id="159586658">
      <w:bodyDiv w:val="1"/>
      <w:marLeft w:val="0"/>
      <w:marRight w:val="0"/>
      <w:marTop w:val="0"/>
      <w:marBottom w:val="0"/>
      <w:divBdr>
        <w:top w:val="none" w:sz="0" w:space="0" w:color="auto"/>
        <w:left w:val="none" w:sz="0" w:space="0" w:color="auto"/>
        <w:bottom w:val="none" w:sz="0" w:space="0" w:color="auto"/>
        <w:right w:val="none" w:sz="0" w:space="0" w:color="auto"/>
      </w:divBdr>
    </w:div>
    <w:div w:id="160047145">
      <w:bodyDiv w:val="1"/>
      <w:marLeft w:val="0"/>
      <w:marRight w:val="0"/>
      <w:marTop w:val="0"/>
      <w:marBottom w:val="0"/>
      <w:divBdr>
        <w:top w:val="none" w:sz="0" w:space="0" w:color="auto"/>
        <w:left w:val="none" w:sz="0" w:space="0" w:color="auto"/>
        <w:bottom w:val="none" w:sz="0" w:space="0" w:color="auto"/>
        <w:right w:val="none" w:sz="0" w:space="0" w:color="auto"/>
      </w:divBdr>
    </w:div>
    <w:div w:id="162090850">
      <w:bodyDiv w:val="1"/>
      <w:marLeft w:val="0"/>
      <w:marRight w:val="0"/>
      <w:marTop w:val="0"/>
      <w:marBottom w:val="0"/>
      <w:divBdr>
        <w:top w:val="none" w:sz="0" w:space="0" w:color="auto"/>
        <w:left w:val="none" w:sz="0" w:space="0" w:color="auto"/>
        <w:bottom w:val="none" w:sz="0" w:space="0" w:color="auto"/>
        <w:right w:val="none" w:sz="0" w:space="0" w:color="auto"/>
      </w:divBdr>
    </w:div>
    <w:div w:id="165482195">
      <w:bodyDiv w:val="1"/>
      <w:marLeft w:val="0"/>
      <w:marRight w:val="0"/>
      <w:marTop w:val="0"/>
      <w:marBottom w:val="0"/>
      <w:divBdr>
        <w:top w:val="none" w:sz="0" w:space="0" w:color="auto"/>
        <w:left w:val="none" w:sz="0" w:space="0" w:color="auto"/>
        <w:bottom w:val="none" w:sz="0" w:space="0" w:color="auto"/>
        <w:right w:val="none" w:sz="0" w:space="0" w:color="auto"/>
      </w:divBdr>
    </w:div>
    <w:div w:id="166673160">
      <w:bodyDiv w:val="1"/>
      <w:marLeft w:val="0"/>
      <w:marRight w:val="0"/>
      <w:marTop w:val="0"/>
      <w:marBottom w:val="0"/>
      <w:divBdr>
        <w:top w:val="none" w:sz="0" w:space="0" w:color="auto"/>
        <w:left w:val="none" w:sz="0" w:space="0" w:color="auto"/>
        <w:bottom w:val="none" w:sz="0" w:space="0" w:color="auto"/>
        <w:right w:val="none" w:sz="0" w:space="0" w:color="auto"/>
      </w:divBdr>
    </w:div>
    <w:div w:id="166794982">
      <w:bodyDiv w:val="1"/>
      <w:marLeft w:val="0"/>
      <w:marRight w:val="0"/>
      <w:marTop w:val="0"/>
      <w:marBottom w:val="0"/>
      <w:divBdr>
        <w:top w:val="none" w:sz="0" w:space="0" w:color="auto"/>
        <w:left w:val="none" w:sz="0" w:space="0" w:color="auto"/>
        <w:bottom w:val="none" w:sz="0" w:space="0" w:color="auto"/>
        <w:right w:val="none" w:sz="0" w:space="0" w:color="auto"/>
      </w:divBdr>
    </w:div>
    <w:div w:id="167063559">
      <w:bodyDiv w:val="1"/>
      <w:marLeft w:val="0"/>
      <w:marRight w:val="0"/>
      <w:marTop w:val="0"/>
      <w:marBottom w:val="0"/>
      <w:divBdr>
        <w:top w:val="none" w:sz="0" w:space="0" w:color="auto"/>
        <w:left w:val="none" w:sz="0" w:space="0" w:color="auto"/>
        <w:bottom w:val="none" w:sz="0" w:space="0" w:color="auto"/>
        <w:right w:val="none" w:sz="0" w:space="0" w:color="auto"/>
      </w:divBdr>
    </w:div>
    <w:div w:id="167257738">
      <w:bodyDiv w:val="1"/>
      <w:marLeft w:val="0"/>
      <w:marRight w:val="0"/>
      <w:marTop w:val="0"/>
      <w:marBottom w:val="0"/>
      <w:divBdr>
        <w:top w:val="none" w:sz="0" w:space="0" w:color="auto"/>
        <w:left w:val="none" w:sz="0" w:space="0" w:color="auto"/>
        <w:bottom w:val="none" w:sz="0" w:space="0" w:color="auto"/>
        <w:right w:val="none" w:sz="0" w:space="0" w:color="auto"/>
      </w:divBdr>
    </w:div>
    <w:div w:id="170730547">
      <w:bodyDiv w:val="1"/>
      <w:marLeft w:val="0"/>
      <w:marRight w:val="0"/>
      <w:marTop w:val="0"/>
      <w:marBottom w:val="0"/>
      <w:divBdr>
        <w:top w:val="none" w:sz="0" w:space="0" w:color="auto"/>
        <w:left w:val="none" w:sz="0" w:space="0" w:color="auto"/>
        <w:bottom w:val="none" w:sz="0" w:space="0" w:color="auto"/>
        <w:right w:val="none" w:sz="0" w:space="0" w:color="auto"/>
      </w:divBdr>
    </w:div>
    <w:div w:id="172039336">
      <w:bodyDiv w:val="1"/>
      <w:marLeft w:val="0"/>
      <w:marRight w:val="0"/>
      <w:marTop w:val="0"/>
      <w:marBottom w:val="0"/>
      <w:divBdr>
        <w:top w:val="none" w:sz="0" w:space="0" w:color="auto"/>
        <w:left w:val="none" w:sz="0" w:space="0" w:color="auto"/>
        <w:bottom w:val="none" w:sz="0" w:space="0" w:color="auto"/>
        <w:right w:val="none" w:sz="0" w:space="0" w:color="auto"/>
      </w:divBdr>
    </w:div>
    <w:div w:id="172426352">
      <w:bodyDiv w:val="1"/>
      <w:marLeft w:val="0"/>
      <w:marRight w:val="0"/>
      <w:marTop w:val="0"/>
      <w:marBottom w:val="0"/>
      <w:divBdr>
        <w:top w:val="none" w:sz="0" w:space="0" w:color="auto"/>
        <w:left w:val="none" w:sz="0" w:space="0" w:color="auto"/>
        <w:bottom w:val="none" w:sz="0" w:space="0" w:color="auto"/>
        <w:right w:val="none" w:sz="0" w:space="0" w:color="auto"/>
      </w:divBdr>
    </w:div>
    <w:div w:id="173032217">
      <w:bodyDiv w:val="1"/>
      <w:marLeft w:val="0"/>
      <w:marRight w:val="0"/>
      <w:marTop w:val="0"/>
      <w:marBottom w:val="0"/>
      <w:divBdr>
        <w:top w:val="none" w:sz="0" w:space="0" w:color="auto"/>
        <w:left w:val="none" w:sz="0" w:space="0" w:color="auto"/>
        <w:bottom w:val="none" w:sz="0" w:space="0" w:color="auto"/>
        <w:right w:val="none" w:sz="0" w:space="0" w:color="auto"/>
      </w:divBdr>
    </w:div>
    <w:div w:id="173694609">
      <w:bodyDiv w:val="1"/>
      <w:marLeft w:val="0"/>
      <w:marRight w:val="0"/>
      <w:marTop w:val="0"/>
      <w:marBottom w:val="0"/>
      <w:divBdr>
        <w:top w:val="none" w:sz="0" w:space="0" w:color="auto"/>
        <w:left w:val="none" w:sz="0" w:space="0" w:color="auto"/>
        <w:bottom w:val="none" w:sz="0" w:space="0" w:color="auto"/>
        <w:right w:val="none" w:sz="0" w:space="0" w:color="auto"/>
      </w:divBdr>
    </w:div>
    <w:div w:id="174073941">
      <w:bodyDiv w:val="1"/>
      <w:marLeft w:val="0"/>
      <w:marRight w:val="0"/>
      <w:marTop w:val="0"/>
      <w:marBottom w:val="0"/>
      <w:divBdr>
        <w:top w:val="none" w:sz="0" w:space="0" w:color="auto"/>
        <w:left w:val="none" w:sz="0" w:space="0" w:color="auto"/>
        <w:bottom w:val="none" w:sz="0" w:space="0" w:color="auto"/>
        <w:right w:val="none" w:sz="0" w:space="0" w:color="auto"/>
      </w:divBdr>
    </w:div>
    <w:div w:id="174467368">
      <w:bodyDiv w:val="1"/>
      <w:marLeft w:val="0"/>
      <w:marRight w:val="0"/>
      <w:marTop w:val="0"/>
      <w:marBottom w:val="0"/>
      <w:divBdr>
        <w:top w:val="none" w:sz="0" w:space="0" w:color="auto"/>
        <w:left w:val="none" w:sz="0" w:space="0" w:color="auto"/>
        <w:bottom w:val="none" w:sz="0" w:space="0" w:color="auto"/>
        <w:right w:val="none" w:sz="0" w:space="0" w:color="auto"/>
      </w:divBdr>
    </w:div>
    <w:div w:id="176772129">
      <w:bodyDiv w:val="1"/>
      <w:marLeft w:val="0"/>
      <w:marRight w:val="0"/>
      <w:marTop w:val="0"/>
      <w:marBottom w:val="0"/>
      <w:divBdr>
        <w:top w:val="none" w:sz="0" w:space="0" w:color="auto"/>
        <w:left w:val="none" w:sz="0" w:space="0" w:color="auto"/>
        <w:bottom w:val="none" w:sz="0" w:space="0" w:color="auto"/>
        <w:right w:val="none" w:sz="0" w:space="0" w:color="auto"/>
      </w:divBdr>
    </w:div>
    <w:div w:id="178008548">
      <w:bodyDiv w:val="1"/>
      <w:marLeft w:val="0"/>
      <w:marRight w:val="0"/>
      <w:marTop w:val="0"/>
      <w:marBottom w:val="0"/>
      <w:divBdr>
        <w:top w:val="none" w:sz="0" w:space="0" w:color="auto"/>
        <w:left w:val="none" w:sz="0" w:space="0" w:color="auto"/>
        <w:bottom w:val="none" w:sz="0" w:space="0" w:color="auto"/>
        <w:right w:val="none" w:sz="0" w:space="0" w:color="auto"/>
      </w:divBdr>
    </w:div>
    <w:div w:id="178587110">
      <w:bodyDiv w:val="1"/>
      <w:marLeft w:val="0"/>
      <w:marRight w:val="0"/>
      <w:marTop w:val="0"/>
      <w:marBottom w:val="0"/>
      <w:divBdr>
        <w:top w:val="none" w:sz="0" w:space="0" w:color="auto"/>
        <w:left w:val="none" w:sz="0" w:space="0" w:color="auto"/>
        <w:bottom w:val="none" w:sz="0" w:space="0" w:color="auto"/>
        <w:right w:val="none" w:sz="0" w:space="0" w:color="auto"/>
      </w:divBdr>
    </w:div>
    <w:div w:id="179010152">
      <w:bodyDiv w:val="1"/>
      <w:marLeft w:val="0"/>
      <w:marRight w:val="0"/>
      <w:marTop w:val="0"/>
      <w:marBottom w:val="0"/>
      <w:divBdr>
        <w:top w:val="none" w:sz="0" w:space="0" w:color="auto"/>
        <w:left w:val="none" w:sz="0" w:space="0" w:color="auto"/>
        <w:bottom w:val="none" w:sz="0" w:space="0" w:color="auto"/>
        <w:right w:val="none" w:sz="0" w:space="0" w:color="auto"/>
      </w:divBdr>
    </w:div>
    <w:div w:id="180508763">
      <w:bodyDiv w:val="1"/>
      <w:marLeft w:val="0"/>
      <w:marRight w:val="0"/>
      <w:marTop w:val="0"/>
      <w:marBottom w:val="0"/>
      <w:divBdr>
        <w:top w:val="none" w:sz="0" w:space="0" w:color="auto"/>
        <w:left w:val="none" w:sz="0" w:space="0" w:color="auto"/>
        <w:bottom w:val="none" w:sz="0" w:space="0" w:color="auto"/>
        <w:right w:val="none" w:sz="0" w:space="0" w:color="auto"/>
      </w:divBdr>
    </w:div>
    <w:div w:id="180748830">
      <w:bodyDiv w:val="1"/>
      <w:marLeft w:val="0"/>
      <w:marRight w:val="0"/>
      <w:marTop w:val="0"/>
      <w:marBottom w:val="0"/>
      <w:divBdr>
        <w:top w:val="none" w:sz="0" w:space="0" w:color="auto"/>
        <w:left w:val="none" w:sz="0" w:space="0" w:color="auto"/>
        <w:bottom w:val="none" w:sz="0" w:space="0" w:color="auto"/>
        <w:right w:val="none" w:sz="0" w:space="0" w:color="auto"/>
      </w:divBdr>
    </w:div>
    <w:div w:id="182745247">
      <w:bodyDiv w:val="1"/>
      <w:marLeft w:val="0"/>
      <w:marRight w:val="0"/>
      <w:marTop w:val="0"/>
      <w:marBottom w:val="0"/>
      <w:divBdr>
        <w:top w:val="none" w:sz="0" w:space="0" w:color="auto"/>
        <w:left w:val="none" w:sz="0" w:space="0" w:color="auto"/>
        <w:bottom w:val="none" w:sz="0" w:space="0" w:color="auto"/>
        <w:right w:val="none" w:sz="0" w:space="0" w:color="auto"/>
      </w:divBdr>
    </w:div>
    <w:div w:id="183440840">
      <w:bodyDiv w:val="1"/>
      <w:marLeft w:val="0"/>
      <w:marRight w:val="0"/>
      <w:marTop w:val="0"/>
      <w:marBottom w:val="0"/>
      <w:divBdr>
        <w:top w:val="none" w:sz="0" w:space="0" w:color="auto"/>
        <w:left w:val="none" w:sz="0" w:space="0" w:color="auto"/>
        <w:bottom w:val="none" w:sz="0" w:space="0" w:color="auto"/>
        <w:right w:val="none" w:sz="0" w:space="0" w:color="auto"/>
      </w:divBdr>
    </w:div>
    <w:div w:id="183708861">
      <w:bodyDiv w:val="1"/>
      <w:marLeft w:val="0"/>
      <w:marRight w:val="0"/>
      <w:marTop w:val="0"/>
      <w:marBottom w:val="0"/>
      <w:divBdr>
        <w:top w:val="none" w:sz="0" w:space="0" w:color="auto"/>
        <w:left w:val="none" w:sz="0" w:space="0" w:color="auto"/>
        <w:bottom w:val="none" w:sz="0" w:space="0" w:color="auto"/>
        <w:right w:val="none" w:sz="0" w:space="0" w:color="auto"/>
      </w:divBdr>
    </w:div>
    <w:div w:id="183982310">
      <w:bodyDiv w:val="1"/>
      <w:marLeft w:val="0"/>
      <w:marRight w:val="0"/>
      <w:marTop w:val="0"/>
      <w:marBottom w:val="0"/>
      <w:divBdr>
        <w:top w:val="none" w:sz="0" w:space="0" w:color="auto"/>
        <w:left w:val="none" w:sz="0" w:space="0" w:color="auto"/>
        <w:bottom w:val="none" w:sz="0" w:space="0" w:color="auto"/>
        <w:right w:val="none" w:sz="0" w:space="0" w:color="auto"/>
      </w:divBdr>
    </w:div>
    <w:div w:id="184222473">
      <w:bodyDiv w:val="1"/>
      <w:marLeft w:val="0"/>
      <w:marRight w:val="0"/>
      <w:marTop w:val="0"/>
      <w:marBottom w:val="0"/>
      <w:divBdr>
        <w:top w:val="none" w:sz="0" w:space="0" w:color="auto"/>
        <w:left w:val="none" w:sz="0" w:space="0" w:color="auto"/>
        <w:bottom w:val="none" w:sz="0" w:space="0" w:color="auto"/>
        <w:right w:val="none" w:sz="0" w:space="0" w:color="auto"/>
      </w:divBdr>
    </w:div>
    <w:div w:id="184440893">
      <w:bodyDiv w:val="1"/>
      <w:marLeft w:val="0"/>
      <w:marRight w:val="0"/>
      <w:marTop w:val="0"/>
      <w:marBottom w:val="0"/>
      <w:divBdr>
        <w:top w:val="none" w:sz="0" w:space="0" w:color="auto"/>
        <w:left w:val="none" w:sz="0" w:space="0" w:color="auto"/>
        <w:bottom w:val="none" w:sz="0" w:space="0" w:color="auto"/>
        <w:right w:val="none" w:sz="0" w:space="0" w:color="auto"/>
      </w:divBdr>
    </w:div>
    <w:div w:id="184952495">
      <w:bodyDiv w:val="1"/>
      <w:marLeft w:val="0"/>
      <w:marRight w:val="0"/>
      <w:marTop w:val="0"/>
      <w:marBottom w:val="0"/>
      <w:divBdr>
        <w:top w:val="none" w:sz="0" w:space="0" w:color="auto"/>
        <w:left w:val="none" w:sz="0" w:space="0" w:color="auto"/>
        <w:bottom w:val="none" w:sz="0" w:space="0" w:color="auto"/>
        <w:right w:val="none" w:sz="0" w:space="0" w:color="auto"/>
      </w:divBdr>
    </w:div>
    <w:div w:id="188682332">
      <w:bodyDiv w:val="1"/>
      <w:marLeft w:val="0"/>
      <w:marRight w:val="0"/>
      <w:marTop w:val="0"/>
      <w:marBottom w:val="0"/>
      <w:divBdr>
        <w:top w:val="none" w:sz="0" w:space="0" w:color="auto"/>
        <w:left w:val="none" w:sz="0" w:space="0" w:color="auto"/>
        <w:bottom w:val="none" w:sz="0" w:space="0" w:color="auto"/>
        <w:right w:val="none" w:sz="0" w:space="0" w:color="auto"/>
      </w:divBdr>
    </w:div>
    <w:div w:id="189269488">
      <w:bodyDiv w:val="1"/>
      <w:marLeft w:val="0"/>
      <w:marRight w:val="0"/>
      <w:marTop w:val="0"/>
      <w:marBottom w:val="0"/>
      <w:divBdr>
        <w:top w:val="none" w:sz="0" w:space="0" w:color="auto"/>
        <w:left w:val="none" w:sz="0" w:space="0" w:color="auto"/>
        <w:bottom w:val="none" w:sz="0" w:space="0" w:color="auto"/>
        <w:right w:val="none" w:sz="0" w:space="0" w:color="auto"/>
      </w:divBdr>
    </w:div>
    <w:div w:id="189297715">
      <w:bodyDiv w:val="1"/>
      <w:marLeft w:val="0"/>
      <w:marRight w:val="0"/>
      <w:marTop w:val="0"/>
      <w:marBottom w:val="0"/>
      <w:divBdr>
        <w:top w:val="none" w:sz="0" w:space="0" w:color="auto"/>
        <w:left w:val="none" w:sz="0" w:space="0" w:color="auto"/>
        <w:bottom w:val="none" w:sz="0" w:space="0" w:color="auto"/>
        <w:right w:val="none" w:sz="0" w:space="0" w:color="auto"/>
      </w:divBdr>
    </w:div>
    <w:div w:id="189298007">
      <w:bodyDiv w:val="1"/>
      <w:marLeft w:val="0"/>
      <w:marRight w:val="0"/>
      <w:marTop w:val="0"/>
      <w:marBottom w:val="0"/>
      <w:divBdr>
        <w:top w:val="none" w:sz="0" w:space="0" w:color="auto"/>
        <w:left w:val="none" w:sz="0" w:space="0" w:color="auto"/>
        <w:bottom w:val="none" w:sz="0" w:space="0" w:color="auto"/>
        <w:right w:val="none" w:sz="0" w:space="0" w:color="auto"/>
      </w:divBdr>
    </w:div>
    <w:div w:id="190917314">
      <w:bodyDiv w:val="1"/>
      <w:marLeft w:val="0"/>
      <w:marRight w:val="0"/>
      <w:marTop w:val="0"/>
      <w:marBottom w:val="0"/>
      <w:divBdr>
        <w:top w:val="none" w:sz="0" w:space="0" w:color="auto"/>
        <w:left w:val="none" w:sz="0" w:space="0" w:color="auto"/>
        <w:bottom w:val="none" w:sz="0" w:space="0" w:color="auto"/>
        <w:right w:val="none" w:sz="0" w:space="0" w:color="auto"/>
      </w:divBdr>
    </w:div>
    <w:div w:id="194542649">
      <w:bodyDiv w:val="1"/>
      <w:marLeft w:val="0"/>
      <w:marRight w:val="0"/>
      <w:marTop w:val="0"/>
      <w:marBottom w:val="0"/>
      <w:divBdr>
        <w:top w:val="none" w:sz="0" w:space="0" w:color="auto"/>
        <w:left w:val="none" w:sz="0" w:space="0" w:color="auto"/>
        <w:bottom w:val="none" w:sz="0" w:space="0" w:color="auto"/>
        <w:right w:val="none" w:sz="0" w:space="0" w:color="auto"/>
      </w:divBdr>
    </w:div>
    <w:div w:id="194971313">
      <w:bodyDiv w:val="1"/>
      <w:marLeft w:val="0"/>
      <w:marRight w:val="0"/>
      <w:marTop w:val="0"/>
      <w:marBottom w:val="0"/>
      <w:divBdr>
        <w:top w:val="none" w:sz="0" w:space="0" w:color="auto"/>
        <w:left w:val="none" w:sz="0" w:space="0" w:color="auto"/>
        <w:bottom w:val="none" w:sz="0" w:space="0" w:color="auto"/>
        <w:right w:val="none" w:sz="0" w:space="0" w:color="auto"/>
      </w:divBdr>
    </w:div>
    <w:div w:id="195390627">
      <w:bodyDiv w:val="1"/>
      <w:marLeft w:val="0"/>
      <w:marRight w:val="0"/>
      <w:marTop w:val="0"/>
      <w:marBottom w:val="0"/>
      <w:divBdr>
        <w:top w:val="none" w:sz="0" w:space="0" w:color="auto"/>
        <w:left w:val="none" w:sz="0" w:space="0" w:color="auto"/>
        <w:bottom w:val="none" w:sz="0" w:space="0" w:color="auto"/>
        <w:right w:val="none" w:sz="0" w:space="0" w:color="auto"/>
      </w:divBdr>
    </w:div>
    <w:div w:id="196354325">
      <w:bodyDiv w:val="1"/>
      <w:marLeft w:val="0"/>
      <w:marRight w:val="0"/>
      <w:marTop w:val="0"/>
      <w:marBottom w:val="0"/>
      <w:divBdr>
        <w:top w:val="none" w:sz="0" w:space="0" w:color="auto"/>
        <w:left w:val="none" w:sz="0" w:space="0" w:color="auto"/>
        <w:bottom w:val="none" w:sz="0" w:space="0" w:color="auto"/>
        <w:right w:val="none" w:sz="0" w:space="0" w:color="auto"/>
      </w:divBdr>
    </w:div>
    <w:div w:id="201795419">
      <w:bodyDiv w:val="1"/>
      <w:marLeft w:val="0"/>
      <w:marRight w:val="0"/>
      <w:marTop w:val="0"/>
      <w:marBottom w:val="0"/>
      <w:divBdr>
        <w:top w:val="none" w:sz="0" w:space="0" w:color="auto"/>
        <w:left w:val="none" w:sz="0" w:space="0" w:color="auto"/>
        <w:bottom w:val="none" w:sz="0" w:space="0" w:color="auto"/>
        <w:right w:val="none" w:sz="0" w:space="0" w:color="auto"/>
      </w:divBdr>
    </w:div>
    <w:div w:id="201945334">
      <w:bodyDiv w:val="1"/>
      <w:marLeft w:val="0"/>
      <w:marRight w:val="0"/>
      <w:marTop w:val="0"/>
      <w:marBottom w:val="0"/>
      <w:divBdr>
        <w:top w:val="none" w:sz="0" w:space="0" w:color="auto"/>
        <w:left w:val="none" w:sz="0" w:space="0" w:color="auto"/>
        <w:bottom w:val="none" w:sz="0" w:space="0" w:color="auto"/>
        <w:right w:val="none" w:sz="0" w:space="0" w:color="auto"/>
      </w:divBdr>
    </w:div>
    <w:div w:id="203950295">
      <w:bodyDiv w:val="1"/>
      <w:marLeft w:val="0"/>
      <w:marRight w:val="0"/>
      <w:marTop w:val="0"/>
      <w:marBottom w:val="0"/>
      <w:divBdr>
        <w:top w:val="none" w:sz="0" w:space="0" w:color="auto"/>
        <w:left w:val="none" w:sz="0" w:space="0" w:color="auto"/>
        <w:bottom w:val="none" w:sz="0" w:space="0" w:color="auto"/>
        <w:right w:val="none" w:sz="0" w:space="0" w:color="auto"/>
      </w:divBdr>
    </w:div>
    <w:div w:id="203950786">
      <w:bodyDiv w:val="1"/>
      <w:marLeft w:val="0"/>
      <w:marRight w:val="0"/>
      <w:marTop w:val="0"/>
      <w:marBottom w:val="0"/>
      <w:divBdr>
        <w:top w:val="none" w:sz="0" w:space="0" w:color="auto"/>
        <w:left w:val="none" w:sz="0" w:space="0" w:color="auto"/>
        <w:bottom w:val="none" w:sz="0" w:space="0" w:color="auto"/>
        <w:right w:val="none" w:sz="0" w:space="0" w:color="auto"/>
      </w:divBdr>
    </w:div>
    <w:div w:id="203955560">
      <w:bodyDiv w:val="1"/>
      <w:marLeft w:val="0"/>
      <w:marRight w:val="0"/>
      <w:marTop w:val="0"/>
      <w:marBottom w:val="0"/>
      <w:divBdr>
        <w:top w:val="none" w:sz="0" w:space="0" w:color="auto"/>
        <w:left w:val="none" w:sz="0" w:space="0" w:color="auto"/>
        <w:bottom w:val="none" w:sz="0" w:space="0" w:color="auto"/>
        <w:right w:val="none" w:sz="0" w:space="0" w:color="auto"/>
      </w:divBdr>
    </w:div>
    <w:div w:id="204610955">
      <w:bodyDiv w:val="1"/>
      <w:marLeft w:val="0"/>
      <w:marRight w:val="0"/>
      <w:marTop w:val="0"/>
      <w:marBottom w:val="0"/>
      <w:divBdr>
        <w:top w:val="none" w:sz="0" w:space="0" w:color="auto"/>
        <w:left w:val="none" w:sz="0" w:space="0" w:color="auto"/>
        <w:bottom w:val="none" w:sz="0" w:space="0" w:color="auto"/>
        <w:right w:val="none" w:sz="0" w:space="0" w:color="auto"/>
      </w:divBdr>
    </w:div>
    <w:div w:id="207451622">
      <w:bodyDiv w:val="1"/>
      <w:marLeft w:val="0"/>
      <w:marRight w:val="0"/>
      <w:marTop w:val="0"/>
      <w:marBottom w:val="0"/>
      <w:divBdr>
        <w:top w:val="none" w:sz="0" w:space="0" w:color="auto"/>
        <w:left w:val="none" w:sz="0" w:space="0" w:color="auto"/>
        <w:bottom w:val="none" w:sz="0" w:space="0" w:color="auto"/>
        <w:right w:val="none" w:sz="0" w:space="0" w:color="auto"/>
      </w:divBdr>
    </w:div>
    <w:div w:id="208344562">
      <w:bodyDiv w:val="1"/>
      <w:marLeft w:val="0"/>
      <w:marRight w:val="0"/>
      <w:marTop w:val="0"/>
      <w:marBottom w:val="0"/>
      <w:divBdr>
        <w:top w:val="none" w:sz="0" w:space="0" w:color="auto"/>
        <w:left w:val="none" w:sz="0" w:space="0" w:color="auto"/>
        <w:bottom w:val="none" w:sz="0" w:space="0" w:color="auto"/>
        <w:right w:val="none" w:sz="0" w:space="0" w:color="auto"/>
      </w:divBdr>
    </w:div>
    <w:div w:id="208808531">
      <w:bodyDiv w:val="1"/>
      <w:marLeft w:val="0"/>
      <w:marRight w:val="0"/>
      <w:marTop w:val="0"/>
      <w:marBottom w:val="0"/>
      <w:divBdr>
        <w:top w:val="none" w:sz="0" w:space="0" w:color="auto"/>
        <w:left w:val="none" w:sz="0" w:space="0" w:color="auto"/>
        <w:bottom w:val="none" w:sz="0" w:space="0" w:color="auto"/>
        <w:right w:val="none" w:sz="0" w:space="0" w:color="auto"/>
      </w:divBdr>
    </w:div>
    <w:div w:id="210267644">
      <w:bodyDiv w:val="1"/>
      <w:marLeft w:val="0"/>
      <w:marRight w:val="0"/>
      <w:marTop w:val="0"/>
      <w:marBottom w:val="0"/>
      <w:divBdr>
        <w:top w:val="none" w:sz="0" w:space="0" w:color="auto"/>
        <w:left w:val="none" w:sz="0" w:space="0" w:color="auto"/>
        <w:bottom w:val="none" w:sz="0" w:space="0" w:color="auto"/>
        <w:right w:val="none" w:sz="0" w:space="0" w:color="auto"/>
      </w:divBdr>
    </w:div>
    <w:div w:id="211579948">
      <w:bodyDiv w:val="1"/>
      <w:marLeft w:val="0"/>
      <w:marRight w:val="0"/>
      <w:marTop w:val="0"/>
      <w:marBottom w:val="0"/>
      <w:divBdr>
        <w:top w:val="none" w:sz="0" w:space="0" w:color="auto"/>
        <w:left w:val="none" w:sz="0" w:space="0" w:color="auto"/>
        <w:bottom w:val="none" w:sz="0" w:space="0" w:color="auto"/>
        <w:right w:val="none" w:sz="0" w:space="0" w:color="auto"/>
      </w:divBdr>
    </w:div>
    <w:div w:id="212622442">
      <w:bodyDiv w:val="1"/>
      <w:marLeft w:val="0"/>
      <w:marRight w:val="0"/>
      <w:marTop w:val="0"/>
      <w:marBottom w:val="0"/>
      <w:divBdr>
        <w:top w:val="none" w:sz="0" w:space="0" w:color="auto"/>
        <w:left w:val="none" w:sz="0" w:space="0" w:color="auto"/>
        <w:bottom w:val="none" w:sz="0" w:space="0" w:color="auto"/>
        <w:right w:val="none" w:sz="0" w:space="0" w:color="auto"/>
      </w:divBdr>
    </w:div>
    <w:div w:id="213006447">
      <w:bodyDiv w:val="1"/>
      <w:marLeft w:val="0"/>
      <w:marRight w:val="0"/>
      <w:marTop w:val="0"/>
      <w:marBottom w:val="0"/>
      <w:divBdr>
        <w:top w:val="none" w:sz="0" w:space="0" w:color="auto"/>
        <w:left w:val="none" w:sz="0" w:space="0" w:color="auto"/>
        <w:bottom w:val="none" w:sz="0" w:space="0" w:color="auto"/>
        <w:right w:val="none" w:sz="0" w:space="0" w:color="auto"/>
      </w:divBdr>
    </w:div>
    <w:div w:id="213860299">
      <w:bodyDiv w:val="1"/>
      <w:marLeft w:val="0"/>
      <w:marRight w:val="0"/>
      <w:marTop w:val="0"/>
      <w:marBottom w:val="0"/>
      <w:divBdr>
        <w:top w:val="none" w:sz="0" w:space="0" w:color="auto"/>
        <w:left w:val="none" w:sz="0" w:space="0" w:color="auto"/>
        <w:bottom w:val="none" w:sz="0" w:space="0" w:color="auto"/>
        <w:right w:val="none" w:sz="0" w:space="0" w:color="auto"/>
      </w:divBdr>
    </w:div>
    <w:div w:id="214004550">
      <w:bodyDiv w:val="1"/>
      <w:marLeft w:val="0"/>
      <w:marRight w:val="0"/>
      <w:marTop w:val="0"/>
      <w:marBottom w:val="0"/>
      <w:divBdr>
        <w:top w:val="none" w:sz="0" w:space="0" w:color="auto"/>
        <w:left w:val="none" w:sz="0" w:space="0" w:color="auto"/>
        <w:bottom w:val="none" w:sz="0" w:space="0" w:color="auto"/>
        <w:right w:val="none" w:sz="0" w:space="0" w:color="auto"/>
      </w:divBdr>
    </w:div>
    <w:div w:id="217129404">
      <w:bodyDiv w:val="1"/>
      <w:marLeft w:val="0"/>
      <w:marRight w:val="0"/>
      <w:marTop w:val="0"/>
      <w:marBottom w:val="0"/>
      <w:divBdr>
        <w:top w:val="none" w:sz="0" w:space="0" w:color="auto"/>
        <w:left w:val="none" w:sz="0" w:space="0" w:color="auto"/>
        <w:bottom w:val="none" w:sz="0" w:space="0" w:color="auto"/>
        <w:right w:val="none" w:sz="0" w:space="0" w:color="auto"/>
      </w:divBdr>
    </w:div>
    <w:div w:id="217328342">
      <w:bodyDiv w:val="1"/>
      <w:marLeft w:val="0"/>
      <w:marRight w:val="0"/>
      <w:marTop w:val="0"/>
      <w:marBottom w:val="0"/>
      <w:divBdr>
        <w:top w:val="none" w:sz="0" w:space="0" w:color="auto"/>
        <w:left w:val="none" w:sz="0" w:space="0" w:color="auto"/>
        <w:bottom w:val="none" w:sz="0" w:space="0" w:color="auto"/>
        <w:right w:val="none" w:sz="0" w:space="0" w:color="auto"/>
      </w:divBdr>
    </w:div>
    <w:div w:id="217716411">
      <w:bodyDiv w:val="1"/>
      <w:marLeft w:val="0"/>
      <w:marRight w:val="0"/>
      <w:marTop w:val="0"/>
      <w:marBottom w:val="0"/>
      <w:divBdr>
        <w:top w:val="none" w:sz="0" w:space="0" w:color="auto"/>
        <w:left w:val="none" w:sz="0" w:space="0" w:color="auto"/>
        <w:bottom w:val="none" w:sz="0" w:space="0" w:color="auto"/>
        <w:right w:val="none" w:sz="0" w:space="0" w:color="auto"/>
      </w:divBdr>
    </w:div>
    <w:div w:id="218324921">
      <w:bodyDiv w:val="1"/>
      <w:marLeft w:val="0"/>
      <w:marRight w:val="0"/>
      <w:marTop w:val="0"/>
      <w:marBottom w:val="0"/>
      <w:divBdr>
        <w:top w:val="none" w:sz="0" w:space="0" w:color="auto"/>
        <w:left w:val="none" w:sz="0" w:space="0" w:color="auto"/>
        <w:bottom w:val="none" w:sz="0" w:space="0" w:color="auto"/>
        <w:right w:val="none" w:sz="0" w:space="0" w:color="auto"/>
      </w:divBdr>
    </w:div>
    <w:div w:id="218981259">
      <w:bodyDiv w:val="1"/>
      <w:marLeft w:val="0"/>
      <w:marRight w:val="0"/>
      <w:marTop w:val="0"/>
      <w:marBottom w:val="0"/>
      <w:divBdr>
        <w:top w:val="none" w:sz="0" w:space="0" w:color="auto"/>
        <w:left w:val="none" w:sz="0" w:space="0" w:color="auto"/>
        <w:bottom w:val="none" w:sz="0" w:space="0" w:color="auto"/>
        <w:right w:val="none" w:sz="0" w:space="0" w:color="auto"/>
      </w:divBdr>
    </w:div>
    <w:div w:id="219172298">
      <w:bodyDiv w:val="1"/>
      <w:marLeft w:val="0"/>
      <w:marRight w:val="0"/>
      <w:marTop w:val="0"/>
      <w:marBottom w:val="0"/>
      <w:divBdr>
        <w:top w:val="none" w:sz="0" w:space="0" w:color="auto"/>
        <w:left w:val="none" w:sz="0" w:space="0" w:color="auto"/>
        <w:bottom w:val="none" w:sz="0" w:space="0" w:color="auto"/>
        <w:right w:val="none" w:sz="0" w:space="0" w:color="auto"/>
      </w:divBdr>
    </w:div>
    <w:div w:id="220799184">
      <w:bodyDiv w:val="1"/>
      <w:marLeft w:val="0"/>
      <w:marRight w:val="0"/>
      <w:marTop w:val="0"/>
      <w:marBottom w:val="0"/>
      <w:divBdr>
        <w:top w:val="none" w:sz="0" w:space="0" w:color="auto"/>
        <w:left w:val="none" w:sz="0" w:space="0" w:color="auto"/>
        <w:bottom w:val="none" w:sz="0" w:space="0" w:color="auto"/>
        <w:right w:val="none" w:sz="0" w:space="0" w:color="auto"/>
      </w:divBdr>
    </w:div>
    <w:div w:id="221252196">
      <w:bodyDiv w:val="1"/>
      <w:marLeft w:val="0"/>
      <w:marRight w:val="0"/>
      <w:marTop w:val="0"/>
      <w:marBottom w:val="0"/>
      <w:divBdr>
        <w:top w:val="none" w:sz="0" w:space="0" w:color="auto"/>
        <w:left w:val="none" w:sz="0" w:space="0" w:color="auto"/>
        <w:bottom w:val="none" w:sz="0" w:space="0" w:color="auto"/>
        <w:right w:val="none" w:sz="0" w:space="0" w:color="auto"/>
      </w:divBdr>
    </w:div>
    <w:div w:id="221798227">
      <w:bodyDiv w:val="1"/>
      <w:marLeft w:val="0"/>
      <w:marRight w:val="0"/>
      <w:marTop w:val="0"/>
      <w:marBottom w:val="0"/>
      <w:divBdr>
        <w:top w:val="none" w:sz="0" w:space="0" w:color="auto"/>
        <w:left w:val="none" w:sz="0" w:space="0" w:color="auto"/>
        <w:bottom w:val="none" w:sz="0" w:space="0" w:color="auto"/>
        <w:right w:val="none" w:sz="0" w:space="0" w:color="auto"/>
      </w:divBdr>
    </w:div>
    <w:div w:id="222570384">
      <w:bodyDiv w:val="1"/>
      <w:marLeft w:val="0"/>
      <w:marRight w:val="0"/>
      <w:marTop w:val="0"/>
      <w:marBottom w:val="0"/>
      <w:divBdr>
        <w:top w:val="none" w:sz="0" w:space="0" w:color="auto"/>
        <w:left w:val="none" w:sz="0" w:space="0" w:color="auto"/>
        <w:bottom w:val="none" w:sz="0" w:space="0" w:color="auto"/>
        <w:right w:val="none" w:sz="0" w:space="0" w:color="auto"/>
      </w:divBdr>
    </w:div>
    <w:div w:id="223413145">
      <w:bodyDiv w:val="1"/>
      <w:marLeft w:val="0"/>
      <w:marRight w:val="0"/>
      <w:marTop w:val="0"/>
      <w:marBottom w:val="0"/>
      <w:divBdr>
        <w:top w:val="none" w:sz="0" w:space="0" w:color="auto"/>
        <w:left w:val="none" w:sz="0" w:space="0" w:color="auto"/>
        <w:bottom w:val="none" w:sz="0" w:space="0" w:color="auto"/>
        <w:right w:val="none" w:sz="0" w:space="0" w:color="auto"/>
      </w:divBdr>
    </w:div>
    <w:div w:id="224025808">
      <w:bodyDiv w:val="1"/>
      <w:marLeft w:val="0"/>
      <w:marRight w:val="0"/>
      <w:marTop w:val="0"/>
      <w:marBottom w:val="0"/>
      <w:divBdr>
        <w:top w:val="none" w:sz="0" w:space="0" w:color="auto"/>
        <w:left w:val="none" w:sz="0" w:space="0" w:color="auto"/>
        <w:bottom w:val="none" w:sz="0" w:space="0" w:color="auto"/>
        <w:right w:val="none" w:sz="0" w:space="0" w:color="auto"/>
      </w:divBdr>
    </w:div>
    <w:div w:id="225921224">
      <w:bodyDiv w:val="1"/>
      <w:marLeft w:val="0"/>
      <w:marRight w:val="0"/>
      <w:marTop w:val="0"/>
      <w:marBottom w:val="0"/>
      <w:divBdr>
        <w:top w:val="none" w:sz="0" w:space="0" w:color="auto"/>
        <w:left w:val="none" w:sz="0" w:space="0" w:color="auto"/>
        <w:bottom w:val="none" w:sz="0" w:space="0" w:color="auto"/>
        <w:right w:val="none" w:sz="0" w:space="0" w:color="auto"/>
      </w:divBdr>
    </w:div>
    <w:div w:id="227613191">
      <w:bodyDiv w:val="1"/>
      <w:marLeft w:val="0"/>
      <w:marRight w:val="0"/>
      <w:marTop w:val="0"/>
      <w:marBottom w:val="0"/>
      <w:divBdr>
        <w:top w:val="none" w:sz="0" w:space="0" w:color="auto"/>
        <w:left w:val="none" w:sz="0" w:space="0" w:color="auto"/>
        <w:bottom w:val="none" w:sz="0" w:space="0" w:color="auto"/>
        <w:right w:val="none" w:sz="0" w:space="0" w:color="auto"/>
      </w:divBdr>
    </w:div>
    <w:div w:id="228543301">
      <w:bodyDiv w:val="1"/>
      <w:marLeft w:val="0"/>
      <w:marRight w:val="0"/>
      <w:marTop w:val="0"/>
      <w:marBottom w:val="0"/>
      <w:divBdr>
        <w:top w:val="none" w:sz="0" w:space="0" w:color="auto"/>
        <w:left w:val="none" w:sz="0" w:space="0" w:color="auto"/>
        <w:bottom w:val="none" w:sz="0" w:space="0" w:color="auto"/>
        <w:right w:val="none" w:sz="0" w:space="0" w:color="auto"/>
      </w:divBdr>
    </w:div>
    <w:div w:id="228805930">
      <w:bodyDiv w:val="1"/>
      <w:marLeft w:val="0"/>
      <w:marRight w:val="0"/>
      <w:marTop w:val="0"/>
      <w:marBottom w:val="0"/>
      <w:divBdr>
        <w:top w:val="none" w:sz="0" w:space="0" w:color="auto"/>
        <w:left w:val="none" w:sz="0" w:space="0" w:color="auto"/>
        <w:bottom w:val="none" w:sz="0" w:space="0" w:color="auto"/>
        <w:right w:val="none" w:sz="0" w:space="0" w:color="auto"/>
      </w:divBdr>
    </w:div>
    <w:div w:id="229973289">
      <w:bodyDiv w:val="1"/>
      <w:marLeft w:val="0"/>
      <w:marRight w:val="0"/>
      <w:marTop w:val="0"/>
      <w:marBottom w:val="0"/>
      <w:divBdr>
        <w:top w:val="none" w:sz="0" w:space="0" w:color="auto"/>
        <w:left w:val="none" w:sz="0" w:space="0" w:color="auto"/>
        <w:bottom w:val="none" w:sz="0" w:space="0" w:color="auto"/>
        <w:right w:val="none" w:sz="0" w:space="0" w:color="auto"/>
      </w:divBdr>
    </w:div>
    <w:div w:id="231236306">
      <w:bodyDiv w:val="1"/>
      <w:marLeft w:val="0"/>
      <w:marRight w:val="0"/>
      <w:marTop w:val="0"/>
      <w:marBottom w:val="0"/>
      <w:divBdr>
        <w:top w:val="none" w:sz="0" w:space="0" w:color="auto"/>
        <w:left w:val="none" w:sz="0" w:space="0" w:color="auto"/>
        <w:bottom w:val="none" w:sz="0" w:space="0" w:color="auto"/>
        <w:right w:val="none" w:sz="0" w:space="0" w:color="auto"/>
      </w:divBdr>
    </w:div>
    <w:div w:id="231701251">
      <w:bodyDiv w:val="1"/>
      <w:marLeft w:val="0"/>
      <w:marRight w:val="0"/>
      <w:marTop w:val="0"/>
      <w:marBottom w:val="0"/>
      <w:divBdr>
        <w:top w:val="none" w:sz="0" w:space="0" w:color="auto"/>
        <w:left w:val="none" w:sz="0" w:space="0" w:color="auto"/>
        <w:bottom w:val="none" w:sz="0" w:space="0" w:color="auto"/>
        <w:right w:val="none" w:sz="0" w:space="0" w:color="auto"/>
      </w:divBdr>
    </w:div>
    <w:div w:id="232860538">
      <w:bodyDiv w:val="1"/>
      <w:marLeft w:val="0"/>
      <w:marRight w:val="0"/>
      <w:marTop w:val="0"/>
      <w:marBottom w:val="0"/>
      <w:divBdr>
        <w:top w:val="none" w:sz="0" w:space="0" w:color="auto"/>
        <w:left w:val="none" w:sz="0" w:space="0" w:color="auto"/>
        <w:bottom w:val="none" w:sz="0" w:space="0" w:color="auto"/>
        <w:right w:val="none" w:sz="0" w:space="0" w:color="auto"/>
      </w:divBdr>
    </w:div>
    <w:div w:id="233056357">
      <w:bodyDiv w:val="1"/>
      <w:marLeft w:val="0"/>
      <w:marRight w:val="0"/>
      <w:marTop w:val="0"/>
      <w:marBottom w:val="0"/>
      <w:divBdr>
        <w:top w:val="none" w:sz="0" w:space="0" w:color="auto"/>
        <w:left w:val="none" w:sz="0" w:space="0" w:color="auto"/>
        <w:bottom w:val="none" w:sz="0" w:space="0" w:color="auto"/>
        <w:right w:val="none" w:sz="0" w:space="0" w:color="auto"/>
      </w:divBdr>
    </w:div>
    <w:div w:id="233667332">
      <w:bodyDiv w:val="1"/>
      <w:marLeft w:val="0"/>
      <w:marRight w:val="0"/>
      <w:marTop w:val="0"/>
      <w:marBottom w:val="0"/>
      <w:divBdr>
        <w:top w:val="none" w:sz="0" w:space="0" w:color="auto"/>
        <w:left w:val="none" w:sz="0" w:space="0" w:color="auto"/>
        <w:bottom w:val="none" w:sz="0" w:space="0" w:color="auto"/>
        <w:right w:val="none" w:sz="0" w:space="0" w:color="auto"/>
      </w:divBdr>
    </w:div>
    <w:div w:id="234626793">
      <w:bodyDiv w:val="1"/>
      <w:marLeft w:val="0"/>
      <w:marRight w:val="0"/>
      <w:marTop w:val="0"/>
      <w:marBottom w:val="0"/>
      <w:divBdr>
        <w:top w:val="none" w:sz="0" w:space="0" w:color="auto"/>
        <w:left w:val="none" w:sz="0" w:space="0" w:color="auto"/>
        <w:bottom w:val="none" w:sz="0" w:space="0" w:color="auto"/>
        <w:right w:val="none" w:sz="0" w:space="0" w:color="auto"/>
      </w:divBdr>
    </w:div>
    <w:div w:id="234900682">
      <w:bodyDiv w:val="1"/>
      <w:marLeft w:val="0"/>
      <w:marRight w:val="0"/>
      <w:marTop w:val="0"/>
      <w:marBottom w:val="0"/>
      <w:divBdr>
        <w:top w:val="none" w:sz="0" w:space="0" w:color="auto"/>
        <w:left w:val="none" w:sz="0" w:space="0" w:color="auto"/>
        <w:bottom w:val="none" w:sz="0" w:space="0" w:color="auto"/>
        <w:right w:val="none" w:sz="0" w:space="0" w:color="auto"/>
      </w:divBdr>
    </w:div>
    <w:div w:id="235752892">
      <w:bodyDiv w:val="1"/>
      <w:marLeft w:val="0"/>
      <w:marRight w:val="0"/>
      <w:marTop w:val="0"/>
      <w:marBottom w:val="0"/>
      <w:divBdr>
        <w:top w:val="none" w:sz="0" w:space="0" w:color="auto"/>
        <w:left w:val="none" w:sz="0" w:space="0" w:color="auto"/>
        <w:bottom w:val="none" w:sz="0" w:space="0" w:color="auto"/>
        <w:right w:val="none" w:sz="0" w:space="0" w:color="auto"/>
      </w:divBdr>
    </w:div>
    <w:div w:id="239868917">
      <w:bodyDiv w:val="1"/>
      <w:marLeft w:val="0"/>
      <w:marRight w:val="0"/>
      <w:marTop w:val="0"/>
      <w:marBottom w:val="0"/>
      <w:divBdr>
        <w:top w:val="none" w:sz="0" w:space="0" w:color="auto"/>
        <w:left w:val="none" w:sz="0" w:space="0" w:color="auto"/>
        <w:bottom w:val="none" w:sz="0" w:space="0" w:color="auto"/>
        <w:right w:val="none" w:sz="0" w:space="0" w:color="auto"/>
      </w:divBdr>
    </w:div>
    <w:div w:id="241184274">
      <w:bodyDiv w:val="1"/>
      <w:marLeft w:val="0"/>
      <w:marRight w:val="0"/>
      <w:marTop w:val="0"/>
      <w:marBottom w:val="0"/>
      <w:divBdr>
        <w:top w:val="none" w:sz="0" w:space="0" w:color="auto"/>
        <w:left w:val="none" w:sz="0" w:space="0" w:color="auto"/>
        <w:bottom w:val="none" w:sz="0" w:space="0" w:color="auto"/>
        <w:right w:val="none" w:sz="0" w:space="0" w:color="auto"/>
      </w:divBdr>
    </w:div>
    <w:div w:id="241837287">
      <w:bodyDiv w:val="1"/>
      <w:marLeft w:val="0"/>
      <w:marRight w:val="0"/>
      <w:marTop w:val="0"/>
      <w:marBottom w:val="0"/>
      <w:divBdr>
        <w:top w:val="none" w:sz="0" w:space="0" w:color="auto"/>
        <w:left w:val="none" w:sz="0" w:space="0" w:color="auto"/>
        <w:bottom w:val="none" w:sz="0" w:space="0" w:color="auto"/>
        <w:right w:val="none" w:sz="0" w:space="0" w:color="auto"/>
      </w:divBdr>
    </w:div>
    <w:div w:id="243301990">
      <w:bodyDiv w:val="1"/>
      <w:marLeft w:val="0"/>
      <w:marRight w:val="0"/>
      <w:marTop w:val="0"/>
      <w:marBottom w:val="0"/>
      <w:divBdr>
        <w:top w:val="none" w:sz="0" w:space="0" w:color="auto"/>
        <w:left w:val="none" w:sz="0" w:space="0" w:color="auto"/>
        <w:bottom w:val="none" w:sz="0" w:space="0" w:color="auto"/>
        <w:right w:val="none" w:sz="0" w:space="0" w:color="auto"/>
      </w:divBdr>
    </w:div>
    <w:div w:id="243534712">
      <w:bodyDiv w:val="1"/>
      <w:marLeft w:val="0"/>
      <w:marRight w:val="0"/>
      <w:marTop w:val="0"/>
      <w:marBottom w:val="0"/>
      <w:divBdr>
        <w:top w:val="none" w:sz="0" w:space="0" w:color="auto"/>
        <w:left w:val="none" w:sz="0" w:space="0" w:color="auto"/>
        <w:bottom w:val="none" w:sz="0" w:space="0" w:color="auto"/>
        <w:right w:val="none" w:sz="0" w:space="0" w:color="auto"/>
      </w:divBdr>
    </w:div>
    <w:div w:id="244731147">
      <w:bodyDiv w:val="1"/>
      <w:marLeft w:val="0"/>
      <w:marRight w:val="0"/>
      <w:marTop w:val="0"/>
      <w:marBottom w:val="0"/>
      <w:divBdr>
        <w:top w:val="none" w:sz="0" w:space="0" w:color="auto"/>
        <w:left w:val="none" w:sz="0" w:space="0" w:color="auto"/>
        <w:bottom w:val="none" w:sz="0" w:space="0" w:color="auto"/>
        <w:right w:val="none" w:sz="0" w:space="0" w:color="auto"/>
      </w:divBdr>
    </w:div>
    <w:div w:id="245193591">
      <w:bodyDiv w:val="1"/>
      <w:marLeft w:val="0"/>
      <w:marRight w:val="0"/>
      <w:marTop w:val="0"/>
      <w:marBottom w:val="0"/>
      <w:divBdr>
        <w:top w:val="none" w:sz="0" w:space="0" w:color="auto"/>
        <w:left w:val="none" w:sz="0" w:space="0" w:color="auto"/>
        <w:bottom w:val="none" w:sz="0" w:space="0" w:color="auto"/>
        <w:right w:val="none" w:sz="0" w:space="0" w:color="auto"/>
      </w:divBdr>
    </w:div>
    <w:div w:id="246574331">
      <w:bodyDiv w:val="1"/>
      <w:marLeft w:val="0"/>
      <w:marRight w:val="0"/>
      <w:marTop w:val="0"/>
      <w:marBottom w:val="0"/>
      <w:divBdr>
        <w:top w:val="none" w:sz="0" w:space="0" w:color="auto"/>
        <w:left w:val="none" w:sz="0" w:space="0" w:color="auto"/>
        <w:bottom w:val="none" w:sz="0" w:space="0" w:color="auto"/>
        <w:right w:val="none" w:sz="0" w:space="0" w:color="auto"/>
      </w:divBdr>
    </w:div>
    <w:div w:id="247202905">
      <w:bodyDiv w:val="1"/>
      <w:marLeft w:val="0"/>
      <w:marRight w:val="0"/>
      <w:marTop w:val="0"/>
      <w:marBottom w:val="0"/>
      <w:divBdr>
        <w:top w:val="none" w:sz="0" w:space="0" w:color="auto"/>
        <w:left w:val="none" w:sz="0" w:space="0" w:color="auto"/>
        <w:bottom w:val="none" w:sz="0" w:space="0" w:color="auto"/>
        <w:right w:val="none" w:sz="0" w:space="0" w:color="auto"/>
      </w:divBdr>
    </w:div>
    <w:div w:id="247424216">
      <w:bodyDiv w:val="1"/>
      <w:marLeft w:val="0"/>
      <w:marRight w:val="0"/>
      <w:marTop w:val="0"/>
      <w:marBottom w:val="0"/>
      <w:divBdr>
        <w:top w:val="none" w:sz="0" w:space="0" w:color="auto"/>
        <w:left w:val="none" w:sz="0" w:space="0" w:color="auto"/>
        <w:bottom w:val="none" w:sz="0" w:space="0" w:color="auto"/>
        <w:right w:val="none" w:sz="0" w:space="0" w:color="auto"/>
      </w:divBdr>
    </w:div>
    <w:div w:id="248076328">
      <w:bodyDiv w:val="1"/>
      <w:marLeft w:val="0"/>
      <w:marRight w:val="0"/>
      <w:marTop w:val="0"/>
      <w:marBottom w:val="0"/>
      <w:divBdr>
        <w:top w:val="none" w:sz="0" w:space="0" w:color="auto"/>
        <w:left w:val="none" w:sz="0" w:space="0" w:color="auto"/>
        <w:bottom w:val="none" w:sz="0" w:space="0" w:color="auto"/>
        <w:right w:val="none" w:sz="0" w:space="0" w:color="auto"/>
      </w:divBdr>
    </w:div>
    <w:div w:id="248124308">
      <w:bodyDiv w:val="1"/>
      <w:marLeft w:val="0"/>
      <w:marRight w:val="0"/>
      <w:marTop w:val="0"/>
      <w:marBottom w:val="0"/>
      <w:divBdr>
        <w:top w:val="none" w:sz="0" w:space="0" w:color="auto"/>
        <w:left w:val="none" w:sz="0" w:space="0" w:color="auto"/>
        <w:bottom w:val="none" w:sz="0" w:space="0" w:color="auto"/>
        <w:right w:val="none" w:sz="0" w:space="0" w:color="auto"/>
      </w:divBdr>
    </w:div>
    <w:div w:id="249389544">
      <w:bodyDiv w:val="1"/>
      <w:marLeft w:val="0"/>
      <w:marRight w:val="0"/>
      <w:marTop w:val="0"/>
      <w:marBottom w:val="0"/>
      <w:divBdr>
        <w:top w:val="none" w:sz="0" w:space="0" w:color="auto"/>
        <w:left w:val="none" w:sz="0" w:space="0" w:color="auto"/>
        <w:bottom w:val="none" w:sz="0" w:space="0" w:color="auto"/>
        <w:right w:val="none" w:sz="0" w:space="0" w:color="auto"/>
      </w:divBdr>
    </w:div>
    <w:div w:id="249627921">
      <w:bodyDiv w:val="1"/>
      <w:marLeft w:val="0"/>
      <w:marRight w:val="0"/>
      <w:marTop w:val="0"/>
      <w:marBottom w:val="0"/>
      <w:divBdr>
        <w:top w:val="none" w:sz="0" w:space="0" w:color="auto"/>
        <w:left w:val="none" w:sz="0" w:space="0" w:color="auto"/>
        <w:bottom w:val="none" w:sz="0" w:space="0" w:color="auto"/>
        <w:right w:val="none" w:sz="0" w:space="0" w:color="auto"/>
      </w:divBdr>
    </w:div>
    <w:div w:id="250429322">
      <w:bodyDiv w:val="1"/>
      <w:marLeft w:val="0"/>
      <w:marRight w:val="0"/>
      <w:marTop w:val="0"/>
      <w:marBottom w:val="0"/>
      <w:divBdr>
        <w:top w:val="none" w:sz="0" w:space="0" w:color="auto"/>
        <w:left w:val="none" w:sz="0" w:space="0" w:color="auto"/>
        <w:bottom w:val="none" w:sz="0" w:space="0" w:color="auto"/>
        <w:right w:val="none" w:sz="0" w:space="0" w:color="auto"/>
      </w:divBdr>
    </w:div>
    <w:div w:id="252131157">
      <w:bodyDiv w:val="1"/>
      <w:marLeft w:val="0"/>
      <w:marRight w:val="0"/>
      <w:marTop w:val="0"/>
      <w:marBottom w:val="0"/>
      <w:divBdr>
        <w:top w:val="none" w:sz="0" w:space="0" w:color="auto"/>
        <w:left w:val="none" w:sz="0" w:space="0" w:color="auto"/>
        <w:bottom w:val="none" w:sz="0" w:space="0" w:color="auto"/>
        <w:right w:val="none" w:sz="0" w:space="0" w:color="auto"/>
      </w:divBdr>
    </w:div>
    <w:div w:id="252471697">
      <w:bodyDiv w:val="1"/>
      <w:marLeft w:val="0"/>
      <w:marRight w:val="0"/>
      <w:marTop w:val="0"/>
      <w:marBottom w:val="0"/>
      <w:divBdr>
        <w:top w:val="none" w:sz="0" w:space="0" w:color="auto"/>
        <w:left w:val="none" w:sz="0" w:space="0" w:color="auto"/>
        <w:bottom w:val="none" w:sz="0" w:space="0" w:color="auto"/>
        <w:right w:val="none" w:sz="0" w:space="0" w:color="auto"/>
      </w:divBdr>
    </w:div>
    <w:div w:id="252711556">
      <w:bodyDiv w:val="1"/>
      <w:marLeft w:val="0"/>
      <w:marRight w:val="0"/>
      <w:marTop w:val="0"/>
      <w:marBottom w:val="0"/>
      <w:divBdr>
        <w:top w:val="none" w:sz="0" w:space="0" w:color="auto"/>
        <w:left w:val="none" w:sz="0" w:space="0" w:color="auto"/>
        <w:bottom w:val="none" w:sz="0" w:space="0" w:color="auto"/>
        <w:right w:val="none" w:sz="0" w:space="0" w:color="auto"/>
      </w:divBdr>
    </w:div>
    <w:div w:id="253394077">
      <w:bodyDiv w:val="1"/>
      <w:marLeft w:val="0"/>
      <w:marRight w:val="0"/>
      <w:marTop w:val="0"/>
      <w:marBottom w:val="0"/>
      <w:divBdr>
        <w:top w:val="none" w:sz="0" w:space="0" w:color="auto"/>
        <w:left w:val="none" w:sz="0" w:space="0" w:color="auto"/>
        <w:bottom w:val="none" w:sz="0" w:space="0" w:color="auto"/>
        <w:right w:val="none" w:sz="0" w:space="0" w:color="auto"/>
      </w:divBdr>
    </w:div>
    <w:div w:id="254871546">
      <w:bodyDiv w:val="1"/>
      <w:marLeft w:val="0"/>
      <w:marRight w:val="0"/>
      <w:marTop w:val="0"/>
      <w:marBottom w:val="0"/>
      <w:divBdr>
        <w:top w:val="none" w:sz="0" w:space="0" w:color="auto"/>
        <w:left w:val="none" w:sz="0" w:space="0" w:color="auto"/>
        <w:bottom w:val="none" w:sz="0" w:space="0" w:color="auto"/>
        <w:right w:val="none" w:sz="0" w:space="0" w:color="auto"/>
      </w:divBdr>
    </w:div>
    <w:div w:id="255097173">
      <w:bodyDiv w:val="1"/>
      <w:marLeft w:val="0"/>
      <w:marRight w:val="0"/>
      <w:marTop w:val="0"/>
      <w:marBottom w:val="0"/>
      <w:divBdr>
        <w:top w:val="none" w:sz="0" w:space="0" w:color="auto"/>
        <w:left w:val="none" w:sz="0" w:space="0" w:color="auto"/>
        <w:bottom w:val="none" w:sz="0" w:space="0" w:color="auto"/>
        <w:right w:val="none" w:sz="0" w:space="0" w:color="auto"/>
      </w:divBdr>
    </w:div>
    <w:div w:id="256137019">
      <w:bodyDiv w:val="1"/>
      <w:marLeft w:val="0"/>
      <w:marRight w:val="0"/>
      <w:marTop w:val="0"/>
      <w:marBottom w:val="0"/>
      <w:divBdr>
        <w:top w:val="none" w:sz="0" w:space="0" w:color="auto"/>
        <w:left w:val="none" w:sz="0" w:space="0" w:color="auto"/>
        <w:bottom w:val="none" w:sz="0" w:space="0" w:color="auto"/>
        <w:right w:val="none" w:sz="0" w:space="0" w:color="auto"/>
      </w:divBdr>
    </w:div>
    <w:div w:id="257371775">
      <w:bodyDiv w:val="1"/>
      <w:marLeft w:val="0"/>
      <w:marRight w:val="0"/>
      <w:marTop w:val="0"/>
      <w:marBottom w:val="0"/>
      <w:divBdr>
        <w:top w:val="none" w:sz="0" w:space="0" w:color="auto"/>
        <w:left w:val="none" w:sz="0" w:space="0" w:color="auto"/>
        <w:bottom w:val="none" w:sz="0" w:space="0" w:color="auto"/>
        <w:right w:val="none" w:sz="0" w:space="0" w:color="auto"/>
      </w:divBdr>
    </w:div>
    <w:div w:id="260337535">
      <w:bodyDiv w:val="1"/>
      <w:marLeft w:val="0"/>
      <w:marRight w:val="0"/>
      <w:marTop w:val="0"/>
      <w:marBottom w:val="0"/>
      <w:divBdr>
        <w:top w:val="none" w:sz="0" w:space="0" w:color="auto"/>
        <w:left w:val="none" w:sz="0" w:space="0" w:color="auto"/>
        <w:bottom w:val="none" w:sz="0" w:space="0" w:color="auto"/>
        <w:right w:val="none" w:sz="0" w:space="0" w:color="auto"/>
      </w:divBdr>
    </w:div>
    <w:div w:id="262733885">
      <w:bodyDiv w:val="1"/>
      <w:marLeft w:val="0"/>
      <w:marRight w:val="0"/>
      <w:marTop w:val="0"/>
      <w:marBottom w:val="0"/>
      <w:divBdr>
        <w:top w:val="none" w:sz="0" w:space="0" w:color="auto"/>
        <w:left w:val="none" w:sz="0" w:space="0" w:color="auto"/>
        <w:bottom w:val="none" w:sz="0" w:space="0" w:color="auto"/>
        <w:right w:val="none" w:sz="0" w:space="0" w:color="auto"/>
      </w:divBdr>
    </w:div>
    <w:div w:id="264466327">
      <w:bodyDiv w:val="1"/>
      <w:marLeft w:val="0"/>
      <w:marRight w:val="0"/>
      <w:marTop w:val="0"/>
      <w:marBottom w:val="0"/>
      <w:divBdr>
        <w:top w:val="none" w:sz="0" w:space="0" w:color="auto"/>
        <w:left w:val="none" w:sz="0" w:space="0" w:color="auto"/>
        <w:bottom w:val="none" w:sz="0" w:space="0" w:color="auto"/>
        <w:right w:val="none" w:sz="0" w:space="0" w:color="auto"/>
      </w:divBdr>
    </w:div>
    <w:div w:id="264964324">
      <w:bodyDiv w:val="1"/>
      <w:marLeft w:val="0"/>
      <w:marRight w:val="0"/>
      <w:marTop w:val="0"/>
      <w:marBottom w:val="0"/>
      <w:divBdr>
        <w:top w:val="none" w:sz="0" w:space="0" w:color="auto"/>
        <w:left w:val="none" w:sz="0" w:space="0" w:color="auto"/>
        <w:bottom w:val="none" w:sz="0" w:space="0" w:color="auto"/>
        <w:right w:val="none" w:sz="0" w:space="0" w:color="auto"/>
      </w:divBdr>
    </w:div>
    <w:div w:id="265846160">
      <w:bodyDiv w:val="1"/>
      <w:marLeft w:val="0"/>
      <w:marRight w:val="0"/>
      <w:marTop w:val="0"/>
      <w:marBottom w:val="0"/>
      <w:divBdr>
        <w:top w:val="none" w:sz="0" w:space="0" w:color="auto"/>
        <w:left w:val="none" w:sz="0" w:space="0" w:color="auto"/>
        <w:bottom w:val="none" w:sz="0" w:space="0" w:color="auto"/>
        <w:right w:val="none" w:sz="0" w:space="0" w:color="auto"/>
      </w:divBdr>
    </w:div>
    <w:div w:id="266472474">
      <w:bodyDiv w:val="1"/>
      <w:marLeft w:val="0"/>
      <w:marRight w:val="0"/>
      <w:marTop w:val="0"/>
      <w:marBottom w:val="0"/>
      <w:divBdr>
        <w:top w:val="none" w:sz="0" w:space="0" w:color="auto"/>
        <w:left w:val="none" w:sz="0" w:space="0" w:color="auto"/>
        <w:bottom w:val="none" w:sz="0" w:space="0" w:color="auto"/>
        <w:right w:val="none" w:sz="0" w:space="0" w:color="auto"/>
      </w:divBdr>
    </w:div>
    <w:div w:id="268127445">
      <w:bodyDiv w:val="1"/>
      <w:marLeft w:val="0"/>
      <w:marRight w:val="0"/>
      <w:marTop w:val="0"/>
      <w:marBottom w:val="0"/>
      <w:divBdr>
        <w:top w:val="none" w:sz="0" w:space="0" w:color="auto"/>
        <w:left w:val="none" w:sz="0" w:space="0" w:color="auto"/>
        <w:bottom w:val="none" w:sz="0" w:space="0" w:color="auto"/>
        <w:right w:val="none" w:sz="0" w:space="0" w:color="auto"/>
      </w:divBdr>
    </w:div>
    <w:div w:id="268245878">
      <w:bodyDiv w:val="1"/>
      <w:marLeft w:val="0"/>
      <w:marRight w:val="0"/>
      <w:marTop w:val="0"/>
      <w:marBottom w:val="0"/>
      <w:divBdr>
        <w:top w:val="none" w:sz="0" w:space="0" w:color="auto"/>
        <w:left w:val="none" w:sz="0" w:space="0" w:color="auto"/>
        <w:bottom w:val="none" w:sz="0" w:space="0" w:color="auto"/>
        <w:right w:val="none" w:sz="0" w:space="0" w:color="auto"/>
      </w:divBdr>
    </w:div>
    <w:div w:id="270013831">
      <w:bodyDiv w:val="1"/>
      <w:marLeft w:val="0"/>
      <w:marRight w:val="0"/>
      <w:marTop w:val="0"/>
      <w:marBottom w:val="0"/>
      <w:divBdr>
        <w:top w:val="none" w:sz="0" w:space="0" w:color="auto"/>
        <w:left w:val="none" w:sz="0" w:space="0" w:color="auto"/>
        <w:bottom w:val="none" w:sz="0" w:space="0" w:color="auto"/>
        <w:right w:val="none" w:sz="0" w:space="0" w:color="auto"/>
      </w:divBdr>
    </w:div>
    <w:div w:id="270430002">
      <w:bodyDiv w:val="1"/>
      <w:marLeft w:val="0"/>
      <w:marRight w:val="0"/>
      <w:marTop w:val="0"/>
      <w:marBottom w:val="0"/>
      <w:divBdr>
        <w:top w:val="none" w:sz="0" w:space="0" w:color="auto"/>
        <w:left w:val="none" w:sz="0" w:space="0" w:color="auto"/>
        <w:bottom w:val="none" w:sz="0" w:space="0" w:color="auto"/>
        <w:right w:val="none" w:sz="0" w:space="0" w:color="auto"/>
      </w:divBdr>
    </w:div>
    <w:div w:id="272321037">
      <w:bodyDiv w:val="1"/>
      <w:marLeft w:val="0"/>
      <w:marRight w:val="0"/>
      <w:marTop w:val="0"/>
      <w:marBottom w:val="0"/>
      <w:divBdr>
        <w:top w:val="none" w:sz="0" w:space="0" w:color="auto"/>
        <w:left w:val="none" w:sz="0" w:space="0" w:color="auto"/>
        <w:bottom w:val="none" w:sz="0" w:space="0" w:color="auto"/>
        <w:right w:val="none" w:sz="0" w:space="0" w:color="auto"/>
      </w:divBdr>
    </w:div>
    <w:div w:id="272710945">
      <w:bodyDiv w:val="1"/>
      <w:marLeft w:val="0"/>
      <w:marRight w:val="0"/>
      <w:marTop w:val="0"/>
      <w:marBottom w:val="0"/>
      <w:divBdr>
        <w:top w:val="none" w:sz="0" w:space="0" w:color="auto"/>
        <w:left w:val="none" w:sz="0" w:space="0" w:color="auto"/>
        <w:bottom w:val="none" w:sz="0" w:space="0" w:color="auto"/>
        <w:right w:val="none" w:sz="0" w:space="0" w:color="auto"/>
      </w:divBdr>
    </w:div>
    <w:div w:id="274558199">
      <w:bodyDiv w:val="1"/>
      <w:marLeft w:val="0"/>
      <w:marRight w:val="0"/>
      <w:marTop w:val="0"/>
      <w:marBottom w:val="0"/>
      <w:divBdr>
        <w:top w:val="none" w:sz="0" w:space="0" w:color="auto"/>
        <w:left w:val="none" w:sz="0" w:space="0" w:color="auto"/>
        <w:bottom w:val="none" w:sz="0" w:space="0" w:color="auto"/>
        <w:right w:val="none" w:sz="0" w:space="0" w:color="auto"/>
      </w:divBdr>
    </w:div>
    <w:div w:id="274682289">
      <w:bodyDiv w:val="1"/>
      <w:marLeft w:val="0"/>
      <w:marRight w:val="0"/>
      <w:marTop w:val="0"/>
      <w:marBottom w:val="0"/>
      <w:divBdr>
        <w:top w:val="none" w:sz="0" w:space="0" w:color="auto"/>
        <w:left w:val="none" w:sz="0" w:space="0" w:color="auto"/>
        <w:bottom w:val="none" w:sz="0" w:space="0" w:color="auto"/>
        <w:right w:val="none" w:sz="0" w:space="0" w:color="auto"/>
      </w:divBdr>
    </w:div>
    <w:div w:id="277178469">
      <w:bodyDiv w:val="1"/>
      <w:marLeft w:val="0"/>
      <w:marRight w:val="0"/>
      <w:marTop w:val="0"/>
      <w:marBottom w:val="0"/>
      <w:divBdr>
        <w:top w:val="none" w:sz="0" w:space="0" w:color="auto"/>
        <w:left w:val="none" w:sz="0" w:space="0" w:color="auto"/>
        <w:bottom w:val="none" w:sz="0" w:space="0" w:color="auto"/>
        <w:right w:val="none" w:sz="0" w:space="0" w:color="auto"/>
      </w:divBdr>
    </w:div>
    <w:div w:id="277218563">
      <w:bodyDiv w:val="1"/>
      <w:marLeft w:val="0"/>
      <w:marRight w:val="0"/>
      <w:marTop w:val="0"/>
      <w:marBottom w:val="0"/>
      <w:divBdr>
        <w:top w:val="none" w:sz="0" w:space="0" w:color="auto"/>
        <w:left w:val="none" w:sz="0" w:space="0" w:color="auto"/>
        <w:bottom w:val="none" w:sz="0" w:space="0" w:color="auto"/>
        <w:right w:val="none" w:sz="0" w:space="0" w:color="auto"/>
      </w:divBdr>
    </w:div>
    <w:div w:id="277226485">
      <w:bodyDiv w:val="1"/>
      <w:marLeft w:val="0"/>
      <w:marRight w:val="0"/>
      <w:marTop w:val="0"/>
      <w:marBottom w:val="0"/>
      <w:divBdr>
        <w:top w:val="none" w:sz="0" w:space="0" w:color="auto"/>
        <w:left w:val="none" w:sz="0" w:space="0" w:color="auto"/>
        <w:bottom w:val="none" w:sz="0" w:space="0" w:color="auto"/>
        <w:right w:val="none" w:sz="0" w:space="0" w:color="auto"/>
      </w:divBdr>
    </w:div>
    <w:div w:id="277685841">
      <w:bodyDiv w:val="1"/>
      <w:marLeft w:val="0"/>
      <w:marRight w:val="0"/>
      <w:marTop w:val="0"/>
      <w:marBottom w:val="0"/>
      <w:divBdr>
        <w:top w:val="none" w:sz="0" w:space="0" w:color="auto"/>
        <w:left w:val="none" w:sz="0" w:space="0" w:color="auto"/>
        <w:bottom w:val="none" w:sz="0" w:space="0" w:color="auto"/>
        <w:right w:val="none" w:sz="0" w:space="0" w:color="auto"/>
      </w:divBdr>
    </w:div>
    <w:div w:id="279996451">
      <w:bodyDiv w:val="1"/>
      <w:marLeft w:val="0"/>
      <w:marRight w:val="0"/>
      <w:marTop w:val="0"/>
      <w:marBottom w:val="0"/>
      <w:divBdr>
        <w:top w:val="none" w:sz="0" w:space="0" w:color="auto"/>
        <w:left w:val="none" w:sz="0" w:space="0" w:color="auto"/>
        <w:bottom w:val="none" w:sz="0" w:space="0" w:color="auto"/>
        <w:right w:val="none" w:sz="0" w:space="0" w:color="auto"/>
      </w:divBdr>
    </w:div>
    <w:div w:id="280959903">
      <w:bodyDiv w:val="1"/>
      <w:marLeft w:val="0"/>
      <w:marRight w:val="0"/>
      <w:marTop w:val="0"/>
      <w:marBottom w:val="0"/>
      <w:divBdr>
        <w:top w:val="none" w:sz="0" w:space="0" w:color="auto"/>
        <w:left w:val="none" w:sz="0" w:space="0" w:color="auto"/>
        <w:bottom w:val="none" w:sz="0" w:space="0" w:color="auto"/>
        <w:right w:val="none" w:sz="0" w:space="0" w:color="auto"/>
      </w:divBdr>
    </w:div>
    <w:div w:id="280960525">
      <w:bodyDiv w:val="1"/>
      <w:marLeft w:val="0"/>
      <w:marRight w:val="0"/>
      <w:marTop w:val="0"/>
      <w:marBottom w:val="0"/>
      <w:divBdr>
        <w:top w:val="none" w:sz="0" w:space="0" w:color="auto"/>
        <w:left w:val="none" w:sz="0" w:space="0" w:color="auto"/>
        <w:bottom w:val="none" w:sz="0" w:space="0" w:color="auto"/>
        <w:right w:val="none" w:sz="0" w:space="0" w:color="auto"/>
      </w:divBdr>
    </w:div>
    <w:div w:id="281349498">
      <w:bodyDiv w:val="1"/>
      <w:marLeft w:val="0"/>
      <w:marRight w:val="0"/>
      <w:marTop w:val="0"/>
      <w:marBottom w:val="0"/>
      <w:divBdr>
        <w:top w:val="none" w:sz="0" w:space="0" w:color="auto"/>
        <w:left w:val="none" w:sz="0" w:space="0" w:color="auto"/>
        <w:bottom w:val="none" w:sz="0" w:space="0" w:color="auto"/>
        <w:right w:val="none" w:sz="0" w:space="0" w:color="auto"/>
      </w:divBdr>
    </w:div>
    <w:div w:id="281502946">
      <w:bodyDiv w:val="1"/>
      <w:marLeft w:val="0"/>
      <w:marRight w:val="0"/>
      <w:marTop w:val="0"/>
      <w:marBottom w:val="0"/>
      <w:divBdr>
        <w:top w:val="none" w:sz="0" w:space="0" w:color="auto"/>
        <w:left w:val="none" w:sz="0" w:space="0" w:color="auto"/>
        <w:bottom w:val="none" w:sz="0" w:space="0" w:color="auto"/>
        <w:right w:val="none" w:sz="0" w:space="0" w:color="auto"/>
      </w:divBdr>
    </w:div>
    <w:div w:id="281811251">
      <w:bodyDiv w:val="1"/>
      <w:marLeft w:val="0"/>
      <w:marRight w:val="0"/>
      <w:marTop w:val="0"/>
      <w:marBottom w:val="0"/>
      <w:divBdr>
        <w:top w:val="none" w:sz="0" w:space="0" w:color="auto"/>
        <w:left w:val="none" w:sz="0" w:space="0" w:color="auto"/>
        <w:bottom w:val="none" w:sz="0" w:space="0" w:color="auto"/>
        <w:right w:val="none" w:sz="0" w:space="0" w:color="auto"/>
      </w:divBdr>
    </w:div>
    <w:div w:id="285624201">
      <w:bodyDiv w:val="1"/>
      <w:marLeft w:val="0"/>
      <w:marRight w:val="0"/>
      <w:marTop w:val="0"/>
      <w:marBottom w:val="0"/>
      <w:divBdr>
        <w:top w:val="none" w:sz="0" w:space="0" w:color="auto"/>
        <w:left w:val="none" w:sz="0" w:space="0" w:color="auto"/>
        <w:bottom w:val="none" w:sz="0" w:space="0" w:color="auto"/>
        <w:right w:val="none" w:sz="0" w:space="0" w:color="auto"/>
      </w:divBdr>
    </w:div>
    <w:div w:id="285893707">
      <w:bodyDiv w:val="1"/>
      <w:marLeft w:val="0"/>
      <w:marRight w:val="0"/>
      <w:marTop w:val="0"/>
      <w:marBottom w:val="0"/>
      <w:divBdr>
        <w:top w:val="none" w:sz="0" w:space="0" w:color="auto"/>
        <w:left w:val="none" w:sz="0" w:space="0" w:color="auto"/>
        <w:bottom w:val="none" w:sz="0" w:space="0" w:color="auto"/>
        <w:right w:val="none" w:sz="0" w:space="0" w:color="auto"/>
      </w:divBdr>
    </w:div>
    <w:div w:id="286158197">
      <w:bodyDiv w:val="1"/>
      <w:marLeft w:val="0"/>
      <w:marRight w:val="0"/>
      <w:marTop w:val="0"/>
      <w:marBottom w:val="0"/>
      <w:divBdr>
        <w:top w:val="none" w:sz="0" w:space="0" w:color="auto"/>
        <w:left w:val="none" w:sz="0" w:space="0" w:color="auto"/>
        <w:bottom w:val="none" w:sz="0" w:space="0" w:color="auto"/>
        <w:right w:val="none" w:sz="0" w:space="0" w:color="auto"/>
      </w:divBdr>
    </w:div>
    <w:div w:id="288361422">
      <w:bodyDiv w:val="1"/>
      <w:marLeft w:val="0"/>
      <w:marRight w:val="0"/>
      <w:marTop w:val="0"/>
      <w:marBottom w:val="0"/>
      <w:divBdr>
        <w:top w:val="none" w:sz="0" w:space="0" w:color="auto"/>
        <w:left w:val="none" w:sz="0" w:space="0" w:color="auto"/>
        <w:bottom w:val="none" w:sz="0" w:space="0" w:color="auto"/>
        <w:right w:val="none" w:sz="0" w:space="0" w:color="auto"/>
      </w:divBdr>
    </w:div>
    <w:div w:id="291205693">
      <w:bodyDiv w:val="1"/>
      <w:marLeft w:val="0"/>
      <w:marRight w:val="0"/>
      <w:marTop w:val="0"/>
      <w:marBottom w:val="0"/>
      <w:divBdr>
        <w:top w:val="none" w:sz="0" w:space="0" w:color="auto"/>
        <w:left w:val="none" w:sz="0" w:space="0" w:color="auto"/>
        <w:bottom w:val="none" w:sz="0" w:space="0" w:color="auto"/>
        <w:right w:val="none" w:sz="0" w:space="0" w:color="auto"/>
      </w:divBdr>
    </w:div>
    <w:div w:id="293872374">
      <w:bodyDiv w:val="1"/>
      <w:marLeft w:val="0"/>
      <w:marRight w:val="0"/>
      <w:marTop w:val="0"/>
      <w:marBottom w:val="0"/>
      <w:divBdr>
        <w:top w:val="none" w:sz="0" w:space="0" w:color="auto"/>
        <w:left w:val="none" w:sz="0" w:space="0" w:color="auto"/>
        <w:bottom w:val="none" w:sz="0" w:space="0" w:color="auto"/>
        <w:right w:val="none" w:sz="0" w:space="0" w:color="auto"/>
      </w:divBdr>
    </w:div>
    <w:div w:id="295306775">
      <w:bodyDiv w:val="1"/>
      <w:marLeft w:val="0"/>
      <w:marRight w:val="0"/>
      <w:marTop w:val="0"/>
      <w:marBottom w:val="0"/>
      <w:divBdr>
        <w:top w:val="none" w:sz="0" w:space="0" w:color="auto"/>
        <w:left w:val="none" w:sz="0" w:space="0" w:color="auto"/>
        <w:bottom w:val="none" w:sz="0" w:space="0" w:color="auto"/>
        <w:right w:val="none" w:sz="0" w:space="0" w:color="auto"/>
      </w:divBdr>
    </w:div>
    <w:div w:id="295721122">
      <w:bodyDiv w:val="1"/>
      <w:marLeft w:val="0"/>
      <w:marRight w:val="0"/>
      <w:marTop w:val="0"/>
      <w:marBottom w:val="0"/>
      <w:divBdr>
        <w:top w:val="none" w:sz="0" w:space="0" w:color="auto"/>
        <w:left w:val="none" w:sz="0" w:space="0" w:color="auto"/>
        <w:bottom w:val="none" w:sz="0" w:space="0" w:color="auto"/>
        <w:right w:val="none" w:sz="0" w:space="0" w:color="auto"/>
      </w:divBdr>
    </w:div>
    <w:div w:id="297340920">
      <w:bodyDiv w:val="1"/>
      <w:marLeft w:val="0"/>
      <w:marRight w:val="0"/>
      <w:marTop w:val="0"/>
      <w:marBottom w:val="0"/>
      <w:divBdr>
        <w:top w:val="none" w:sz="0" w:space="0" w:color="auto"/>
        <w:left w:val="none" w:sz="0" w:space="0" w:color="auto"/>
        <w:bottom w:val="none" w:sz="0" w:space="0" w:color="auto"/>
        <w:right w:val="none" w:sz="0" w:space="0" w:color="auto"/>
      </w:divBdr>
    </w:div>
    <w:div w:id="298077022">
      <w:bodyDiv w:val="1"/>
      <w:marLeft w:val="0"/>
      <w:marRight w:val="0"/>
      <w:marTop w:val="0"/>
      <w:marBottom w:val="0"/>
      <w:divBdr>
        <w:top w:val="none" w:sz="0" w:space="0" w:color="auto"/>
        <w:left w:val="none" w:sz="0" w:space="0" w:color="auto"/>
        <w:bottom w:val="none" w:sz="0" w:space="0" w:color="auto"/>
        <w:right w:val="none" w:sz="0" w:space="0" w:color="auto"/>
      </w:divBdr>
    </w:div>
    <w:div w:id="299504052">
      <w:bodyDiv w:val="1"/>
      <w:marLeft w:val="0"/>
      <w:marRight w:val="0"/>
      <w:marTop w:val="0"/>
      <w:marBottom w:val="0"/>
      <w:divBdr>
        <w:top w:val="none" w:sz="0" w:space="0" w:color="auto"/>
        <w:left w:val="none" w:sz="0" w:space="0" w:color="auto"/>
        <w:bottom w:val="none" w:sz="0" w:space="0" w:color="auto"/>
        <w:right w:val="none" w:sz="0" w:space="0" w:color="auto"/>
      </w:divBdr>
    </w:div>
    <w:div w:id="300039731">
      <w:bodyDiv w:val="1"/>
      <w:marLeft w:val="0"/>
      <w:marRight w:val="0"/>
      <w:marTop w:val="0"/>
      <w:marBottom w:val="0"/>
      <w:divBdr>
        <w:top w:val="none" w:sz="0" w:space="0" w:color="auto"/>
        <w:left w:val="none" w:sz="0" w:space="0" w:color="auto"/>
        <w:bottom w:val="none" w:sz="0" w:space="0" w:color="auto"/>
        <w:right w:val="none" w:sz="0" w:space="0" w:color="auto"/>
      </w:divBdr>
    </w:div>
    <w:div w:id="300425495">
      <w:bodyDiv w:val="1"/>
      <w:marLeft w:val="0"/>
      <w:marRight w:val="0"/>
      <w:marTop w:val="0"/>
      <w:marBottom w:val="0"/>
      <w:divBdr>
        <w:top w:val="none" w:sz="0" w:space="0" w:color="auto"/>
        <w:left w:val="none" w:sz="0" w:space="0" w:color="auto"/>
        <w:bottom w:val="none" w:sz="0" w:space="0" w:color="auto"/>
        <w:right w:val="none" w:sz="0" w:space="0" w:color="auto"/>
      </w:divBdr>
    </w:div>
    <w:div w:id="300892076">
      <w:bodyDiv w:val="1"/>
      <w:marLeft w:val="0"/>
      <w:marRight w:val="0"/>
      <w:marTop w:val="0"/>
      <w:marBottom w:val="0"/>
      <w:divBdr>
        <w:top w:val="none" w:sz="0" w:space="0" w:color="auto"/>
        <w:left w:val="none" w:sz="0" w:space="0" w:color="auto"/>
        <w:bottom w:val="none" w:sz="0" w:space="0" w:color="auto"/>
        <w:right w:val="none" w:sz="0" w:space="0" w:color="auto"/>
      </w:divBdr>
    </w:div>
    <w:div w:id="301279802">
      <w:bodyDiv w:val="1"/>
      <w:marLeft w:val="0"/>
      <w:marRight w:val="0"/>
      <w:marTop w:val="0"/>
      <w:marBottom w:val="0"/>
      <w:divBdr>
        <w:top w:val="none" w:sz="0" w:space="0" w:color="auto"/>
        <w:left w:val="none" w:sz="0" w:space="0" w:color="auto"/>
        <w:bottom w:val="none" w:sz="0" w:space="0" w:color="auto"/>
        <w:right w:val="none" w:sz="0" w:space="0" w:color="auto"/>
      </w:divBdr>
    </w:div>
    <w:div w:id="301347855">
      <w:bodyDiv w:val="1"/>
      <w:marLeft w:val="0"/>
      <w:marRight w:val="0"/>
      <w:marTop w:val="0"/>
      <w:marBottom w:val="0"/>
      <w:divBdr>
        <w:top w:val="none" w:sz="0" w:space="0" w:color="auto"/>
        <w:left w:val="none" w:sz="0" w:space="0" w:color="auto"/>
        <w:bottom w:val="none" w:sz="0" w:space="0" w:color="auto"/>
        <w:right w:val="none" w:sz="0" w:space="0" w:color="auto"/>
      </w:divBdr>
    </w:div>
    <w:div w:id="301347997">
      <w:bodyDiv w:val="1"/>
      <w:marLeft w:val="0"/>
      <w:marRight w:val="0"/>
      <w:marTop w:val="0"/>
      <w:marBottom w:val="0"/>
      <w:divBdr>
        <w:top w:val="none" w:sz="0" w:space="0" w:color="auto"/>
        <w:left w:val="none" w:sz="0" w:space="0" w:color="auto"/>
        <w:bottom w:val="none" w:sz="0" w:space="0" w:color="auto"/>
        <w:right w:val="none" w:sz="0" w:space="0" w:color="auto"/>
      </w:divBdr>
    </w:div>
    <w:div w:id="301733848">
      <w:bodyDiv w:val="1"/>
      <w:marLeft w:val="0"/>
      <w:marRight w:val="0"/>
      <w:marTop w:val="0"/>
      <w:marBottom w:val="0"/>
      <w:divBdr>
        <w:top w:val="none" w:sz="0" w:space="0" w:color="auto"/>
        <w:left w:val="none" w:sz="0" w:space="0" w:color="auto"/>
        <w:bottom w:val="none" w:sz="0" w:space="0" w:color="auto"/>
        <w:right w:val="none" w:sz="0" w:space="0" w:color="auto"/>
      </w:divBdr>
    </w:div>
    <w:div w:id="302125639">
      <w:bodyDiv w:val="1"/>
      <w:marLeft w:val="0"/>
      <w:marRight w:val="0"/>
      <w:marTop w:val="0"/>
      <w:marBottom w:val="0"/>
      <w:divBdr>
        <w:top w:val="none" w:sz="0" w:space="0" w:color="auto"/>
        <w:left w:val="none" w:sz="0" w:space="0" w:color="auto"/>
        <w:bottom w:val="none" w:sz="0" w:space="0" w:color="auto"/>
        <w:right w:val="none" w:sz="0" w:space="0" w:color="auto"/>
      </w:divBdr>
    </w:div>
    <w:div w:id="304358191">
      <w:bodyDiv w:val="1"/>
      <w:marLeft w:val="0"/>
      <w:marRight w:val="0"/>
      <w:marTop w:val="0"/>
      <w:marBottom w:val="0"/>
      <w:divBdr>
        <w:top w:val="none" w:sz="0" w:space="0" w:color="auto"/>
        <w:left w:val="none" w:sz="0" w:space="0" w:color="auto"/>
        <w:bottom w:val="none" w:sz="0" w:space="0" w:color="auto"/>
        <w:right w:val="none" w:sz="0" w:space="0" w:color="auto"/>
      </w:divBdr>
    </w:div>
    <w:div w:id="304359380">
      <w:bodyDiv w:val="1"/>
      <w:marLeft w:val="0"/>
      <w:marRight w:val="0"/>
      <w:marTop w:val="0"/>
      <w:marBottom w:val="0"/>
      <w:divBdr>
        <w:top w:val="none" w:sz="0" w:space="0" w:color="auto"/>
        <w:left w:val="none" w:sz="0" w:space="0" w:color="auto"/>
        <w:bottom w:val="none" w:sz="0" w:space="0" w:color="auto"/>
        <w:right w:val="none" w:sz="0" w:space="0" w:color="auto"/>
      </w:divBdr>
    </w:div>
    <w:div w:id="306059958">
      <w:bodyDiv w:val="1"/>
      <w:marLeft w:val="0"/>
      <w:marRight w:val="0"/>
      <w:marTop w:val="0"/>
      <w:marBottom w:val="0"/>
      <w:divBdr>
        <w:top w:val="none" w:sz="0" w:space="0" w:color="auto"/>
        <w:left w:val="none" w:sz="0" w:space="0" w:color="auto"/>
        <w:bottom w:val="none" w:sz="0" w:space="0" w:color="auto"/>
        <w:right w:val="none" w:sz="0" w:space="0" w:color="auto"/>
      </w:divBdr>
    </w:div>
    <w:div w:id="307327165">
      <w:bodyDiv w:val="1"/>
      <w:marLeft w:val="0"/>
      <w:marRight w:val="0"/>
      <w:marTop w:val="0"/>
      <w:marBottom w:val="0"/>
      <w:divBdr>
        <w:top w:val="none" w:sz="0" w:space="0" w:color="auto"/>
        <w:left w:val="none" w:sz="0" w:space="0" w:color="auto"/>
        <w:bottom w:val="none" w:sz="0" w:space="0" w:color="auto"/>
        <w:right w:val="none" w:sz="0" w:space="0" w:color="auto"/>
      </w:divBdr>
    </w:div>
    <w:div w:id="309332089">
      <w:bodyDiv w:val="1"/>
      <w:marLeft w:val="0"/>
      <w:marRight w:val="0"/>
      <w:marTop w:val="0"/>
      <w:marBottom w:val="0"/>
      <w:divBdr>
        <w:top w:val="none" w:sz="0" w:space="0" w:color="auto"/>
        <w:left w:val="none" w:sz="0" w:space="0" w:color="auto"/>
        <w:bottom w:val="none" w:sz="0" w:space="0" w:color="auto"/>
        <w:right w:val="none" w:sz="0" w:space="0" w:color="auto"/>
      </w:divBdr>
    </w:div>
    <w:div w:id="313532465">
      <w:bodyDiv w:val="1"/>
      <w:marLeft w:val="0"/>
      <w:marRight w:val="0"/>
      <w:marTop w:val="0"/>
      <w:marBottom w:val="0"/>
      <w:divBdr>
        <w:top w:val="none" w:sz="0" w:space="0" w:color="auto"/>
        <w:left w:val="none" w:sz="0" w:space="0" w:color="auto"/>
        <w:bottom w:val="none" w:sz="0" w:space="0" w:color="auto"/>
        <w:right w:val="none" w:sz="0" w:space="0" w:color="auto"/>
      </w:divBdr>
    </w:div>
    <w:div w:id="313686663">
      <w:bodyDiv w:val="1"/>
      <w:marLeft w:val="0"/>
      <w:marRight w:val="0"/>
      <w:marTop w:val="0"/>
      <w:marBottom w:val="0"/>
      <w:divBdr>
        <w:top w:val="none" w:sz="0" w:space="0" w:color="auto"/>
        <w:left w:val="none" w:sz="0" w:space="0" w:color="auto"/>
        <w:bottom w:val="none" w:sz="0" w:space="0" w:color="auto"/>
        <w:right w:val="none" w:sz="0" w:space="0" w:color="auto"/>
      </w:divBdr>
    </w:div>
    <w:div w:id="315377447">
      <w:bodyDiv w:val="1"/>
      <w:marLeft w:val="0"/>
      <w:marRight w:val="0"/>
      <w:marTop w:val="0"/>
      <w:marBottom w:val="0"/>
      <w:divBdr>
        <w:top w:val="none" w:sz="0" w:space="0" w:color="auto"/>
        <w:left w:val="none" w:sz="0" w:space="0" w:color="auto"/>
        <w:bottom w:val="none" w:sz="0" w:space="0" w:color="auto"/>
        <w:right w:val="none" w:sz="0" w:space="0" w:color="auto"/>
      </w:divBdr>
    </w:div>
    <w:div w:id="316958409">
      <w:bodyDiv w:val="1"/>
      <w:marLeft w:val="0"/>
      <w:marRight w:val="0"/>
      <w:marTop w:val="0"/>
      <w:marBottom w:val="0"/>
      <w:divBdr>
        <w:top w:val="none" w:sz="0" w:space="0" w:color="auto"/>
        <w:left w:val="none" w:sz="0" w:space="0" w:color="auto"/>
        <w:bottom w:val="none" w:sz="0" w:space="0" w:color="auto"/>
        <w:right w:val="none" w:sz="0" w:space="0" w:color="auto"/>
      </w:divBdr>
    </w:div>
    <w:div w:id="317079835">
      <w:bodyDiv w:val="1"/>
      <w:marLeft w:val="0"/>
      <w:marRight w:val="0"/>
      <w:marTop w:val="0"/>
      <w:marBottom w:val="0"/>
      <w:divBdr>
        <w:top w:val="none" w:sz="0" w:space="0" w:color="auto"/>
        <w:left w:val="none" w:sz="0" w:space="0" w:color="auto"/>
        <w:bottom w:val="none" w:sz="0" w:space="0" w:color="auto"/>
        <w:right w:val="none" w:sz="0" w:space="0" w:color="auto"/>
      </w:divBdr>
    </w:div>
    <w:div w:id="317467218">
      <w:bodyDiv w:val="1"/>
      <w:marLeft w:val="0"/>
      <w:marRight w:val="0"/>
      <w:marTop w:val="0"/>
      <w:marBottom w:val="0"/>
      <w:divBdr>
        <w:top w:val="none" w:sz="0" w:space="0" w:color="auto"/>
        <w:left w:val="none" w:sz="0" w:space="0" w:color="auto"/>
        <w:bottom w:val="none" w:sz="0" w:space="0" w:color="auto"/>
        <w:right w:val="none" w:sz="0" w:space="0" w:color="auto"/>
      </w:divBdr>
    </w:div>
    <w:div w:id="317610946">
      <w:bodyDiv w:val="1"/>
      <w:marLeft w:val="0"/>
      <w:marRight w:val="0"/>
      <w:marTop w:val="0"/>
      <w:marBottom w:val="0"/>
      <w:divBdr>
        <w:top w:val="none" w:sz="0" w:space="0" w:color="auto"/>
        <w:left w:val="none" w:sz="0" w:space="0" w:color="auto"/>
        <w:bottom w:val="none" w:sz="0" w:space="0" w:color="auto"/>
        <w:right w:val="none" w:sz="0" w:space="0" w:color="auto"/>
      </w:divBdr>
    </w:div>
    <w:div w:id="319500317">
      <w:bodyDiv w:val="1"/>
      <w:marLeft w:val="0"/>
      <w:marRight w:val="0"/>
      <w:marTop w:val="0"/>
      <w:marBottom w:val="0"/>
      <w:divBdr>
        <w:top w:val="none" w:sz="0" w:space="0" w:color="auto"/>
        <w:left w:val="none" w:sz="0" w:space="0" w:color="auto"/>
        <w:bottom w:val="none" w:sz="0" w:space="0" w:color="auto"/>
        <w:right w:val="none" w:sz="0" w:space="0" w:color="auto"/>
      </w:divBdr>
    </w:div>
    <w:div w:id="321279143">
      <w:bodyDiv w:val="1"/>
      <w:marLeft w:val="0"/>
      <w:marRight w:val="0"/>
      <w:marTop w:val="0"/>
      <w:marBottom w:val="0"/>
      <w:divBdr>
        <w:top w:val="none" w:sz="0" w:space="0" w:color="auto"/>
        <w:left w:val="none" w:sz="0" w:space="0" w:color="auto"/>
        <w:bottom w:val="none" w:sz="0" w:space="0" w:color="auto"/>
        <w:right w:val="none" w:sz="0" w:space="0" w:color="auto"/>
      </w:divBdr>
    </w:div>
    <w:div w:id="321736842">
      <w:bodyDiv w:val="1"/>
      <w:marLeft w:val="0"/>
      <w:marRight w:val="0"/>
      <w:marTop w:val="0"/>
      <w:marBottom w:val="0"/>
      <w:divBdr>
        <w:top w:val="none" w:sz="0" w:space="0" w:color="auto"/>
        <w:left w:val="none" w:sz="0" w:space="0" w:color="auto"/>
        <w:bottom w:val="none" w:sz="0" w:space="0" w:color="auto"/>
        <w:right w:val="none" w:sz="0" w:space="0" w:color="auto"/>
      </w:divBdr>
    </w:div>
    <w:div w:id="321979835">
      <w:bodyDiv w:val="1"/>
      <w:marLeft w:val="0"/>
      <w:marRight w:val="0"/>
      <w:marTop w:val="0"/>
      <w:marBottom w:val="0"/>
      <w:divBdr>
        <w:top w:val="none" w:sz="0" w:space="0" w:color="auto"/>
        <w:left w:val="none" w:sz="0" w:space="0" w:color="auto"/>
        <w:bottom w:val="none" w:sz="0" w:space="0" w:color="auto"/>
        <w:right w:val="none" w:sz="0" w:space="0" w:color="auto"/>
      </w:divBdr>
    </w:div>
    <w:div w:id="322010105">
      <w:bodyDiv w:val="1"/>
      <w:marLeft w:val="0"/>
      <w:marRight w:val="0"/>
      <w:marTop w:val="0"/>
      <w:marBottom w:val="0"/>
      <w:divBdr>
        <w:top w:val="none" w:sz="0" w:space="0" w:color="auto"/>
        <w:left w:val="none" w:sz="0" w:space="0" w:color="auto"/>
        <w:bottom w:val="none" w:sz="0" w:space="0" w:color="auto"/>
        <w:right w:val="none" w:sz="0" w:space="0" w:color="auto"/>
      </w:divBdr>
    </w:div>
    <w:div w:id="325401744">
      <w:bodyDiv w:val="1"/>
      <w:marLeft w:val="0"/>
      <w:marRight w:val="0"/>
      <w:marTop w:val="0"/>
      <w:marBottom w:val="0"/>
      <w:divBdr>
        <w:top w:val="none" w:sz="0" w:space="0" w:color="auto"/>
        <w:left w:val="none" w:sz="0" w:space="0" w:color="auto"/>
        <w:bottom w:val="none" w:sz="0" w:space="0" w:color="auto"/>
        <w:right w:val="none" w:sz="0" w:space="0" w:color="auto"/>
      </w:divBdr>
    </w:div>
    <w:div w:id="326713352">
      <w:bodyDiv w:val="1"/>
      <w:marLeft w:val="0"/>
      <w:marRight w:val="0"/>
      <w:marTop w:val="0"/>
      <w:marBottom w:val="0"/>
      <w:divBdr>
        <w:top w:val="none" w:sz="0" w:space="0" w:color="auto"/>
        <w:left w:val="none" w:sz="0" w:space="0" w:color="auto"/>
        <w:bottom w:val="none" w:sz="0" w:space="0" w:color="auto"/>
        <w:right w:val="none" w:sz="0" w:space="0" w:color="auto"/>
      </w:divBdr>
    </w:div>
    <w:div w:id="326904714">
      <w:bodyDiv w:val="1"/>
      <w:marLeft w:val="0"/>
      <w:marRight w:val="0"/>
      <w:marTop w:val="0"/>
      <w:marBottom w:val="0"/>
      <w:divBdr>
        <w:top w:val="none" w:sz="0" w:space="0" w:color="auto"/>
        <w:left w:val="none" w:sz="0" w:space="0" w:color="auto"/>
        <w:bottom w:val="none" w:sz="0" w:space="0" w:color="auto"/>
        <w:right w:val="none" w:sz="0" w:space="0" w:color="auto"/>
      </w:divBdr>
    </w:div>
    <w:div w:id="328218924">
      <w:bodyDiv w:val="1"/>
      <w:marLeft w:val="0"/>
      <w:marRight w:val="0"/>
      <w:marTop w:val="0"/>
      <w:marBottom w:val="0"/>
      <w:divBdr>
        <w:top w:val="none" w:sz="0" w:space="0" w:color="auto"/>
        <w:left w:val="none" w:sz="0" w:space="0" w:color="auto"/>
        <w:bottom w:val="none" w:sz="0" w:space="0" w:color="auto"/>
        <w:right w:val="none" w:sz="0" w:space="0" w:color="auto"/>
      </w:divBdr>
    </w:div>
    <w:div w:id="329215907">
      <w:bodyDiv w:val="1"/>
      <w:marLeft w:val="0"/>
      <w:marRight w:val="0"/>
      <w:marTop w:val="0"/>
      <w:marBottom w:val="0"/>
      <w:divBdr>
        <w:top w:val="none" w:sz="0" w:space="0" w:color="auto"/>
        <w:left w:val="none" w:sz="0" w:space="0" w:color="auto"/>
        <w:bottom w:val="none" w:sz="0" w:space="0" w:color="auto"/>
        <w:right w:val="none" w:sz="0" w:space="0" w:color="auto"/>
      </w:divBdr>
    </w:div>
    <w:div w:id="333801047">
      <w:bodyDiv w:val="1"/>
      <w:marLeft w:val="0"/>
      <w:marRight w:val="0"/>
      <w:marTop w:val="0"/>
      <w:marBottom w:val="0"/>
      <w:divBdr>
        <w:top w:val="none" w:sz="0" w:space="0" w:color="auto"/>
        <w:left w:val="none" w:sz="0" w:space="0" w:color="auto"/>
        <w:bottom w:val="none" w:sz="0" w:space="0" w:color="auto"/>
        <w:right w:val="none" w:sz="0" w:space="0" w:color="auto"/>
      </w:divBdr>
    </w:div>
    <w:div w:id="336351239">
      <w:bodyDiv w:val="1"/>
      <w:marLeft w:val="0"/>
      <w:marRight w:val="0"/>
      <w:marTop w:val="0"/>
      <w:marBottom w:val="0"/>
      <w:divBdr>
        <w:top w:val="none" w:sz="0" w:space="0" w:color="auto"/>
        <w:left w:val="none" w:sz="0" w:space="0" w:color="auto"/>
        <w:bottom w:val="none" w:sz="0" w:space="0" w:color="auto"/>
        <w:right w:val="none" w:sz="0" w:space="0" w:color="auto"/>
      </w:divBdr>
    </w:div>
    <w:div w:id="336619321">
      <w:bodyDiv w:val="1"/>
      <w:marLeft w:val="0"/>
      <w:marRight w:val="0"/>
      <w:marTop w:val="0"/>
      <w:marBottom w:val="0"/>
      <w:divBdr>
        <w:top w:val="none" w:sz="0" w:space="0" w:color="auto"/>
        <w:left w:val="none" w:sz="0" w:space="0" w:color="auto"/>
        <w:bottom w:val="none" w:sz="0" w:space="0" w:color="auto"/>
        <w:right w:val="none" w:sz="0" w:space="0" w:color="auto"/>
      </w:divBdr>
    </w:div>
    <w:div w:id="337120560">
      <w:bodyDiv w:val="1"/>
      <w:marLeft w:val="0"/>
      <w:marRight w:val="0"/>
      <w:marTop w:val="0"/>
      <w:marBottom w:val="0"/>
      <w:divBdr>
        <w:top w:val="none" w:sz="0" w:space="0" w:color="auto"/>
        <w:left w:val="none" w:sz="0" w:space="0" w:color="auto"/>
        <w:bottom w:val="none" w:sz="0" w:space="0" w:color="auto"/>
        <w:right w:val="none" w:sz="0" w:space="0" w:color="auto"/>
      </w:divBdr>
    </w:div>
    <w:div w:id="339814945">
      <w:bodyDiv w:val="1"/>
      <w:marLeft w:val="0"/>
      <w:marRight w:val="0"/>
      <w:marTop w:val="0"/>
      <w:marBottom w:val="0"/>
      <w:divBdr>
        <w:top w:val="none" w:sz="0" w:space="0" w:color="auto"/>
        <w:left w:val="none" w:sz="0" w:space="0" w:color="auto"/>
        <w:bottom w:val="none" w:sz="0" w:space="0" w:color="auto"/>
        <w:right w:val="none" w:sz="0" w:space="0" w:color="auto"/>
      </w:divBdr>
    </w:div>
    <w:div w:id="340010575">
      <w:bodyDiv w:val="1"/>
      <w:marLeft w:val="0"/>
      <w:marRight w:val="0"/>
      <w:marTop w:val="0"/>
      <w:marBottom w:val="0"/>
      <w:divBdr>
        <w:top w:val="none" w:sz="0" w:space="0" w:color="auto"/>
        <w:left w:val="none" w:sz="0" w:space="0" w:color="auto"/>
        <w:bottom w:val="none" w:sz="0" w:space="0" w:color="auto"/>
        <w:right w:val="none" w:sz="0" w:space="0" w:color="auto"/>
      </w:divBdr>
    </w:div>
    <w:div w:id="340087991">
      <w:bodyDiv w:val="1"/>
      <w:marLeft w:val="0"/>
      <w:marRight w:val="0"/>
      <w:marTop w:val="0"/>
      <w:marBottom w:val="0"/>
      <w:divBdr>
        <w:top w:val="none" w:sz="0" w:space="0" w:color="auto"/>
        <w:left w:val="none" w:sz="0" w:space="0" w:color="auto"/>
        <w:bottom w:val="none" w:sz="0" w:space="0" w:color="auto"/>
        <w:right w:val="none" w:sz="0" w:space="0" w:color="auto"/>
      </w:divBdr>
    </w:div>
    <w:div w:id="340815858">
      <w:bodyDiv w:val="1"/>
      <w:marLeft w:val="0"/>
      <w:marRight w:val="0"/>
      <w:marTop w:val="0"/>
      <w:marBottom w:val="0"/>
      <w:divBdr>
        <w:top w:val="none" w:sz="0" w:space="0" w:color="auto"/>
        <w:left w:val="none" w:sz="0" w:space="0" w:color="auto"/>
        <w:bottom w:val="none" w:sz="0" w:space="0" w:color="auto"/>
        <w:right w:val="none" w:sz="0" w:space="0" w:color="auto"/>
      </w:divBdr>
    </w:div>
    <w:div w:id="340863822">
      <w:bodyDiv w:val="1"/>
      <w:marLeft w:val="0"/>
      <w:marRight w:val="0"/>
      <w:marTop w:val="0"/>
      <w:marBottom w:val="0"/>
      <w:divBdr>
        <w:top w:val="none" w:sz="0" w:space="0" w:color="auto"/>
        <w:left w:val="none" w:sz="0" w:space="0" w:color="auto"/>
        <w:bottom w:val="none" w:sz="0" w:space="0" w:color="auto"/>
        <w:right w:val="none" w:sz="0" w:space="0" w:color="auto"/>
      </w:divBdr>
    </w:div>
    <w:div w:id="343437401">
      <w:bodyDiv w:val="1"/>
      <w:marLeft w:val="0"/>
      <w:marRight w:val="0"/>
      <w:marTop w:val="0"/>
      <w:marBottom w:val="0"/>
      <w:divBdr>
        <w:top w:val="none" w:sz="0" w:space="0" w:color="auto"/>
        <w:left w:val="none" w:sz="0" w:space="0" w:color="auto"/>
        <w:bottom w:val="none" w:sz="0" w:space="0" w:color="auto"/>
        <w:right w:val="none" w:sz="0" w:space="0" w:color="auto"/>
      </w:divBdr>
    </w:div>
    <w:div w:id="345402013">
      <w:bodyDiv w:val="1"/>
      <w:marLeft w:val="0"/>
      <w:marRight w:val="0"/>
      <w:marTop w:val="0"/>
      <w:marBottom w:val="0"/>
      <w:divBdr>
        <w:top w:val="none" w:sz="0" w:space="0" w:color="auto"/>
        <w:left w:val="none" w:sz="0" w:space="0" w:color="auto"/>
        <w:bottom w:val="none" w:sz="0" w:space="0" w:color="auto"/>
        <w:right w:val="none" w:sz="0" w:space="0" w:color="auto"/>
      </w:divBdr>
    </w:div>
    <w:div w:id="347173254">
      <w:bodyDiv w:val="1"/>
      <w:marLeft w:val="0"/>
      <w:marRight w:val="0"/>
      <w:marTop w:val="0"/>
      <w:marBottom w:val="0"/>
      <w:divBdr>
        <w:top w:val="none" w:sz="0" w:space="0" w:color="auto"/>
        <w:left w:val="none" w:sz="0" w:space="0" w:color="auto"/>
        <w:bottom w:val="none" w:sz="0" w:space="0" w:color="auto"/>
        <w:right w:val="none" w:sz="0" w:space="0" w:color="auto"/>
      </w:divBdr>
    </w:div>
    <w:div w:id="347603720">
      <w:bodyDiv w:val="1"/>
      <w:marLeft w:val="0"/>
      <w:marRight w:val="0"/>
      <w:marTop w:val="0"/>
      <w:marBottom w:val="0"/>
      <w:divBdr>
        <w:top w:val="none" w:sz="0" w:space="0" w:color="auto"/>
        <w:left w:val="none" w:sz="0" w:space="0" w:color="auto"/>
        <w:bottom w:val="none" w:sz="0" w:space="0" w:color="auto"/>
        <w:right w:val="none" w:sz="0" w:space="0" w:color="auto"/>
      </w:divBdr>
    </w:div>
    <w:div w:id="348878315">
      <w:bodyDiv w:val="1"/>
      <w:marLeft w:val="0"/>
      <w:marRight w:val="0"/>
      <w:marTop w:val="0"/>
      <w:marBottom w:val="0"/>
      <w:divBdr>
        <w:top w:val="none" w:sz="0" w:space="0" w:color="auto"/>
        <w:left w:val="none" w:sz="0" w:space="0" w:color="auto"/>
        <w:bottom w:val="none" w:sz="0" w:space="0" w:color="auto"/>
        <w:right w:val="none" w:sz="0" w:space="0" w:color="auto"/>
      </w:divBdr>
    </w:div>
    <w:div w:id="351960558">
      <w:bodyDiv w:val="1"/>
      <w:marLeft w:val="0"/>
      <w:marRight w:val="0"/>
      <w:marTop w:val="0"/>
      <w:marBottom w:val="0"/>
      <w:divBdr>
        <w:top w:val="none" w:sz="0" w:space="0" w:color="auto"/>
        <w:left w:val="none" w:sz="0" w:space="0" w:color="auto"/>
        <w:bottom w:val="none" w:sz="0" w:space="0" w:color="auto"/>
        <w:right w:val="none" w:sz="0" w:space="0" w:color="auto"/>
      </w:divBdr>
    </w:div>
    <w:div w:id="352195295">
      <w:bodyDiv w:val="1"/>
      <w:marLeft w:val="0"/>
      <w:marRight w:val="0"/>
      <w:marTop w:val="0"/>
      <w:marBottom w:val="0"/>
      <w:divBdr>
        <w:top w:val="none" w:sz="0" w:space="0" w:color="auto"/>
        <w:left w:val="none" w:sz="0" w:space="0" w:color="auto"/>
        <w:bottom w:val="none" w:sz="0" w:space="0" w:color="auto"/>
        <w:right w:val="none" w:sz="0" w:space="0" w:color="auto"/>
      </w:divBdr>
    </w:div>
    <w:div w:id="352921727">
      <w:bodyDiv w:val="1"/>
      <w:marLeft w:val="0"/>
      <w:marRight w:val="0"/>
      <w:marTop w:val="0"/>
      <w:marBottom w:val="0"/>
      <w:divBdr>
        <w:top w:val="none" w:sz="0" w:space="0" w:color="auto"/>
        <w:left w:val="none" w:sz="0" w:space="0" w:color="auto"/>
        <w:bottom w:val="none" w:sz="0" w:space="0" w:color="auto"/>
        <w:right w:val="none" w:sz="0" w:space="0" w:color="auto"/>
      </w:divBdr>
    </w:div>
    <w:div w:id="352996595">
      <w:bodyDiv w:val="1"/>
      <w:marLeft w:val="0"/>
      <w:marRight w:val="0"/>
      <w:marTop w:val="0"/>
      <w:marBottom w:val="0"/>
      <w:divBdr>
        <w:top w:val="none" w:sz="0" w:space="0" w:color="auto"/>
        <w:left w:val="none" w:sz="0" w:space="0" w:color="auto"/>
        <w:bottom w:val="none" w:sz="0" w:space="0" w:color="auto"/>
        <w:right w:val="none" w:sz="0" w:space="0" w:color="auto"/>
      </w:divBdr>
    </w:div>
    <w:div w:id="354427450">
      <w:bodyDiv w:val="1"/>
      <w:marLeft w:val="0"/>
      <w:marRight w:val="0"/>
      <w:marTop w:val="0"/>
      <w:marBottom w:val="0"/>
      <w:divBdr>
        <w:top w:val="none" w:sz="0" w:space="0" w:color="auto"/>
        <w:left w:val="none" w:sz="0" w:space="0" w:color="auto"/>
        <w:bottom w:val="none" w:sz="0" w:space="0" w:color="auto"/>
        <w:right w:val="none" w:sz="0" w:space="0" w:color="auto"/>
      </w:divBdr>
    </w:div>
    <w:div w:id="354581169">
      <w:bodyDiv w:val="1"/>
      <w:marLeft w:val="0"/>
      <w:marRight w:val="0"/>
      <w:marTop w:val="0"/>
      <w:marBottom w:val="0"/>
      <w:divBdr>
        <w:top w:val="none" w:sz="0" w:space="0" w:color="auto"/>
        <w:left w:val="none" w:sz="0" w:space="0" w:color="auto"/>
        <w:bottom w:val="none" w:sz="0" w:space="0" w:color="auto"/>
        <w:right w:val="none" w:sz="0" w:space="0" w:color="auto"/>
      </w:divBdr>
    </w:div>
    <w:div w:id="354886840">
      <w:bodyDiv w:val="1"/>
      <w:marLeft w:val="0"/>
      <w:marRight w:val="0"/>
      <w:marTop w:val="0"/>
      <w:marBottom w:val="0"/>
      <w:divBdr>
        <w:top w:val="none" w:sz="0" w:space="0" w:color="auto"/>
        <w:left w:val="none" w:sz="0" w:space="0" w:color="auto"/>
        <w:bottom w:val="none" w:sz="0" w:space="0" w:color="auto"/>
        <w:right w:val="none" w:sz="0" w:space="0" w:color="auto"/>
      </w:divBdr>
    </w:div>
    <w:div w:id="354967917">
      <w:bodyDiv w:val="1"/>
      <w:marLeft w:val="0"/>
      <w:marRight w:val="0"/>
      <w:marTop w:val="0"/>
      <w:marBottom w:val="0"/>
      <w:divBdr>
        <w:top w:val="none" w:sz="0" w:space="0" w:color="auto"/>
        <w:left w:val="none" w:sz="0" w:space="0" w:color="auto"/>
        <w:bottom w:val="none" w:sz="0" w:space="0" w:color="auto"/>
        <w:right w:val="none" w:sz="0" w:space="0" w:color="auto"/>
      </w:divBdr>
    </w:div>
    <w:div w:id="355232094">
      <w:bodyDiv w:val="1"/>
      <w:marLeft w:val="0"/>
      <w:marRight w:val="0"/>
      <w:marTop w:val="0"/>
      <w:marBottom w:val="0"/>
      <w:divBdr>
        <w:top w:val="none" w:sz="0" w:space="0" w:color="auto"/>
        <w:left w:val="none" w:sz="0" w:space="0" w:color="auto"/>
        <w:bottom w:val="none" w:sz="0" w:space="0" w:color="auto"/>
        <w:right w:val="none" w:sz="0" w:space="0" w:color="auto"/>
      </w:divBdr>
    </w:div>
    <w:div w:id="355233254">
      <w:bodyDiv w:val="1"/>
      <w:marLeft w:val="0"/>
      <w:marRight w:val="0"/>
      <w:marTop w:val="0"/>
      <w:marBottom w:val="0"/>
      <w:divBdr>
        <w:top w:val="none" w:sz="0" w:space="0" w:color="auto"/>
        <w:left w:val="none" w:sz="0" w:space="0" w:color="auto"/>
        <w:bottom w:val="none" w:sz="0" w:space="0" w:color="auto"/>
        <w:right w:val="none" w:sz="0" w:space="0" w:color="auto"/>
      </w:divBdr>
    </w:div>
    <w:div w:id="355623440">
      <w:bodyDiv w:val="1"/>
      <w:marLeft w:val="0"/>
      <w:marRight w:val="0"/>
      <w:marTop w:val="0"/>
      <w:marBottom w:val="0"/>
      <w:divBdr>
        <w:top w:val="none" w:sz="0" w:space="0" w:color="auto"/>
        <w:left w:val="none" w:sz="0" w:space="0" w:color="auto"/>
        <w:bottom w:val="none" w:sz="0" w:space="0" w:color="auto"/>
        <w:right w:val="none" w:sz="0" w:space="0" w:color="auto"/>
      </w:divBdr>
    </w:div>
    <w:div w:id="358048691">
      <w:bodyDiv w:val="1"/>
      <w:marLeft w:val="0"/>
      <w:marRight w:val="0"/>
      <w:marTop w:val="0"/>
      <w:marBottom w:val="0"/>
      <w:divBdr>
        <w:top w:val="none" w:sz="0" w:space="0" w:color="auto"/>
        <w:left w:val="none" w:sz="0" w:space="0" w:color="auto"/>
        <w:bottom w:val="none" w:sz="0" w:space="0" w:color="auto"/>
        <w:right w:val="none" w:sz="0" w:space="0" w:color="auto"/>
      </w:divBdr>
    </w:div>
    <w:div w:id="360863112">
      <w:bodyDiv w:val="1"/>
      <w:marLeft w:val="0"/>
      <w:marRight w:val="0"/>
      <w:marTop w:val="0"/>
      <w:marBottom w:val="0"/>
      <w:divBdr>
        <w:top w:val="none" w:sz="0" w:space="0" w:color="auto"/>
        <w:left w:val="none" w:sz="0" w:space="0" w:color="auto"/>
        <w:bottom w:val="none" w:sz="0" w:space="0" w:color="auto"/>
        <w:right w:val="none" w:sz="0" w:space="0" w:color="auto"/>
      </w:divBdr>
    </w:div>
    <w:div w:id="362246565">
      <w:bodyDiv w:val="1"/>
      <w:marLeft w:val="0"/>
      <w:marRight w:val="0"/>
      <w:marTop w:val="0"/>
      <w:marBottom w:val="0"/>
      <w:divBdr>
        <w:top w:val="none" w:sz="0" w:space="0" w:color="auto"/>
        <w:left w:val="none" w:sz="0" w:space="0" w:color="auto"/>
        <w:bottom w:val="none" w:sz="0" w:space="0" w:color="auto"/>
        <w:right w:val="none" w:sz="0" w:space="0" w:color="auto"/>
      </w:divBdr>
    </w:div>
    <w:div w:id="363291242">
      <w:bodyDiv w:val="1"/>
      <w:marLeft w:val="0"/>
      <w:marRight w:val="0"/>
      <w:marTop w:val="0"/>
      <w:marBottom w:val="0"/>
      <w:divBdr>
        <w:top w:val="none" w:sz="0" w:space="0" w:color="auto"/>
        <w:left w:val="none" w:sz="0" w:space="0" w:color="auto"/>
        <w:bottom w:val="none" w:sz="0" w:space="0" w:color="auto"/>
        <w:right w:val="none" w:sz="0" w:space="0" w:color="auto"/>
      </w:divBdr>
    </w:div>
    <w:div w:id="366372431">
      <w:bodyDiv w:val="1"/>
      <w:marLeft w:val="0"/>
      <w:marRight w:val="0"/>
      <w:marTop w:val="0"/>
      <w:marBottom w:val="0"/>
      <w:divBdr>
        <w:top w:val="none" w:sz="0" w:space="0" w:color="auto"/>
        <w:left w:val="none" w:sz="0" w:space="0" w:color="auto"/>
        <w:bottom w:val="none" w:sz="0" w:space="0" w:color="auto"/>
        <w:right w:val="none" w:sz="0" w:space="0" w:color="auto"/>
      </w:divBdr>
    </w:div>
    <w:div w:id="367799592">
      <w:bodyDiv w:val="1"/>
      <w:marLeft w:val="0"/>
      <w:marRight w:val="0"/>
      <w:marTop w:val="0"/>
      <w:marBottom w:val="0"/>
      <w:divBdr>
        <w:top w:val="none" w:sz="0" w:space="0" w:color="auto"/>
        <w:left w:val="none" w:sz="0" w:space="0" w:color="auto"/>
        <w:bottom w:val="none" w:sz="0" w:space="0" w:color="auto"/>
        <w:right w:val="none" w:sz="0" w:space="0" w:color="auto"/>
      </w:divBdr>
    </w:div>
    <w:div w:id="368262805">
      <w:bodyDiv w:val="1"/>
      <w:marLeft w:val="0"/>
      <w:marRight w:val="0"/>
      <w:marTop w:val="0"/>
      <w:marBottom w:val="0"/>
      <w:divBdr>
        <w:top w:val="none" w:sz="0" w:space="0" w:color="auto"/>
        <w:left w:val="none" w:sz="0" w:space="0" w:color="auto"/>
        <w:bottom w:val="none" w:sz="0" w:space="0" w:color="auto"/>
        <w:right w:val="none" w:sz="0" w:space="0" w:color="auto"/>
      </w:divBdr>
    </w:div>
    <w:div w:id="368383590">
      <w:bodyDiv w:val="1"/>
      <w:marLeft w:val="0"/>
      <w:marRight w:val="0"/>
      <w:marTop w:val="0"/>
      <w:marBottom w:val="0"/>
      <w:divBdr>
        <w:top w:val="none" w:sz="0" w:space="0" w:color="auto"/>
        <w:left w:val="none" w:sz="0" w:space="0" w:color="auto"/>
        <w:bottom w:val="none" w:sz="0" w:space="0" w:color="auto"/>
        <w:right w:val="none" w:sz="0" w:space="0" w:color="auto"/>
      </w:divBdr>
    </w:div>
    <w:div w:id="368725431">
      <w:bodyDiv w:val="1"/>
      <w:marLeft w:val="0"/>
      <w:marRight w:val="0"/>
      <w:marTop w:val="0"/>
      <w:marBottom w:val="0"/>
      <w:divBdr>
        <w:top w:val="none" w:sz="0" w:space="0" w:color="auto"/>
        <w:left w:val="none" w:sz="0" w:space="0" w:color="auto"/>
        <w:bottom w:val="none" w:sz="0" w:space="0" w:color="auto"/>
        <w:right w:val="none" w:sz="0" w:space="0" w:color="auto"/>
      </w:divBdr>
    </w:div>
    <w:div w:id="370148748">
      <w:bodyDiv w:val="1"/>
      <w:marLeft w:val="0"/>
      <w:marRight w:val="0"/>
      <w:marTop w:val="0"/>
      <w:marBottom w:val="0"/>
      <w:divBdr>
        <w:top w:val="none" w:sz="0" w:space="0" w:color="auto"/>
        <w:left w:val="none" w:sz="0" w:space="0" w:color="auto"/>
        <w:bottom w:val="none" w:sz="0" w:space="0" w:color="auto"/>
        <w:right w:val="none" w:sz="0" w:space="0" w:color="auto"/>
      </w:divBdr>
    </w:div>
    <w:div w:id="370693367">
      <w:bodyDiv w:val="1"/>
      <w:marLeft w:val="0"/>
      <w:marRight w:val="0"/>
      <w:marTop w:val="0"/>
      <w:marBottom w:val="0"/>
      <w:divBdr>
        <w:top w:val="none" w:sz="0" w:space="0" w:color="auto"/>
        <w:left w:val="none" w:sz="0" w:space="0" w:color="auto"/>
        <w:bottom w:val="none" w:sz="0" w:space="0" w:color="auto"/>
        <w:right w:val="none" w:sz="0" w:space="0" w:color="auto"/>
      </w:divBdr>
    </w:div>
    <w:div w:id="372004475">
      <w:bodyDiv w:val="1"/>
      <w:marLeft w:val="0"/>
      <w:marRight w:val="0"/>
      <w:marTop w:val="0"/>
      <w:marBottom w:val="0"/>
      <w:divBdr>
        <w:top w:val="none" w:sz="0" w:space="0" w:color="auto"/>
        <w:left w:val="none" w:sz="0" w:space="0" w:color="auto"/>
        <w:bottom w:val="none" w:sz="0" w:space="0" w:color="auto"/>
        <w:right w:val="none" w:sz="0" w:space="0" w:color="auto"/>
      </w:divBdr>
    </w:div>
    <w:div w:id="372117962">
      <w:bodyDiv w:val="1"/>
      <w:marLeft w:val="0"/>
      <w:marRight w:val="0"/>
      <w:marTop w:val="0"/>
      <w:marBottom w:val="0"/>
      <w:divBdr>
        <w:top w:val="none" w:sz="0" w:space="0" w:color="auto"/>
        <w:left w:val="none" w:sz="0" w:space="0" w:color="auto"/>
        <w:bottom w:val="none" w:sz="0" w:space="0" w:color="auto"/>
        <w:right w:val="none" w:sz="0" w:space="0" w:color="auto"/>
      </w:divBdr>
    </w:div>
    <w:div w:id="372579612">
      <w:bodyDiv w:val="1"/>
      <w:marLeft w:val="0"/>
      <w:marRight w:val="0"/>
      <w:marTop w:val="0"/>
      <w:marBottom w:val="0"/>
      <w:divBdr>
        <w:top w:val="none" w:sz="0" w:space="0" w:color="auto"/>
        <w:left w:val="none" w:sz="0" w:space="0" w:color="auto"/>
        <w:bottom w:val="none" w:sz="0" w:space="0" w:color="auto"/>
        <w:right w:val="none" w:sz="0" w:space="0" w:color="auto"/>
      </w:divBdr>
    </w:div>
    <w:div w:id="373820698">
      <w:bodyDiv w:val="1"/>
      <w:marLeft w:val="0"/>
      <w:marRight w:val="0"/>
      <w:marTop w:val="0"/>
      <w:marBottom w:val="0"/>
      <w:divBdr>
        <w:top w:val="none" w:sz="0" w:space="0" w:color="auto"/>
        <w:left w:val="none" w:sz="0" w:space="0" w:color="auto"/>
        <w:bottom w:val="none" w:sz="0" w:space="0" w:color="auto"/>
        <w:right w:val="none" w:sz="0" w:space="0" w:color="auto"/>
      </w:divBdr>
    </w:div>
    <w:div w:id="373966299">
      <w:bodyDiv w:val="1"/>
      <w:marLeft w:val="0"/>
      <w:marRight w:val="0"/>
      <w:marTop w:val="0"/>
      <w:marBottom w:val="0"/>
      <w:divBdr>
        <w:top w:val="none" w:sz="0" w:space="0" w:color="auto"/>
        <w:left w:val="none" w:sz="0" w:space="0" w:color="auto"/>
        <w:bottom w:val="none" w:sz="0" w:space="0" w:color="auto"/>
        <w:right w:val="none" w:sz="0" w:space="0" w:color="auto"/>
      </w:divBdr>
    </w:div>
    <w:div w:id="373971812">
      <w:bodyDiv w:val="1"/>
      <w:marLeft w:val="0"/>
      <w:marRight w:val="0"/>
      <w:marTop w:val="0"/>
      <w:marBottom w:val="0"/>
      <w:divBdr>
        <w:top w:val="none" w:sz="0" w:space="0" w:color="auto"/>
        <w:left w:val="none" w:sz="0" w:space="0" w:color="auto"/>
        <w:bottom w:val="none" w:sz="0" w:space="0" w:color="auto"/>
        <w:right w:val="none" w:sz="0" w:space="0" w:color="auto"/>
      </w:divBdr>
    </w:div>
    <w:div w:id="375736058">
      <w:bodyDiv w:val="1"/>
      <w:marLeft w:val="0"/>
      <w:marRight w:val="0"/>
      <w:marTop w:val="0"/>
      <w:marBottom w:val="0"/>
      <w:divBdr>
        <w:top w:val="none" w:sz="0" w:space="0" w:color="auto"/>
        <w:left w:val="none" w:sz="0" w:space="0" w:color="auto"/>
        <w:bottom w:val="none" w:sz="0" w:space="0" w:color="auto"/>
        <w:right w:val="none" w:sz="0" w:space="0" w:color="auto"/>
      </w:divBdr>
    </w:div>
    <w:div w:id="376667152">
      <w:bodyDiv w:val="1"/>
      <w:marLeft w:val="0"/>
      <w:marRight w:val="0"/>
      <w:marTop w:val="0"/>
      <w:marBottom w:val="0"/>
      <w:divBdr>
        <w:top w:val="none" w:sz="0" w:space="0" w:color="auto"/>
        <w:left w:val="none" w:sz="0" w:space="0" w:color="auto"/>
        <w:bottom w:val="none" w:sz="0" w:space="0" w:color="auto"/>
        <w:right w:val="none" w:sz="0" w:space="0" w:color="auto"/>
      </w:divBdr>
    </w:div>
    <w:div w:id="377433907">
      <w:bodyDiv w:val="1"/>
      <w:marLeft w:val="0"/>
      <w:marRight w:val="0"/>
      <w:marTop w:val="0"/>
      <w:marBottom w:val="0"/>
      <w:divBdr>
        <w:top w:val="none" w:sz="0" w:space="0" w:color="auto"/>
        <w:left w:val="none" w:sz="0" w:space="0" w:color="auto"/>
        <w:bottom w:val="none" w:sz="0" w:space="0" w:color="auto"/>
        <w:right w:val="none" w:sz="0" w:space="0" w:color="auto"/>
      </w:divBdr>
    </w:div>
    <w:div w:id="377516326">
      <w:bodyDiv w:val="1"/>
      <w:marLeft w:val="0"/>
      <w:marRight w:val="0"/>
      <w:marTop w:val="0"/>
      <w:marBottom w:val="0"/>
      <w:divBdr>
        <w:top w:val="none" w:sz="0" w:space="0" w:color="auto"/>
        <w:left w:val="none" w:sz="0" w:space="0" w:color="auto"/>
        <w:bottom w:val="none" w:sz="0" w:space="0" w:color="auto"/>
        <w:right w:val="none" w:sz="0" w:space="0" w:color="auto"/>
      </w:divBdr>
    </w:div>
    <w:div w:id="379287400">
      <w:bodyDiv w:val="1"/>
      <w:marLeft w:val="0"/>
      <w:marRight w:val="0"/>
      <w:marTop w:val="0"/>
      <w:marBottom w:val="0"/>
      <w:divBdr>
        <w:top w:val="none" w:sz="0" w:space="0" w:color="auto"/>
        <w:left w:val="none" w:sz="0" w:space="0" w:color="auto"/>
        <w:bottom w:val="none" w:sz="0" w:space="0" w:color="auto"/>
        <w:right w:val="none" w:sz="0" w:space="0" w:color="auto"/>
      </w:divBdr>
    </w:div>
    <w:div w:id="380179971">
      <w:bodyDiv w:val="1"/>
      <w:marLeft w:val="0"/>
      <w:marRight w:val="0"/>
      <w:marTop w:val="0"/>
      <w:marBottom w:val="0"/>
      <w:divBdr>
        <w:top w:val="none" w:sz="0" w:space="0" w:color="auto"/>
        <w:left w:val="none" w:sz="0" w:space="0" w:color="auto"/>
        <w:bottom w:val="none" w:sz="0" w:space="0" w:color="auto"/>
        <w:right w:val="none" w:sz="0" w:space="0" w:color="auto"/>
      </w:divBdr>
    </w:div>
    <w:div w:id="380397722">
      <w:bodyDiv w:val="1"/>
      <w:marLeft w:val="0"/>
      <w:marRight w:val="0"/>
      <w:marTop w:val="0"/>
      <w:marBottom w:val="0"/>
      <w:divBdr>
        <w:top w:val="none" w:sz="0" w:space="0" w:color="auto"/>
        <w:left w:val="none" w:sz="0" w:space="0" w:color="auto"/>
        <w:bottom w:val="none" w:sz="0" w:space="0" w:color="auto"/>
        <w:right w:val="none" w:sz="0" w:space="0" w:color="auto"/>
      </w:divBdr>
    </w:div>
    <w:div w:id="381944246">
      <w:bodyDiv w:val="1"/>
      <w:marLeft w:val="0"/>
      <w:marRight w:val="0"/>
      <w:marTop w:val="0"/>
      <w:marBottom w:val="0"/>
      <w:divBdr>
        <w:top w:val="none" w:sz="0" w:space="0" w:color="auto"/>
        <w:left w:val="none" w:sz="0" w:space="0" w:color="auto"/>
        <w:bottom w:val="none" w:sz="0" w:space="0" w:color="auto"/>
        <w:right w:val="none" w:sz="0" w:space="0" w:color="auto"/>
      </w:divBdr>
    </w:div>
    <w:div w:id="383913680">
      <w:bodyDiv w:val="1"/>
      <w:marLeft w:val="0"/>
      <w:marRight w:val="0"/>
      <w:marTop w:val="0"/>
      <w:marBottom w:val="0"/>
      <w:divBdr>
        <w:top w:val="none" w:sz="0" w:space="0" w:color="auto"/>
        <w:left w:val="none" w:sz="0" w:space="0" w:color="auto"/>
        <w:bottom w:val="none" w:sz="0" w:space="0" w:color="auto"/>
        <w:right w:val="none" w:sz="0" w:space="0" w:color="auto"/>
      </w:divBdr>
    </w:div>
    <w:div w:id="383985519">
      <w:bodyDiv w:val="1"/>
      <w:marLeft w:val="0"/>
      <w:marRight w:val="0"/>
      <w:marTop w:val="0"/>
      <w:marBottom w:val="0"/>
      <w:divBdr>
        <w:top w:val="none" w:sz="0" w:space="0" w:color="auto"/>
        <w:left w:val="none" w:sz="0" w:space="0" w:color="auto"/>
        <w:bottom w:val="none" w:sz="0" w:space="0" w:color="auto"/>
        <w:right w:val="none" w:sz="0" w:space="0" w:color="auto"/>
      </w:divBdr>
    </w:div>
    <w:div w:id="386026412">
      <w:bodyDiv w:val="1"/>
      <w:marLeft w:val="0"/>
      <w:marRight w:val="0"/>
      <w:marTop w:val="0"/>
      <w:marBottom w:val="0"/>
      <w:divBdr>
        <w:top w:val="none" w:sz="0" w:space="0" w:color="auto"/>
        <w:left w:val="none" w:sz="0" w:space="0" w:color="auto"/>
        <w:bottom w:val="none" w:sz="0" w:space="0" w:color="auto"/>
        <w:right w:val="none" w:sz="0" w:space="0" w:color="auto"/>
      </w:divBdr>
    </w:div>
    <w:div w:id="388305920">
      <w:bodyDiv w:val="1"/>
      <w:marLeft w:val="0"/>
      <w:marRight w:val="0"/>
      <w:marTop w:val="0"/>
      <w:marBottom w:val="0"/>
      <w:divBdr>
        <w:top w:val="none" w:sz="0" w:space="0" w:color="auto"/>
        <w:left w:val="none" w:sz="0" w:space="0" w:color="auto"/>
        <w:bottom w:val="none" w:sz="0" w:space="0" w:color="auto"/>
        <w:right w:val="none" w:sz="0" w:space="0" w:color="auto"/>
      </w:divBdr>
    </w:div>
    <w:div w:id="388463462">
      <w:bodyDiv w:val="1"/>
      <w:marLeft w:val="0"/>
      <w:marRight w:val="0"/>
      <w:marTop w:val="0"/>
      <w:marBottom w:val="0"/>
      <w:divBdr>
        <w:top w:val="none" w:sz="0" w:space="0" w:color="auto"/>
        <w:left w:val="none" w:sz="0" w:space="0" w:color="auto"/>
        <w:bottom w:val="none" w:sz="0" w:space="0" w:color="auto"/>
        <w:right w:val="none" w:sz="0" w:space="0" w:color="auto"/>
      </w:divBdr>
    </w:div>
    <w:div w:id="389115465">
      <w:bodyDiv w:val="1"/>
      <w:marLeft w:val="0"/>
      <w:marRight w:val="0"/>
      <w:marTop w:val="0"/>
      <w:marBottom w:val="0"/>
      <w:divBdr>
        <w:top w:val="none" w:sz="0" w:space="0" w:color="auto"/>
        <w:left w:val="none" w:sz="0" w:space="0" w:color="auto"/>
        <w:bottom w:val="none" w:sz="0" w:space="0" w:color="auto"/>
        <w:right w:val="none" w:sz="0" w:space="0" w:color="auto"/>
      </w:divBdr>
    </w:div>
    <w:div w:id="389692948">
      <w:bodyDiv w:val="1"/>
      <w:marLeft w:val="0"/>
      <w:marRight w:val="0"/>
      <w:marTop w:val="0"/>
      <w:marBottom w:val="0"/>
      <w:divBdr>
        <w:top w:val="none" w:sz="0" w:space="0" w:color="auto"/>
        <w:left w:val="none" w:sz="0" w:space="0" w:color="auto"/>
        <w:bottom w:val="none" w:sz="0" w:space="0" w:color="auto"/>
        <w:right w:val="none" w:sz="0" w:space="0" w:color="auto"/>
      </w:divBdr>
    </w:div>
    <w:div w:id="391544103">
      <w:bodyDiv w:val="1"/>
      <w:marLeft w:val="0"/>
      <w:marRight w:val="0"/>
      <w:marTop w:val="0"/>
      <w:marBottom w:val="0"/>
      <w:divBdr>
        <w:top w:val="none" w:sz="0" w:space="0" w:color="auto"/>
        <w:left w:val="none" w:sz="0" w:space="0" w:color="auto"/>
        <w:bottom w:val="none" w:sz="0" w:space="0" w:color="auto"/>
        <w:right w:val="none" w:sz="0" w:space="0" w:color="auto"/>
      </w:divBdr>
    </w:div>
    <w:div w:id="393240379">
      <w:bodyDiv w:val="1"/>
      <w:marLeft w:val="0"/>
      <w:marRight w:val="0"/>
      <w:marTop w:val="0"/>
      <w:marBottom w:val="0"/>
      <w:divBdr>
        <w:top w:val="none" w:sz="0" w:space="0" w:color="auto"/>
        <w:left w:val="none" w:sz="0" w:space="0" w:color="auto"/>
        <w:bottom w:val="none" w:sz="0" w:space="0" w:color="auto"/>
        <w:right w:val="none" w:sz="0" w:space="0" w:color="auto"/>
      </w:divBdr>
    </w:div>
    <w:div w:id="399981421">
      <w:bodyDiv w:val="1"/>
      <w:marLeft w:val="0"/>
      <w:marRight w:val="0"/>
      <w:marTop w:val="0"/>
      <w:marBottom w:val="0"/>
      <w:divBdr>
        <w:top w:val="none" w:sz="0" w:space="0" w:color="auto"/>
        <w:left w:val="none" w:sz="0" w:space="0" w:color="auto"/>
        <w:bottom w:val="none" w:sz="0" w:space="0" w:color="auto"/>
        <w:right w:val="none" w:sz="0" w:space="0" w:color="auto"/>
      </w:divBdr>
    </w:div>
    <w:div w:id="400100991">
      <w:bodyDiv w:val="1"/>
      <w:marLeft w:val="0"/>
      <w:marRight w:val="0"/>
      <w:marTop w:val="0"/>
      <w:marBottom w:val="0"/>
      <w:divBdr>
        <w:top w:val="none" w:sz="0" w:space="0" w:color="auto"/>
        <w:left w:val="none" w:sz="0" w:space="0" w:color="auto"/>
        <w:bottom w:val="none" w:sz="0" w:space="0" w:color="auto"/>
        <w:right w:val="none" w:sz="0" w:space="0" w:color="auto"/>
      </w:divBdr>
    </w:div>
    <w:div w:id="400325443">
      <w:bodyDiv w:val="1"/>
      <w:marLeft w:val="0"/>
      <w:marRight w:val="0"/>
      <w:marTop w:val="0"/>
      <w:marBottom w:val="0"/>
      <w:divBdr>
        <w:top w:val="none" w:sz="0" w:space="0" w:color="auto"/>
        <w:left w:val="none" w:sz="0" w:space="0" w:color="auto"/>
        <w:bottom w:val="none" w:sz="0" w:space="0" w:color="auto"/>
        <w:right w:val="none" w:sz="0" w:space="0" w:color="auto"/>
      </w:divBdr>
    </w:div>
    <w:div w:id="400757366">
      <w:bodyDiv w:val="1"/>
      <w:marLeft w:val="0"/>
      <w:marRight w:val="0"/>
      <w:marTop w:val="0"/>
      <w:marBottom w:val="0"/>
      <w:divBdr>
        <w:top w:val="none" w:sz="0" w:space="0" w:color="auto"/>
        <w:left w:val="none" w:sz="0" w:space="0" w:color="auto"/>
        <w:bottom w:val="none" w:sz="0" w:space="0" w:color="auto"/>
        <w:right w:val="none" w:sz="0" w:space="0" w:color="auto"/>
      </w:divBdr>
    </w:div>
    <w:div w:id="400904364">
      <w:bodyDiv w:val="1"/>
      <w:marLeft w:val="0"/>
      <w:marRight w:val="0"/>
      <w:marTop w:val="0"/>
      <w:marBottom w:val="0"/>
      <w:divBdr>
        <w:top w:val="none" w:sz="0" w:space="0" w:color="auto"/>
        <w:left w:val="none" w:sz="0" w:space="0" w:color="auto"/>
        <w:bottom w:val="none" w:sz="0" w:space="0" w:color="auto"/>
        <w:right w:val="none" w:sz="0" w:space="0" w:color="auto"/>
      </w:divBdr>
    </w:div>
    <w:div w:id="403380361">
      <w:bodyDiv w:val="1"/>
      <w:marLeft w:val="0"/>
      <w:marRight w:val="0"/>
      <w:marTop w:val="0"/>
      <w:marBottom w:val="0"/>
      <w:divBdr>
        <w:top w:val="none" w:sz="0" w:space="0" w:color="auto"/>
        <w:left w:val="none" w:sz="0" w:space="0" w:color="auto"/>
        <w:bottom w:val="none" w:sz="0" w:space="0" w:color="auto"/>
        <w:right w:val="none" w:sz="0" w:space="0" w:color="auto"/>
      </w:divBdr>
    </w:div>
    <w:div w:id="403920378">
      <w:bodyDiv w:val="1"/>
      <w:marLeft w:val="0"/>
      <w:marRight w:val="0"/>
      <w:marTop w:val="0"/>
      <w:marBottom w:val="0"/>
      <w:divBdr>
        <w:top w:val="none" w:sz="0" w:space="0" w:color="auto"/>
        <w:left w:val="none" w:sz="0" w:space="0" w:color="auto"/>
        <w:bottom w:val="none" w:sz="0" w:space="0" w:color="auto"/>
        <w:right w:val="none" w:sz="0" w:space="0" w:color="auto"/>
      </w:divBdr>
    </w:div>
    <w:div w:id="404108146">
      <w:bodyDiv w:val="1"/>
      <w:marLeft w:val="0"/>
      <w:marRight w:val="0"/>
      <w:marTop w:val="0"/>
      <w:marBottom w:val="0"/>
      <w:divBdr>
        <w:top w:val="none" w:sz="0" w:space="0" w:color="auto"/>
        <w:left w:val="none" w:sz="0" w:space="0" w:color="auto"/>
        <w:bottom w:val="none" w:sz="0" w:space="0" w:color="auto"/>
        <w:right w:val="none" w:sz="0" w:space="0" w:color="auto"/>
      </w:divBdr>
    </w:div>
    <w:div w:id="406147219">
      <w:bodyDiv w:val="1"/>
      <w:marLeft w:val="0"/>
      <w:marRight w:val="0"/>
      <w:marTop w:val="0"/>
      <w:marBottom w:val="0"/>
      <w:divBdr>
        <w:top w:val="none" w:sz="0" w:space="0" w:color="auto"/>
        <w:left w:val="none" w:sz="0" w:space="0" w:color="auto"/>
        <w:bottom w:val="none" w:sz="0" w:space="0" w:color="auto"/>
        <w:right w:val="none" w:sz="0" w:space="0" w:color="auto"/>
      </w:divBdr>
    </w:div>
    <w:div w:id="407265266">
      <w:bodyDiv w:val="1"/>
      <w:marLeft w:val="0"/>
      <w:marRight w:val="0"/>
      <w:marTop w:val="0"/>
      <w:marBottom w:val="0"/>
      <w:divBdr>
        <w:top w:val="none" w:sz="0" w:space="0" w:color="auto"/>
        <w:left w:val="none" w:sz="0" w:space="0" w:color="auto"/>
        <w:bottom w:val="none" w:sz="0" w:space="0" w:color="auto"/>
        <w:right w:val="none" w:sz="0" w:space="0" w:color="auto"/>
      </w:divBdr>
    </w:div>
    <w:div w:id="409229008">
      <w:bodyDiv w:val="1"/>
      <w:marLeft w:val="0"/>
      <w:marRight w:val="0"/>
      <w:marTop w:val="0"/>
      <w:marBottom w:val="0"/>
      <w:divBdr>
        <w:top w:val="none" w:sz="0" w:space="0" w:color="auto"/>
        <w:left w:val="none" w:sz="0" w:space="0" w:color="auto"/>
        <w:bottom w:val="none" w:sz="0" w:space="0" w:color="auto"/>
        <w:right w:val="none" w:sz="0" w:space="0" w:color="auto"/>
      </w:divBdr>
    </w:div>
    <w:div w:id="410473364">
      <w:bodyDiv w:val="1"/>
      <w:marLeft w:val="0"/>
      <w:marRight w:val="0"/>
      <w:marTop w:val="0"/>
      <w:marBottom w:val="0"/>
      <w:divBdr>
        <w:top w:val="none" w:sz="0" w:space="0" w:color="auto"/>
        <w:left w:val="none" w:sz="0" w:space="0" w:color="auto"/>
        <w:bottom w:val="none" w:sz="0" w:space="0" w:color="auto"/>
        <w:right w:val="none" w:sz="0" w:space="0" w:color="auto"/>
      </w:divBdr>
    </w:div>
    <w:div w:id="410584599">
      <w:bodyDiv w:val="1"/>
      <w:marLeft w:val="0"/>
      <w:marRight w:val="0"/>
      <w:marTop w:val="0"/>
      <w:marBottom w:val="0"/>
      <w:divBdr>
        <w:top w:val="none" w:sz="0" w:space="0" w:color="auto"/>
        <w:left w:val="none" w:sz="0" w:space="0" w:color="auto"/>
        <w:bottom w:val="none" w:sz="0" w:space="0" w:color="auto"/>
        <w:right w:val="none" w:sz="0" w:space="0" w:color="auto"/>
      </w:divBdr>
    </w:div>
    <w:div w:id="410850985">
      <w:bodyDiv w:val="1"/>
      <w:marLeft w:val="0"/>
      <w:marRight w:val="0"/>
      <w:marTop w:val="0"/>
      <w:marBottom w:val="0"/>
      <w:divBdr>
        <w:top w:val="none" w:sz="0" w:space="0" w:color="auto"/>
        <w:left w:val="none" w:sz="0" w:space="0" w:color="auto"/>
        <w:bottom w:val="none" w:sz="0" w:space="0" w:color="auto"/>
        <w:right w:val="none" w:sz="0" w:space="0" w:color="auto"/>
      </w:divBdr>
    </w:div>
    <w:div w:id="410928742">
      <w:bodyDiv w:val="1"/>
      <w:marLeft w:val="0"/>
      <w:marRight w:val="0"/>
      <w:marTop w:val="0"/>
      <w:marBottom w:val="0"/>
      <w:divBdr>
        <w:top w:val="none" w:sz="0" w:space="0" w:color="auto"/>
        <w:left w:val="none" w:sz="0" w:space="0" w:color="auto"/>
        <w:bottom w:val="none" w:sz="0" w:space="0" w:color="auto"/>
        <w:right w:val="none" w:sz="0" w:space="0" w:color="auto"/>
      </w:divBdr>
    </w:div>
    <w:div w:id="413477453">
      <w:bodyDiv w:val="1"/>
      <w:marLeft w:val="0"/>
      <w:marRight w:val="0"/>
      <w:marTop w:val="0"/>
      <w:marBottom w:val="0"/>
      <w:divBdr>
        <w:top w:val="none" w:sz="0" w:space="0" w:color="auto"/>
        <w:left w:val="none" w:sz="0" w:space="0" w:color="auto"/>
        <w:bottom w:val="none" w:sz="0" w:space="0" w:color="auto"/>
        <w:right w:val="none" w:sz="0" w:space="0" w:color="auto"/>
      </w:divBdr>
    </w:div>
    <w:div w:id="413555439">
      <w:bodyDiv w:val="1"/>
      <w:marLeft w:val="0"/>
      <w:marRight w:val="0"/>
      <w:marTop w:val="0"/>
      <w:marBottom w:val="0"/>
      <w:divBdr>
        <w:top w:val="none" w:sz="0" w:space="0" w:color="auto"/>
        <w:left w:val="none" w:sz="0" w:space="0" w:color="auto"/>
        <w:bottom w:val="none" w:sz="0" w:space="0" w:color="auto"/>
        <w:right w:val="none" w:sz="0" w:space="0" w:color="auto"/>
      </w:divBdr>
    </w:div>
    <w:div w:id="415127235">
      <w:bodyDiv w:val="1"/>
      <w:marLeft w:val="0"/>
      <w:marRight w:val="0"/>
      <w:marTop w:val="0"/>
      <w:marBottom w:val="0"/>
      <w:divBdr>
        <w:top w:val="none" w:sz="0" w:space="0" w:color="auto"/>
        <w:left w:val="none" w:sz="0" w:space="0" w:color="auto"/>
        <w:bottom w:val="none" w:sz="0" w:space="0" w:color="auto"/>
        <w:right w:val="none" w:sz="0" w:space="0" w:color="auto"/>
      </w:divBdr>
    </w:div>
    <w:div w:id="415253793">
      <w:bodyDiv w:val="1"/>
      <w:marLeft w:val="0"/>
      <w:marRight w:val="0"/>
      <w:marTop w:val="0"/>
      <w:marBottom w:val="0"/>
      <w:divBdr>
        <w:top w:val="none" w:sz="0" w:space="0" w:color="auto"/>
        <w:left w:val="none" w:sz="0" w:space="0" w:color="auto"/>
        <w:bottom w:val="none" w:sz="0" w:space="0" w:color="auto"/>
        <w:right w:val="none" w:sz="0" w:space="0" w:color="auto"/>
      </w:divBdr>
    </w:div>
    <w:div w:id="416293562">
      <w:bodyDiv w:val="1"/>
      <w:marLeft w:val="0"/>
      <w:marRight w:val="0"/>
      <w:marTop w:val="0"/>
      <w:marBottom w:val="0"/>
      <w:divBdr>
        <w:top w:val="none" w:sz="0" w:space="0" w:color="auto"/>
        <w:left w:val="none" w:sz="0" w:space="0" w:color="auto"/>
        <w:bottom w:val="none" w:sz="0" w:space="0" w:color="auto"/>
        <w:right w:val="none" w:sz="0" w:space="0" w:color="auto"/>
      </w:divBdr>
    </w:div>
    <w:div w:id="418336312">
      <w:bodyDiv w:val="1"/>
      <w:marLeft w:val="0"/>
      <w:marRight w:val="0"/>
      <w:marTop w:val="0"/>
      <w:marBottom w:val="0"/>
      <w:divBdr>
        <w:top w:val="none" w:sz="0" w:space="0" w:color="auto"/>
        <w:left w:val="none" w:sz="0" w:space="0" w:color="auto"/>
        <w:bottom w:val="none" w:sz="0" w:space="0" w:color="auto"/>
        <w:right w:val="none" w:sz="0" w:space="0" w:color="auto"/>
      </w:divBdr>
    </w:div>
    <w:div w:id="418410277">
      <w:bodyDiv w:val="1"/>
      <w:marLeft w:val="0"/>
      <w:marRight w:val="0"/>
      <w:marTop w:val="0"/>
      <w:marBottom w:val="0"/>
      <w:divBdr>
        <w:top w:val="none" w:sz="0" w:space="0" w:color="auto"/>
        <w:left w:val="none" w:sz="0" w:space="0" w:color="auto"/>
        <w:bottom w:val="none" w:sz="0" w:space="0" w:color="auto"/>
        <w:right w:val="none" w:sz="0" w:space="0" w:color="auto"/>
      </w:divBdr>
    </w:div>
    <w:div w:id="419135250">
      <w:bodyDiv w:val="1"/>
      <w:marLeft w:val="0"/>
      <w:marRight w:val="0"/>
      <w:marTop w:val="0"/>
      <w:marBottom w:val="0"/>
      <w:divBdr>
        <w:top w:val="none" w:sz="0" w:space="0" w:color="auto"/>
        <w:left w:val="none" w:sz="0" w:space="0" w:color="auto"/>
        <w:bottom w:val="none" w:sz="0" w:space="0" w:color="auto"/>
        <w:right w:val="none" w:sz="0" w:space="0" w:color="auto"/>
      </w:divBdr>
    </w:div>
    <w:div w:id="419253687">
      <w:bodyDiv w:val="1"/>
      <w:marLeft w:val="0"/>
      <w:marRight w:val="0"/>
      <w:marTop w:val="0"/>
      <w:marBottom w:val="0"/>
      <w:divBdr>
        <w:top w:val="none" w:sz="0" w:space="0" w:color="auto"/>
        <w:left w:val="none" w:sz="0" w:space="0" w:color="auto"/>
        <w:bottom w:val="none" w:sz="0" w:space="0" w:color="auto"/>
        <w:right w:val="none" w:sz="0" w:space="0" w:color="auto"/>
      </w:divBdr>
    </w:div>
    <w:div w:id="422265932">
      <w:bodyDiv w:val="1"/>
      <w:marLeft w:val="0"/>
      <w:marRight w:val="0"/>
      <w:marTop w:val="0"/>
      <w:marBottom w:val="0"/>
      <w:divBdr>
        <w:top w:val="none" w:sz="0" w:space="0" w:color="auto"/>
        <w:left w:val="none" w:sz="0" w:space="0" w:color="auto"/>
        <w:bottom w:val="none" w:sz="0" w:space="0" w:color="auto"/>
        <w:right w:val="none" w:sz="0" w:space="0" w:color="auto"/>
      </w:divBdr>
    </w:div>
    <w:div w:id="422995247">
      <w:bodyDiv w:val="1"/>
      <w:marLeft w:val="0"/>
      <w:marRight w:val="0"/>
      <w:marTop w:val="0"/>
      <w:marBottom w:val="0"/>
      <w:divBdr>
        <w:top w:val="none" w:sz="0" w:space="0" w:color="auto"/>
        <w:left w:val="none" w:sz="0" w:space="0" w:color="auto"/>
        <w:bottom w:val="none" w:sz="0" w:space="0" w:color="auto"/>
        <w:right w:val="none" w:sz="0" w:space="0" w:color="auto"/>
      </w:divBdr>
    </w:div>
    <w:div w:id="423261603">
      <w:bodyDiv w:val="1"/>
      <w:marLeft w:val="0"/>
      <w:marRight w:val="0"/>
      <w:marTop w:val="0"/>
      <w:marBottom w:val="0"/>
      <w:divBdr>
        <w:top w:val="none" w:sz="0" w:space="0" w:color="auto"/>
        <w:left w:val="none" w:sz="0" w:space="0" w:color="auto"/>
        <w:bottom w:val="none" w:sz="0" w:space="0" w:color="auto"/>
        <w:right w:val="none" w:sz="0" w:space="0" w:color="auto"/>
      </w:divBdr>
    </w:div>
    <w:div w:id="423841588">
      <w:bodyDiv w:val="1"/>
      <w:marLeft w:val="0"/>
      <w:marRight w:val="0"/>
      <w:marTop w:val="0"/>
      <w:marBottom w:val="0"/>
      <w:divBdr>
        <w:top w:val="none" w:sz="0" w:space="0" w:color="auto"/>
        <w:left w:val="none" w:sz="0" w:space="0" w:color="auto"/>
        <w:bottom w:val="none" w:sz="0" w:space="0" w:color="auto"/>
        <w:right w:val="none" w:sz="0" w:space="0" w:color="auto"/>
      </w:divBdr>
    </w:div>
    <w:div w:id="424421237">
      <w:bodyDiv w:val="1"/>
      <w:marLeft w:val="0"/>
      <w:marRight w:val="0"/>
      <w:marTop w:val="0"/>
      <w:marBottom w:val="0"/>
      <w:divBdr>
        <w:top w:val="none" w:sz="0" w:space="0" w:color="auto"/>
        <w:left w:val="none" w:sz="0" w:space="0" w:color="auto"/>
        <w:bottom w:val="none" w:sz="0" w:space="0" w:color="auto"/>
        <w:right w:val="none" w:sz="0" w:space="0" w:color="auto"/>
      </w:divBdr>
    </w:div>
    <w:div w:id="424573964">
      <w:bodyDiv w:val="1"/>
      <w:marLeft w:val="0"/>
      <w:marRight w:val="0"/>
      <w:marTop w:val="0"/>
      <w:marBottom w:val="0"/>
      <w:divBdr>
        <w:top w:val="none" w:sz="0" w:space="0" w:color="auto"/>
        <w:left w:val="none" w:sz="0" w:space="0" w:color="auto"/>
        <w:bottom w:val="none" w:sz="0" w:space="0" w:color="auto"/>
        <w:right w:val="none" w:sz="0" w:space="0" w:color="auto"/>
      </w:divBdr>
    </w:div>
    <w:div w:id="426508507">
      <w:bodyDiv w:val="1"/>
      <w:marLeft w:val="0"/>
      <w:marRight w:val="0"/>
      <w:marTop w:val="0"/>
      <w:marBottom w:val="0"/>
      <w:divBdr>
        <w:top w:val="none" w:sz="0" w:space="0" w:color="auto"/>
        <w:left w:val="none" w:sz="0" w:space="0" w:color="auto"/>
        <w:bottom w:val="none" w:sz="0" w:space="0" w:color="auto"/>
        <w:right w:val="none" w:sz="0" w:space="0" w:color="auto"/>
      </w:divBdr>
    </w:div>
    <w:div w:id="426734568">
      <w:bodyDiv w:val="1"/>
      <w:marLeft w:val="0"/>
      <w:marRight w:val="0"/>
      <w:marTop w:val="0"/>
      <w:marBottom w:val="0"/>
      <w:divBdr>
        <w:top w:val="none" w:sz="0" w:space="0" w:color="auto"/>
        <w:left w:val="none" w:sz="0" w:space="0" w:color="auto"/>
        <w:bottom w:val="none" w:sz="0" w:space="0" w:color="auto"/>
        <w:right w:val="none" w:sz="0" w:space="0" w:color="auto"/>
      </w:divBdr>
    </w:div>
    <w:div w:id="426968898">
      <w:bodyDiv w:val="1"/>
      <w:marLeft w:val="0"/>
      <w:marRight w:val="0"/>
      <w:marTop w:val="0"/>
      <w:marBottom w:val="0"/>
      <w:divBdr>
        <w:top w:val="none" w:sz="0" w:space="0" w:color="auto"/>
        <w:left w:val="none" w:sz="0" w:space="0" w:color="auto"/>
        <w:bottom w:val="none" w:sz="0" w:space="0" w:color="auto"/>
        <w:right w:val="none" w:sz="0" w:space="0" w:color="auto"/>
      </w:divBdr>
    </w:div>
    <w:div w:id="428744648">
      <w:bodyDiv w:val="1"/>
      <w:marLeft w:val="0"/>
      <w:marRight w:val="0"/>
      <w:marTop w:val="0"/>
      <w:marBottom w:val="0"/>
      <w:divBdr>
        <w:top w:val="none" w:sz="0" w:space="0" w:color="auto"/>
        <w:left w:val="none" w:sz="0" w:space="0" w:color="auto"/>
        <w:bottom w:val="none" w:sz="0" w:space="0" w:color="auto"/>
        <w:right w:val="none" w:sz="0" w:space="0" w:color="auto"/>
      </w:divBdr>
    </w:div>
    <w:div w:id="430400401">
      <w:bodyDiv w:val="1"/>
      <w:marLeft w:val="0"/>
      <w:marRight w:val="0"/>
      <w:marTop w:val="0"/>
      <w:marBottom w:val="0"/>
      <w:divBdr>
        <w:top w:val="none" w:sz="0" w:space="0" w:color="auto"/>
        <w:left w:val="none" w:sz="0" w:space="0" w:color="auto"/>
        <w:bottom w:val="none" w:sz="0" w:space="0" w:color="auto"/>
        <w:right w:val="none" w:sz="0" w:space="0" w:color="auto"/>
      </w:divBdr>
    </w:div>
    <w:div w:id="430705212">
      <w:bodyDiv w:val="1"/>
      <w:marLeft w:val="0"/>
      <w:marRight w:val="0"/>
      <w:marTop w:val="0"/>
      <w:marBottom w:val="0"/>
      <w:divBdr>
        <w:top w:val="none" w:sz="0" w:space="0" w:color="auto"/>
        <w:left w:val="none" w:sz="0" w:space="0" w:color="auto"/>
        <w:bottom w:val="none" w:sz="0" w:space="0" w:color="auto"/>
        <w:right w:val="none" w:sz="0" w:space="0" w:color="auto"/>
      </w:divBdr>
    </w:div>
    <w:div w:id="430972701">
      <w:bodyDiv w:val="1"/>
      <w:marLeft w:val="0"/>
      <w:marRight w:val="0"/>
      <w:marTop w:val="0"/>
      <w:marBottom w:val="0"/>
      <w:divBdr>
        <w:top w:val="none" w:sz="0" w:space="0" w:color="auto"/>
        <w:left w:val="none" w:sz="0" w:space="0" w:color="auto"/>
        <w:bottom w:val="none" w:sz="0" w:space="0" w:color="auto"/>
        <w:right w:val="none" w:sz="0" w:space="0" w:color="auto"/>
      </w:divBdr>
    </w:div>
    <w:div w:id="433940823">
      <w:bodyDiv w:val="1"/>
      <w:marLeft w:val="0"/>
      <w:marRight w:val="0"/>
      <w:marTop w:val="0"/>
      <w:marBottom w:val="0"/>
      <w:divBdr>
        <w:top w:val="none" w:sz="0" w:space="0" w:color="auto"/>
        <w:left w:val="none" w:sz="0" w:space="0" w:color="auto"/>
        <w:bottom w:val="none" w:sz="0" w:space="0" w:color="auto"/>
        <w:right w:val="none" w:sz="0" w:space="0" w:color="auto"/>
      </w:divBdr>
    </w:div>
    <w:div w:id="434787621">
      <w:bodyDiv w:val="1"/>
      <w:marLeft w:val="0"/>
      <w:marRight w:val="0"/>
      <w:marTop w:val="0"/>
      <w:marBottom w:val="0"/>
      <w:divBdr>
        <w:top w:val="none" w:sz="0" w:space="0" w:color="auto"/>
        <w:left w:val="none" w:sz="0" w:space="0" w:color="auto"/>
        <w:bottom w:val="none" w:sz="0" w:space="0" w:color="auto"/>
        <w:right w:val="none" w:sz="0" w:space="0" w:color="auto"/>
      </w:divBdr>
    </w:div>
    <w:div w:id="435758943">
      <w:bodyDiv w:val="1"/>
      <w:marLeft w:val="0"/>
      <w:marRight w:val="0"/>
      <w:marTop w:val="0"/>
      <w:marBottom w:val="0"/>
      <w:divBdr>
        <w:top w:val="none" w:sz="0" w:space="0" w:color="auto"/>
        <w:left w:val="none" w:sz="0" w:space="0" w:color="auto"/>
        <w:bottom w:val="none" w:sz="0" w:space="0" w:color="auto"/>
        <w:right w:val="none" w:sz="0" w:space="0" w:color="auto"/>
      </w:divBdr>
    </w:div>
    <w:div w:id="436294118">
      <w:bodyDiv w:val="1"/>
      <w:marLeft w:val="0"/>
      <w:marRight w:val="0"/>
      <w:marTop w:val="0"/>
      <w:marBottom w:val="0"/>
      <w:divBdr>
        <w:top w:val="none" w:sz="0" w:space="0" w:color="auto"/>
        <w:left w:val="none" w:sz="0" w:space="0" w:color="auto"/>
        <w:bottom w:val="none" w:sz="0" w:space="0" w:color="auto"/>
        <w:right w:val="none" w:sz="0" w:space="0" w:color="auto"/>
      </w:divBdr>
    </w:div>
    <w:div w:id="436340478">
      <w:bodyDiv w:val="1"/>
      <w:marLeft w:val="0"/>
      <w:marRight w:val="0"/>
      <w:marTop w:val="0"/>
      <w:marBottom w:val="0"/>
      <w:divBdr>
        <w:top w:val="none" w:sz="0" w:space="0" w:color="auto"/>
        <w:left w:val="none" w:sz="0" w:space="0" w:color="auto"/>
        <w:bottom w:val="none" w:sz="0" w:space="0" w:color="auto"/>
        <w:right w:val="none" w:sz="0" w:space="0" w:color="auto"/>
      </w:divBdr>
    </w:div>
    <w:div w:id="436677567">
      <w:bodyDiv w:val="1"/>
      <w:marLeft w:val="0"/>
      <w:marRight w:val="0"/>
      <w:marTop w:val="0"/>
      <w:marBottom w:val="0"/>
      <w:divBdr>
        <w:top w:val="none" w:sz="0" w:space="0" w:color="auto"/>
        <w:left w:val="none" w:sz="0" w:space="0" w:color="auto"/>
        <w:bottom w:val="none" w:sz="0" w:space="0" w:color="auto"/>
        <w:right w:val="none" w:sz="0" w:space="0" w:color="auto"/>
      </w:divBdr>
    </w:div>
    <w:div w:id="437330299">
      <w:bodyDiv w:val="1"/>
      <w:marLeft w:val="0"/>
      <w:marRight w:val="0"/>
      <w:marTop w:val="0"/>
      <w:marBottom w:val="0"/>
      <w:divBdr>
        <w:top w:val="none" w:sz="0" w:space="0" w:color="auto"/>
        <w:left w:val="none" w:sz="0" w:space="0" w:color="auto"/>
        <w:bottom w:val="none" w:sz="0" w:space="0" w:color="auto"/>
        <w:right w:val="none" w:sz="0" w:space="0" w:color="auto"/>
      </w:divBdr>
    </w:div>
    <w:div w:id="439222477">
      <w:bodyDiv w:val="1"/>
      <w:marLeft w:val="0"/>
      <w:marRight w:val="0"/>
      <w:marTop w:val="0"/>
      <w:marBottom w:val="0"/>
      <w:divBdr>
        <w:top w:val="none" w:sz="0" w:space="0" w:color="auto"/>
        <w:left w:val="none" w:sz="0" w:space="0" w:color="auto"/>
        <w:bottom w:val="none" w:sz="0" w:space="0" w:color="auto"/>
        <w:right w:val="none" w:sz="0" w:space="0" w:color="auto"/>
      </w:divBdr>
    </w:div>
    <w:div w:id="439885343">
      <w:bodyDiv w:val="1"/>
      <w:marLeft w:val="0"/>
      <w:marRight w:val="0"/>
      <w:marTop w:val="0"/>
      <w:marBottom w:val="0"/>
      <w:divBdr>
        <w:top w:val="none" w:sz="0" w:space="0" w:color="auto"/>
        <w:left w:val="none" w:sz="0" w:space="0" w:color="auto"/>
        <w:bottom w:val="none" w:sz="0" w:space="0" w:color="auto"/>
        <w:right w:val="none" w:sz="0" w:space="0" w:color="auto"/>
      </w:divBdr>
    </w:div>
    <w:div w:id="440497709">
      <w:bodyDiv w:val="1"/>
      <w:marLeft w:val="0"/>
      <w:marRight w:val="0"/>
      <w:marTop w:val="0"/>
      <w:marBottom w:val="0"/>
      <w:divBdr>
        <w:top w:val="none" w:sz="0" w:space="0" w:color="auto"/>
        <w:left w:val="none" w:sz="0" w:space="0" w:color="auto"/>
        <w:bottom w:val="none" w:sz="0" w:space="0" w:color="auto"/>
        <w:right w:val="none" w:sz="0" w:space="0" w:color="auto"/>
      </w:divBdr>
    </w:div>
    <w:div w:id="440564088">
      <w:bodyDiv w:val="1"/>
      <w:marLeft w:val="0"/>
      <w:marRight w:val="0"/>
      <w:marTop w:val="0"/>
      <w:marBottom w:val="0"/>
      <w:divBdr>
        <w:top w:val="none" w:sz="0" w:space="0" w:color="auto"/>
        <w:left w:val="none" w:sz="0" w:space="0" w:color="auto"/>
        <w:bottom w:val="none" w:sz="0" w:space="0" w:color="auto"/>
        <w:right w:val="none" w:sz="0" w:space="0" w:color="auto"/>
      </w:divBdr>
    </w:div>
    <w:div w:id="442194441">
      <w:bodyDiv w:val="1"/>
      <w:marLeft w:val="0"/>
      <w:marRight w:val="0"/>
      <w:marTop w:val="0"/>
      <w:marBottom w:val="0"/>
      <w:divBdr>
        <w:top w:val="none" w:sz="0" w:space="0" w:color="auto"/>
        <w:left w:val="none" w:sz="0" w:space="0" w:color="auto"/>
        <w:bottom w:val="none" w:sz="0" w:space="0" w:color="auto"/>
        <w:right w:val="none" w:sz="0" w:space="0" w:color="auto"/>
      </w:divBdr>
    </w:div>
    <w:div w:id="442505493">
      <w:bodyDiv w:val="1"/>
      <w:marLeft w:val="0"/>
      <w:marRight w:val="0"/>
      <w:marTop w:val="0"/>
      <w:marBottom w:val="0"/>
      <w:divBdr>
        <w:top w:val="none" w:sz="0" w:space="0" w:color="auto"/>
        <w:left w:val="none" w:sz="0" w:space="0" w:color="auto"/>
        <w:bottom w:val="none" w:sz="0" w:space="0" w:color="auto"/>
        <w:right w:val="none" w:sz="0" w:space="0" w:color="auto"/>
      </w:divBdr>
    </w:div>
    <w:div w:id="444615090">
      <w:bodyDiv w:val="1"/>
      <w:marLeft w:val="0"/>
      <w:marRight w:val="0"/>
      <w:marTop w:val="0"/>
      <w:marBottom w:val="0"/>
      <w:divBdr>
        <w:top w:val="none" w:sz="0" w:space="0" w:color="auto"/>
        <w:left w:val="none" w:sz="0" w:space="0" w:color="auto"/>
        <w:bottom w:val="none" w:sz="0" w:space="0" w:color="auto"/>
        <w:right w:val="none" w:sz="0" w:space="0" w:color="auto"/>
      </w:divBdr>
    </w:div>
    <w:div w:id="445004720">
      <w:bodyDiv w:val="1"/>
      <w:marLeft w:val="0"/>
      <w:marRight w:val="0"/>
      <w:marTop w:val="0"/>
      <w:marBottom w:val="0"/>
      <w:divBdr>
        <w:top w:val="none" w:sz="0" w:space="0" w:color="auto"/>
        <w:left w:val="none" w:sz="0" w:space="0" w:color="auto"/>
        <w:bottom w:val="none" w:sz="0" w:space="0" w:color="auto"/>
        <w:right w:val="none" w:sz="0" w:space="0" w:color="auto"/>
      </w:divBdr>
    </w:div>
    <w:div w:id="445583520">
      <w:bodyDiv w:val="1"/>
      <w:marLeft w:val="0"/>
      <w:marRight w:val="0"/>
      <w:marTop w:val="0"/>
      <w:marBottom w:val="0"/>
      <w:divBdr>
        <w:top w:val="none" w:sz="0" w:space="0" w:color="auto"/>
        <w:left w:val="none" w:sz="0" w:space="0" w:color="auto"/>
        <w:bottom w:val="none" w:sz="0" w:space="0" w:color="auto"/>
        <w:right w:val="none" w:sz="0" w:space="0" w:color="auto"/>
      </w:divBdr>
    </w:div>
    <w:div w:id="445973842">
      <w:bodyDiv w:val="1"/>
      <w:marLeft w:val="0"/>
      <w:marRight w:val="0"/>
      <w:marTop w:val="0"/>
      <w:marBottom w:val="0"/>
      <w:divBdr>
        <w:top w:val="none" w:sz="0" w:space="0" w:color="auto"/>
        <w:left w:val="none" w:sz="0" w:space="0" w:color="auto"/>
        <w:bottom w:val="none" w:sz="0" w:space="0" w:color="auto"/>
        <w:right w:val="none" w:sz="0" w:space="0" w:color="auto"/>
      </w:divBdr>
    </w:div>
    <w:div w:id="446002247">
      <w:bodyDiv w:val="1"/>
      <w:marLeft w:val="0"/>
      <w:marRight w:val="0"/>
      <w:marTop w:val="0"/>
      <w:marBottom w:val="0"/>
      <w:divBdr>
        <w:top w:val="none" w:sz="0" w:space="0" w:color="auto"/>
        <w:left w:val="none" w:sz="0" w:space="0" w:color="auto"/>
        <w:bottom w:val="none" w:sz="0" w:space="0" w:color="auto"/>
        <w:right w:val="none" w:sz="0" w:space="0" w:color="auto"/>
      </w:divBdr>
    </w:div>
    <w:div w:id="446511038">
      <w:bodyDiv w:val="1"/>
      <w:marLeft w:val="0"/>
      <w:marRight w:val="0"/>
      <w:marTop w:val="0"/>
      <w:marBottom w:val="0"/>
      <w:divBdr>
        <w:top w:val="none" w:sz="0" w:space="0" w:color="auto"/>
        <w:left w:val="none" w:sz="0" w:space="0" w:color="auto"/>
        <w:bottom w:val="none" w:sz="0" w:space="0" w:color="auto"/>
        <w:right w:val="none" w:sz="0" w:space="0" w:color="auto"/>
      </w:divBdr>
    </w:div>
    <w:div w:id="446586510">
      <w:bodyDiv w:val="1"/>
      <w:marLeft w:val="0"/>
      <w:marRight w:val="0"/>
      <w:marTop w:val="0"/>
      <w:marBottom w:val="0"/>
      <w:divBdr>
        <w:top w:val="none" w:sz="0" w:space="0" w:color="auto"/>
        <w:left w:val="none" w:sz="0" w:space="0" w:color="auto"/>
        <w:bottom w:val="none" w:sz="0" w:space="0" w:color="auto"/>
        <w:right w:val="none" w:sz="0" w:space="0" w:color="auto"/>
      </w:divBdr>
    </w:div>
    <w:div w:id="446899854">
      <w:bodyDiv w:val="1"/>
      <w:marLeft w:val="0"/>
      <w:marRight w:val="0"/>
      <w:marTop w:val="0"/>
      <w:marBottom w:val="0"/>
      <w:divBdr>
        <w:top w:val="none" w:sz="0" w:space="0" w:color="auto"/>
        <w:left w:val="none" w:sz="0" w:space="0" w:color="auto"/>
        <w:bottom w:val="none" w:sz="0" w:space="0" w:color="auto"/>
        <w:right w:val="none" w:sz="0" w:space="0" w:color="auto"/>
      </w:divBdr>
    </w:div>
    <w:div w:id="448013559">
      <w:bodyDiv w:val="1"/>
      <w:marLeft w:val="0"/>
      <w:marRight w:val="0"/>
      <w:marTop w:val="0"/>
      <w:marBottom w:val="0"/>
      <w:divBdr>
        <w:top w:val="none" w:sz="0" w:space="0" w:color="auto"/>
        <w:left w:val="none" w:sz="0" w:space="0" w:color="auto"/>
        <w:bottom w:val="none" w:sz="0" w:space="0" w:color="auto"/>
        <w:right w:val="none" w:sz="0" w:space="0" w:color="auto"/>
      </w:divBdr>
    </w:div>
    <w:div w:id="450436658">
      <w:bodyDiv w:val="1"/>
      <w:marLeft w:val="0"/>
      <w:marRight w:val="0"/>
      <w:marTop w:val="0"/>
      <w:marBottom w:val="0"/>
      <w:divBdr>
        <w:top w:val="none" w:sz="0" w:space="0" w:color="auto"/>
        <w:left w:val="none" w:sz="0" w:space="0" w:color="auto"/>
        <w:bottom w:val="none" w:sz="0" w:space="0" w:color="auto"/>
        <w:right w:val="none" w:sz="0" w:space="0" w:color="auto"/>
      </w:divBdr>
    </w:div>
    <w:div w:id="450633728">
      <w:bodyDiv w:val="1"/>
      <w:marLeft w:val="0"/>
      <w:marRight w:val="0"/>
      <w:marTop w:val="0"/>
      <w:marBottom w:val="0"/>
      <w:divBdr>
        <w:top w:val="none" w:sz="0" w:space="0" w:color="auto"/>
        <w:left w:val="none" w:sz="0" w:space="0" w:color="auto"/>
        <w:bottom w:val="none" w:sz="0" w:space="0" w:color="auto"/>
        <w:right w:val="none" w:sz="0" w:space="0" w:color="auto"/>
      </w:divBdr>
    </w:div>
    <w:div w:id="453331795">
      <w:bodyDiv w:val="1"/>
      <w:marLeft w:val="0"/>
      <w:marRight w:val="0"/>
      <w:marTop w:val="0"/>
      <w:marBottom w:val="0"/>
      <w:divBdr>
        <w:top w:val="none" w:sz="0" w:space="0" w:color="auto"/>
        <w:left w:val="none" w:sz="0" w:space="0" w:color="auto"/>
        <w:bottom w:val="none" w:sz="0" w:space="0" w:color="auto"/>
        <w:right w:val="none" w:sz="0" w:space="0" w:color="auto"/>
      </w:divBdr>
    </w:div>
    <w:div w:id="453519481">
      <w:bodyDiv w:val="1"/>
      <w:marLeft w:val="0"/>
      <w:marRight w:val="0"/>
      <w:marTop w:val="0"/>
      <w:marBottom w:val="0"/>
      <w:divBdr>
        <w:top w:val="none" w:sz="0" w:space="0" w:color="auto"/>
        <w:left w:val="none" w:sz="0" w:space="0" w:color="auto"/>
        <w:bottom w:val="none" w:sz="0" w:space="0" w:color="auto"/>
        <w:right w:val="none" w:sz="0" w:space="0" w:color="auto"/>
      </w:divBdr>
    </w:div>
    <w:div w:id="454373658">
      <w:bodyDiv w:val="1"/>
      <w:marLeft w:val="0"/>
      <w:marRight w:val="0"/>
      <w:marTop w:val="0"/>
      <w:marBottom w:val="0"/>
      <w:divBdr>
        <w:top w:val="none" w:sz="0" w:space="0" w:color="auto"/>
        <w:left w:val="none" w:sz="0" w:space="0" w:color="auto"/>
        <w:bottom w:val="none" w:sz="0" w:space="0" w:color="auto"/>
        <w:right w:val="none" w:sz="0" w:space="0" w:color="auto"/>
      </w:divBdr>
    </w:div>
    <w:div w:id="455609808">
      <w:bodyDiv w:val="1"/>
      <w:marLeft w:val="0"/>
      <w:marRight w:val="0"/>
      <w:marTop w:val="0"/>
      <w:marBottom w:val="0"/>
      <w:divBdr>
        <w:top w:val="none" w:sz="0" w:space="0" w:color="auto"/>
        <w:left w:val="none" w:sz="0" w:space="0" w:color="auto"/>
        <w:bottom w:val="none" w:sz="0" w:space="0" w:color="auto"/>
        <w:right w:val="none" w:sz="0" w:space="0" w:color="auto"/>
      </w:divBdr>
    </w:div>
    <w:div w:id="457408430">
      <w:bodyDiv w:val="1"/>
      <w:marLeft w:val="0"/>
      <w:marRight w:val="0"/>
      <w:marTop w:val="0"/>
      <w:marBottom w:val="0"/>
      <w:divBdr>
        <w:top w:val="none" w:sz="0" w:space="0" w:color="auto"/>
        <w:left w:val="none" w:sz="0" w:space="0" w:color="auto"/>
        <w:bottom w:val="none" w:sz="0" w:space="0" w:color="auto"/>
        <w:right w:val="none" w:sz="0" w:space="0" w:color="auto"/>
      </w:divBdr>
    </w:div>
    <w:div w:id="458108563">
      <w:bodyDiv w:val="1"/>
      <w:marLeft w:val="0"/>
      <w:marRight w:val="0"/>
      <w:marTop w:val="0"/>
      <w:marBottom w:val="0"/>
      <w:divBdr>
        <w:top w:val="none" w:sz="0" w:space="0" w:color="auto"/>
        <w:left w:val="none" w:sz="0" w:space="0" w:color="auto"/>
        <w:bottom w:val="none" w:sz="0" w:space="0" w:color="auto"/>
        <w:right w:val="none" w:sz="0" w:space="0" w:color="auto"/>
      </w:divBdr>
    </w:div>
    <w:div w:id="458646585">
      <w:bodyDiv w:val="1"/>
      <w:marLeft w:val="0"/>
      <w:marRight w:val="0"/>
      <w:marTop w:val="0"/>
      <w:marBottom w:val="0"/>
      <w:divBdr>
        <w:top w:val="none" w:sz="0" w:space="0" w:color="auto"/>
        <w:left w:val="none" w:sz="0" w:space="0" w:color="auto"/>
        <w:bottom w:val="none" w:sz="0" w:space="0" w:color="auto"/>
        <w:right w:val="none" w:sz="0" w:space="0" w:color="auto"/>
      </w:divBdr>
    </w:div>
    <w:div w:id="459957645">
      <w:bodyDiv w:val="1"/>
      <w:marLeft w:val="0"/>
      <w:marRight w:val="0"/>
      <w:marTop w:val="0"/>
      <w:marBottom w:val="0"/>
      <w:divBdr>
        <w:top w:val="none" w:sz="0" w:space="0" w:color="auto"/>
        <w:left w:val="none" w:sz="0" w:space="0" w:color="auto"/>
        <w:bottom w:val="none" w:sz="0" w:space="0" w:color="auto"/>
        <w:right w:val="none" w:sz="0" w:space="0" w:color="auto"/>
      </w:divBdr>
    </w:div>
    <w:div w:id="463233927">
      <w:bodyDiv w:val="1"/>
      <w:marLeft w:val="0"/>
      <w:marRight w:val="0"/>
      <w:marTop w:val="0"/>
      <w:marBottom w:val="0"/>
      <w:divBdr>
        <w:top w:val="none" w:sz="0" w:space="0" w:color="auto"/>
        <w:left w:val="none" w:sz="0" w:space="0" w:color="auto"/>
        <w:bottom w:val="none" w:sz="0" w:space="0" w:color="auto"/>
        <w:right w:val="none" w:sz="0" w:space="0" w:color="auto"/>
      </w:divBdr>
    </w:div>
    <w:div w:id="463541320">
      <w:bodyDiv w:val="1"/>
      <w:marLeft w:val="0"/>
      <w:marRight w:val="0"/>
      <w:marTop w:val="0"/>
      <w:marBottom w:val="0"/>
      <w:divBdr>
        <w:top w:val="none" w:sz="0" w:space="0" w:color="auto"/>
        <w:left w:val="none" w:sz="0" w:space="0" w:color="auto"/>
        <w:bottom w:val="none" w:sz="0" w:space="0" w:color="auto"/>
        <w:right w:val="none" w:sz="0" w:space="0" w:color="auto"/>
      </w:divBdr>
    </w:div>
    <w:div w:id="465201199">
      <w:bodyDiv w:val="1"/>
      <w:marLeft w:val="0"/>
      <w:marRight w:val="0"/>
      <w:marTop w:val="0"/>
      <w:marBottom w:val="0"/>
      <w:divBdr>
        <w:top w:val="none" w:sz="0" w:space="0" w:color="auto"/>
        <w:left w:val="none" w:sz="0" w:space="0" w:color="auto"/>
        <w:bottom w:val="none" w:sz="0" w:space="0" w:color="auto"/>
        <w:right w:val="none" w:sz="0" w:space="0" w:color="auto"/>
      </w:divBdr>
    </w:div>
    <w:div w:id="465321755">
      <w:bodyDiv w:val="1"/>
      <w:marLeft w:val="0"/>
      <w:marRight w:val="0"/>
      <w:marTop w:val="0"/>
      <w:marBottom w:val="0"/>
      <w:divBdr>
        <w:top w:val="none" w:sz="0" w:space="0" w:color="auto"/>
        <w:left w:val="none" w:sz="0" w:space="0" w:color="auto"/>
        <w:bottom w:val="none" w:sz="0" w:space="0" w:color="auto"/>
        <w:right w:val="none" w:sz="0" w:space="0" w:color="auto"/>
      </w:divBdr>
    </w:div>
    <w:div w:id="465659717">
      <w:bodyDiv w:val="1"/>
      <w:marLeft w:val="0"/>
      <w:marRight w:val="0"/>
      <w:marTop w:val="0"/>
      <w:marBottom w:val="0"/>
      <w:divBdr>
        <w:top w:val="none" w:sz="0" w:space="0" w:color="auto"/>
        <w:left w:val="none" w:sz="0" w:space="0" w:color="auto"/>
        <w:bottom w:val="none" w:sz="0" w:space="0" w:color="auto"/>
        <w:right w:val="none" w:sz="0" w:space="0" w:color="auto"/>
      </w:divBdr>
    </w:div>
    <w:div w:id="465927747">
      <w:bodyDiv w:val="1"/>
      <w:marLeft w:val="0"/>
      <w:marRight w:val="0"/>
      <w:marTop w:val="0"/>
      <w:marBottom w:val="0"/>
      <w:divBdr>
        <w:top w:val="none" w:sz="0" w:space="0" w:color="auto"/>
        <w:left w:val="none" w:sz="0" w:space="0" w:color="auto"/>
        <w:bottom w:val="none" w:sz="0" w:space="0" w:color="auto"/>
        <w:right w:val="none" w:sz="0" w:space="0" w:color="auto"/>
      </w:divBdr>
    </w:div>
    <w:div w:id="468785732">
      <w:bodyDiv w:val="1"/>
      <w:marLeft w:val="0"/>
      <w:marRight w:val="0"/>
      <w:marTop w:val="0"/>
      <w:marBottom w:val="0"/>
      <w:divBdr>
        <w:top w:val="none" w:sz="0" w:space="0" w:color="auto"/>
        <w:left w:val="none" w:sz="0" w:space="0" w:color="auto"/>
        <w:bottom w:val="none" w:sz="0" w:space="0" w:color="auto"/>
        <w:right w:val="none" w:sz="0" w:space="0" w:color="auto"/>
      </w:divBdr>
    </w:div>
    <w:div w:id="469707970">
      <w:bodyDiv w:val="1"/>
      <w:marLeft w:val="0"/>
      <w:marRight w:val="0"/>
      <w:marTop w:val="0"/>
      <w:marBottom w:val="0"/>
      <w:divBdr>
        <w:top w:val="none" w:sz="0" w:space="0" w:color="auto"/>
        <w:left w:val="none" w:sz="0" w:space="0" w:color="auto"/>
        <w:bottom w:val="none" w:sz="0" w:space="0" w:color="auto"/>
        <w:right w:val="none" w:sz="0" w:space="0" w:color="auto"/>
      </w:divBdr>
    </w:div>
    <w:div w:id="474838543">
      <w:bodyDiv w:val="1"/>
      <w:marLeft w:val="0"/>
      <w:marRight w:val="0"/>
      <w:marTop w:val="0"/>
      <w:marBottom w:val="0"/>
      <w:divBdr>
        <w:top w:val="none" w:sz="0" w:space="0" w:color="auto"/>
        <w:left w:val="none" w:sz="0" w:space="0" w:color="auto"/>
        <w:bottom w:val="none" w:sz="0" w:space="0" w:color="auto"/>
        <w:right w:val="none" w:sz="0" w:space="0" w:color="auto"/>
      </w:divBdr>
    </w:div>
    <w:div w:id="476189468">
      <w:bodyDiv w:val="1"/>
      <w:marLeft w:val="0"/>
      <w:marRight w:val="0"/>
      <w:marTop w:val="0"/>
      <w:marBottom w:val="0"/>
      <w:divBdr>
        <w:top w:val="none" w:sz="0" w:space="0" w:color="auto"/>
        <w:left w:val="none" w:sz="0" w:space="0" w:color="auto"/>
        <w:bottom w:val="none" w:sz="0" w:space="0" w:color="auto"/>
        <w:right w:val="none" w:sz="0" w:space="0" w:color="auto"/>
      </w:divBdr>
    </w:div>
    <w:div w:id="477891190">
      <w:bodyDiv w:val="1"/>
      <w:marLeft w:val="0"/>
      <w:marRight w:val="0"/>
      <w:marTop w:val="0"/>
      <w:marBottom w:val="0"/>
      <w:divBdr>
        <w:top w:val="none" w:sz="0" w:space="0" w:color="auto"/>
        <w:left w:val="none" w:sz="0" w:space="0" w:color="auto"/>
        <w:bottom w:val="none" w:sz="0" w:space="0" w:color="auto"/>
        <w:right w:val="none" w:sz="0" w:space="0" w:color="auto"/>
      </w:divBdr>
    </w:div>
    <w:div w:id="478159230">
      <w:bodyDiv w:val="1"/>
      <w:marLeft w:val="0"/>
      <w:marRight w:val="0"/>
      <w:marTop w:val="0"/>
      <w:marBottom w:val="0"/>
      <w:divBdr>
        <w:top w:val="none" w:sz="0" w:space="0" w:color="auto"/>
        <w:left w:val="none" w:sz="0" w:space="0" w:color="auto"/>
        <w:bottom w:val="none" w:sz="0" w:space="0" w:color="auto"/>
        <w:right w:val="none" w:sz="0" w:space="0" w:color="auto"/>
      </w:divBdr>
    </w:div>
    <w:div w:id="478769887">
      <w:bodyDiv w:val="1"/>
      <w:marLeft w:val="0"/>
      <w:marRight w:val="0"/>
      <w:marTop w:val="0"/>
      <w:marBottom w:val="0"/>
      <w:divBdr>
        <w:top w:val="none" w:sz="0" w:space="0" w:color="auto"/>
        <w:left w:val="none" w:sz="0" w:space="0" w:color="auto"/>
        <w:bottom w:val="none" w:sz="0" w:space="0" w:color="auto"/>
        <w:right w:val="none" w:sz="0" w:space="0" w:color="auto"/>
      </w:divBdr>
    </w:div>
    <w:div w:id="479005530">
      <w:bodyDiv w:val="1"/>
      <w:marLeft w:val="0"/>
      <w:marRight w:val="0"/>
      <w:marTop w:val="0"/>
      <w:marBottom w:val="0"/>
      <w:divBdr>
        <w:top w:val="none" w:sz="0" w:space="0" w:color="auto"/>
        <w:left w:val="none" w:sz="0" w:space="0" w:color="auto"/>
        <w:bottom w:val="none" w:sz="0" w:space="0" w:color="auto"/>
        <w:right w:val="none" w:sz="0" w:space="0" w:color="auto"/>
      </w:divBdr>
    </w:div>
    <w:div w:id="479157895">
      <w:bodyDiv w:val="1"/>
      <w:marLeft w:val="0"/>
      <w:marRight w:val="0"/>
      <w:marTop w:val="0"/>
      <w:marBottom w:val="0"/>
      <w:divBdr>
        <w:top w:val="none" w:sz="0" w:space="0" w:color="auto"/>
        <w:left w:val="none" w:sz="0" w:space="0" w:color="auto"/>
        <w:bottom w:val="none" w:sz="0" w:space="0" w:color="auto"/>
        <w:right w:val="none" w:sz="0" w:space="0" w:color="auto"/>
      </w:divBdr>
    </w:div>
    <w:div w:id="481653225">
      <w:bodyDiv w:val="1"/>
      <w:marLeft w:val="0"/>
      <w:marRight w:val="0"/>
      <w:marTop w:val="0"/>
      <w:marBottom w:val="0"/>
      <w:divBdr>
        <w:top w:val="none" w:sz="0" w:space="0" w:color="auto"/>
        <w:left w:val="none" w:sz="0" w:space="0" w:color="auto"/>
        <w:bottom w:val="none" w:sz="0" w:space="0" w:color="auto"/>
        <w:right w:val="none" w:sz="0" w:space="0" w:color="auto"/>
      </w:divBdr>
    </w:div>
    <w:div w:id="481888813">
      <w:bodyDiv w:val="1"/>
      <w:marLeft w:val="0"/>
      <w:marRight w:val="0"/>
      <w:marTop w:val="0"/>
      <w:marBottom w:val="0"/>
      <w:divBdr>
        <w:top w:val="none" w:sz="0" w:space="0" w:color="auto"/>
        <w:left w:val="none" w:sz="0" w:space="0" w:color="auto"/>
        <w:bottom w:val="none" w:sz="0" w:space="0" w:color="auto"/>
        <w:right w:val="none" w:sz="0" w:space="0" w:color="auto"/>
      </w:divBdr>
    </w:div>
    <w:div w:id="482546218">
      <w:bodyDiv w:val="1"/>
      <w:marLeft w:val="0"/>
      <w:marRight w:val="0"/>
      <w:marTop w:val="0"/>
      <w:marBottom w:val="0"/>
      <w:divBdr>
        <w:top w:val="none" w:sz="0" w:space="0" w:color="auto"/>
        <w:left w:val="none" w:sz="0" w:space="0" w:color="auto"/>
        <w:bottom w:val="none" w:sz="0" w:space="0" w:color="auto"/>
        <w:right w:val="none" w:sz="0" w:space="0" w:color="auto"/>
      </w:divBdr>
    </w:div>
    <w:div w:id="483349744">
      <w:bodyDiv w:val="1"/>
      <w:marLeft w:val="0"/>
      <w:marRight w:val="0"/>
      <w:marTop w:val="0"/>
      <w:marBottom w:val="0"/>
      <w:divBdr>
        <w:top w:val="none" w:sz="0" w:space="0" w:color="auto"/>
        <w:left w:val="none" w:sz="0" w:space="0" w:color="auto"/>
        <w:bottom w:val="none" w:sz="0" w:space="0" w:color="auto"/>
        <w:right w:val="none" w:sz="0" w:space="0" w:color="auto"/>
      </w:divBdr>
    </w:div>
    <w:div w:id="485245243">
      <w:bodyDiv w:val="1"/>
      <w:marLeft w:val="0"/>
      <w:marRight w:val="0"/>
      <w:marTop w:val="0"/>
      <w:marBottom w:val="0"/>
      <w:divBdr>
        <w:top w:val="none" w:sz="0" w:space="0" w:color="auto"/>
        <w:left w:val="none" w:sz="0" w:space="0" w:color="auto"/>
        <w:bottom w:val="none" w:sz="0" w:space="0" w:color="auto"/>
        <w:right w:val="none" w:sz="0" w:space="0" w:color="auto"/>
      </w:divBdr>
    </w:div>
    <w:div w:id="485971741">
      <w:bodyDiv w:val="1"/>
      <w:marLeft w:val="0"/>
      <w:marRight w:val="0"/>
      <w:marTop w:val="0"/>
      <w:marBottom w:val="0"/>
      <w:divBdr>
        <w:top w:val="none" w:sz="0" w:space="0" w:color="auto"/>
        <w:left w:val="none" w:sz="0" w:space="0" w:color="auto"/>
        <w:bottom w:val="none" w:sz="0" w:space="0" w:color="auto"/>
        <w:right w:val="none" w:sz="0" w:space="0" w:color="auto"/>
      </w:divBdr>
    </w:div>
    <w:div w:id="488062336">
      <w:bodyDiv w:val="1"/>
      <w:marLeft w:val="0"/>
      <w:marRight w:val="0"/>
      <w:marTop w:val="0"/>
      <w:marBottom w:val="0"/>
      <w:divBdr>
        <w:top w:val="none" w:sz="0" w:space="0" w:color="auto"/>
        <w:left w:val="none" w:sz="0" w:space="0" w:color="auto"/>
        <w:bottom w:val="none" w:sz="0" w:space="0" w:color="auto"/>
        <w:right w:val="none" w:sz="0" w:space="0" w:color="auto"/>
      </w:divBdr>
    </w:div>
    <w:div w:id="489173514">
      <w:bodyDiv w:val="1"/>
      <w:marLeft w:val="0"/>
      <w:marRight w:val="0"/>
      <w:marTop w:val="0"/>
      <w:marBottom w:val="0"/>
      <w:divBdr>
        <w:top w:val="none" w:sz="0" w:space="0" w:color="auto"/>
        <w:left w:val="none" w:sz="0" w:space="0" w:color="auto"/>
        <w:bottom w:val="none" w:sz="0" w:space="0" w:color="auto"/>
        <w:right w:val="none" w:sz="0" w:space="0" w:color="auto"/>
      </w:divBdr>
    </w:div>
    <w:div w:id="489829592">
      <w:bodyDiv w:val="1"/>
      <w:marLeft w:val="0"/>
      <w:marRight w:val="0"/>
      <w:marTop w:val="0"/>
      <w:marBottom w:val="0"/>
      <w:divBdr>
        <w:top w:val="none" w:sz="0" w:space="0" w:color="auto"/>
        <w:left w:val="none" w:sz="0" w:space="0" w:color="auto"/>
        <w:bottom w:val="none" w:sz="0" w:space="0" w:color="auto"/>
        <w:right w:val="none" w:sz="0" w:space="0" w:color="auto"/>
      </w:divBdr>
    </w:div>
    <w:div w:id="492721961">
      <w:bodyDiv w:val="1"/>
      <w:marLeft w:val="0"/>
      <w:marRight w:val="0"/>
      <w:marTop w:val="0"/>
      <w:marBottom w:val="0"/>
      <w:divBdr>
        <w:top w:val="none" w:sz="0" w:space="0" w:color="auto"/>
        <w:left w:val="none" w:sz="0" w:space="0" w:color="auto"/>
        <w:bottom w:val="none" w:sz="0" w:space="0" w:color="auto"/>
        <w:right w:val="none" w:sz="0" w:space="0" w:color="auto"/>
      </w:divBdr>
    </w:div>
    <w:div w:id="494809927">
      <w:bodyDiv w:val="1"/>
      <w:marLeft w:val="0"/>
      <w:marRight w:val="0"/>
      <w:marTop w:val="0"/>
      <w:marBottom w:val="0"/>
      <w:divBdr>
        <w:top w:val="none" w:sz="0" w:space="0" w:color="auto"/>
        <w:left w:val="none" w:sz="0" w:space="0" w:color="auto"/>
        <w:bottom w:val="none" w:sz="0" w:space="0" w:color="auto"/>
        <w:right w:val="none" w:sz="0" w:space="0" w:color="auto"/>
      </w:divBdr>
    </w:div>
    <w:div w:id="495531298">
      <w:bodyDiv w:val="1"/>
      <w:marLeft w:val="0"/>
      <w:marRight w:val="0"/>
      <w:marTop w:val="0"/>
      <w:marBottom w:val="0"/>
      <w:divBdr>
        <w:top w:val="none" w:sz="0" w:space="0" w:color="auto"/>
        <w:left w:val="none" w:sz="0" w:space="0" w:color="auto"/>
        <w:bottom w:val="none" w:sz="0" w:space="0" w:color="auto"/>
        <w:right w:val="none" w:sz="0" w:space="0" w:color="auto"/>
      </w:divBdr>
    </w:div>
    <w:div w:id="495540972">
      <w:bodyDiv w:val="1"/>
      <w:marLeft w:val="0"/>
      <w:marRight w:val="0"/>
      <w:marTop w:val="0"/>
      <w:marBottom w:val="0"/>
      <w:divBdr>
        <w:top w:val="none" w:sz="0" w:space="0" w:color="auto"/>
        <w:left w:val="none" w:sz="0" w:space="0" w:color="auto"/>
        <w:bottom w:val="none" w:sz="0" w:space="0" w:color="auto"/>
        <w:right w:val="none" w:sz="0" w:space="0" w:color="auto"/>
      </w:divBdr>
    </w:div>
    <w:div w:id="496195358">
      <w:bodyDiv w:val="1"/>
      <w:marLeft w:val="0"/>
      <w:marRight w:val="0"/>
      <w:marTop w:val="0"/>
      <w:marBottom w:val="0"/>
      <w:divBdr>
        <w:top w:val="none" w:sz="0" w:space="0" w:color="auto"/>
        <w:left w:val="none" w:sz="0" w:space="0" w:color="auto"/>
        <w:bottom w:val="none" w:sz="0" w:space="0" w:color="auto"/>
        <w:right w:val="none" w:sz="0" w:space="0" w:color="auto"/>
      </w:divBdr>
    </w:div>
    <w:div w:id="496389380">
      <w:bodyDiv w:val="1"/>
      <w:marLeft w:val="0"/>
      <w:marRight w:val="0"/>
      <w:marTop w:val="0"/>
      <w:marBottom w:val="0"/>
      <w:divBdr>
        <w:top w:val="none" w:sz="0" w:space="0" w:color="auto"/>
        <w:left w:val="none" w:sz="0" w:space="0" w:color="auto"/>
        <w:bottom w:val="none" w:sz="0" w:space="0" w:color="auto"/>
        <w:right w:val="none" w:sz="0" w:space="0" w:color="auto"/>
      </w:divBdr>
    </w:div>
    <w:div w:id="497427937">
      <w:bodyDiv w:val="1"/>
      <w:marLeft w:val="0"/>
      <w:marRight w:val="0"/>
      <w:marTop w:val="0"/>
      <w:marBottom w:val="0"/>
      <w:divBdr>
        <w:top w:val="none" w:sz="0" w:space="0" w:color="auto"/>
        <w:left w:val="none" w:sz="0" w:space="0" w:color="auto"/>
        <w:bottom w:val="none" w:sz="0" w:space="0" w:color="auto"/>
        <w:right w:val="none" w:sz="0" w:space="0" w:color="auto"/>
      </w:divBdr>
    </w:div>
    <w:div w:id="497843481">
      <w:bodyDiv w:val="1"/>
      <w:marLeft w:val="0"/>
      <w:marRight w:val="0"/>
      <w:marTop w:val="0"/>
      <w:marBottom w:val="0"/>
      <w:divBdr>
        <w:top w:val="none" w:sz="0" w:space="0" w:color="auto"/>
        <w:left w:val="none" w:sz="0" w:space="0" w:color="auto"/>
        <w:bottom w:val="none" w:sz="0" w:space="0" w:color="auto"/>
        <w:right w:val="none" w:sz="0" w:space="0" w:color="auto"/>
      </w:divBdr>
    </w:div>
    <w:div w:id="498739504">
      <w:bodyDiv w:val="1"/>
      <w:marLeft w:val="0"/>
      <w:marRight w:val="0"/>
      <w:marTop w:val="0"/>
      <w:marBottom w:val="0"/>
      <w:divBdr>
        <w:top w:val="none" w:sz="0" w:space="0" w:color="auto"/>
        <w:left w:val="none" w:sz="0" w:space="0" w:color="auto"/>
        <w:bottom w:val="none" w:sz="0" w:space="0" w:color="auto"/>
        <w:right w:val="none" w:sz="0" w:space="0" w:color="auto"/>
      </w:divBdr>
    </w:div>
    <w:div w:id="499736879">
      <w:bodyDiv w:val="1"/>
      <w:marLeft w:val="0"/>
      <w:marRight w:val="0"/>
      <w:marTop w:val="0"/>
      <w:marBottom w:val="0"/>
      <w:divBdr>
        <w:top w:val="none" w:sz="0" w:space="0" w:color="auto"/>
        <w:left w:val="none" w:sz="0" w:space="0" w:color="auto"/>
        <w:bottom w:val="none" w:sz="0" w:space="0" w:color="auto"/>
        <w:right w:val="none" w:sz="0" w:space="0" w:color="auto"/>
      </w:divBdr>
    </w:div>
    <w:div w:id="502403310">
      <w:bodyDiv w:val="1"/>
      <w:marLeft w:val="0"/>
      <w:marRight w:val="0"/>
      <w:marTop w:val="0"/>
      <w:marBottom w:val="0"/>
      <w:divBdr>
        <w:top w:val="none" w:sz="0" w:space="0" w:color="auto"/>
        <w:left w:val="none" w:sz="0" w:space="0" w:color="auto"/>
        <w:bottom w:val="none" w:sz="0" w:space="0" w:color="auto"/>
        <w:right w:val="none" w:sz="0" w:space="0" w:color="auto"/>
      </w:divBdr>
    </w:div>
    <w:div w:id="503399975">
      <w:bodyDiv w:val="1"/>
      <w:marLeft w:val="0"/>
      <w:marRight w:val="0"/>
      <w:marTop w:val="0"/>
      <w:marBottom w:val="0"/>
      <w:divBdr>
        <w:top w:val="none" w:sz="0" w:space="0" w:color="auto"/>
        <w:left w:val="none" w:sz="0" w:space="0" w:color="auto"/>
        <w:bottom w:val="none" w:sz="0" w:space="0" w:color="auto"/>
        <w:right w:val="none" w:sz="0" w:space="0" w:color="auto"/>
      </w:divBdr>
    </w:div>
    <w:div w:id="503934862">
      <w:bodyDiv w:val="1"/>
      <w:marLeft w:val="0"/>
      <w:marRight w:val="0"/>
      <w:marTop w:val="0"/>
      <w:marBottom w:val="0"/>
      <w:divBdr>
        <w:top w:val="none" w:sz="0" w:space="0" w:color="auto"/>
        <w:left w:val="none" w:sz="0" w:space="0" w:color="auto"/>
        <w:bottom w:val="none" w:sz="0" w:space="0" w:color="auto"/>
        <w:right w:val="none" w:sz="0" w:space="0" w:color="auto"/>
      </w:divBdr>
    </w:div>
    <w:div w:id="505823609">
      <w:bodyDiv w:val="1"/>
      <w:marLeft w:val="0"/>
      <w:marRight w:val="0"/>
      <w:marTop w:val="0"/>
      <w:marBottom w:val="0"/>
      <w:divBdr>
        <w:top w:val="none" w:sz="0" w:space="0" w:color="auto"/>
        <w:left w:val="none" w:sz="0" w:space="0" w:color="auto"/>
        <w:bottom w:val="none" w:sz="0" w:space="0" w:color="auto"/>
        <w:right w:val="none" w:sz="0" w:space="0" w:color="auto"/>
      </w:divBdr>
    </w:div>
    <w:div w:id="506091182">
      <w:bodyDiv w:val="1"/>
      <w:marLeft w:val="0"/>
      <w:marRight w:val="0"/>
      <w:marTop w:val="0"/>
      <w:marBottom w:val="0"/>
      <w:divBdr>
        <w:top w:val="none" w:sz="0" w:space="0" w:color="auto"/>
        <w:left w:val="none" w:sz="0" w:space="0" w:color="auto"/>
        <w:bottom w:val="none" w:sz="0" w:space="0" w:color="auto"/>
        <w:right w:val="none" w:sz="0" w:space="0" w:color="auto"/>
      </w:divBdr>
    </w:div>
    <w:div w:id="506332042">
      <w:bodyDiv w:val="1"/>
      <w:marLeft w:val="0"/>
      <w:marRight w:val="0"/>
      <w:marTop w:val="0"/>
      <w:marBottom w:val="0"/>
      <w:divBdr>
        <w:top w:val="none" w:sz="0" w:space="0" w:color="auto"/>
        <w:left w:val="none" w:sz="0" w:space="0" w:color="auto"/>
        <w:bottom w:val="none" w:sz="0" w:space="0" w:color="auto"/>
        <w:right w:val="none" w:sz="0" w:space="0" w:color="auto"/>
      </w:divBdr>
    </w:div>
    <w:div w:id="506333318">
      <w:bodyDiv w:val="1"/>
      <w:marLeft w:val="0"/>
      <w:marRight w:val="0"/>
      <w:marTop w:val="0"/>
      <w:marBottom w:val="0"/>
      <w:divBdr>
        <w:top w:val="none" w:sz="0" w:space="0" w:color="auto"/>
        <w:left w:val="none" w:sz="0" w:space="0" w:color="auto"/>
        <w:bottom w:val="none" w:sz="0" w:space="0" w:color="auto"/>
        <w:right w:val="none" w:sz="0" w:space="0" w:color="auto"/>
      </w:divBdr>
    </w:div>
    <w:div w:id="508177873">
      <w:bodyDiv w:val="1"/>
      <w:marLeft w:val="0"/>
      <w:marRight w:val="0"/>
      <w:marTop w:val="0"/>
      <w:marBottom w:val="0"/>
      <w:divBdr>
        <w:top w:val="none" w:sz="0" w:space="0" w:color="auto"/>
        <w:left w:val="none" w:sz="0" w:space="0" w:color="auto"/>
        <w:bottom w:val="none" w:sz="0" w:space="0" w:color="auto"/>
        <w:right w:val="none" w:sz="0" w:space="0" w:color="auto"/>
      </w:divBdr>
    </w:div>
    <w:div w:id="510022617">
      <w:bodyDiv w:val="1"/>
      <w:marLeft w:val="0"/>
      <w:marRight w:val="0"/>
      <w:marTop w:val="0"/>
      <w:marBottom w:val="0"/>
      <w:divBdr>
        <w:top w:val="none" w:sz="0" w:space="0" w:color="auto"/>
        <w:left w:val="none" w:sz="0" w:space="0" w:color="auto"/>
        <w:bottom w:val="none" w:sz="0" w:space="0" w:color="auto"/>
        <w:right w:val="none" w:sz="0" w:space="0" w:color="auto"/>
      </w:divBdr>
    </w:div>
    <w:div w:id="511379779">
      <w:bodyDiv w:val="1"/>
      <w:marLeft w:val="0"/>
      <w:marRight w:val="0"/>
      <w:marTop w:val="0"/>
      <w:marBottom w:val="0"/>
      <w:divBdr>
        <w:top w:val="none" w:sz="0" w:space="0" w:color="auto"/>
        <w:left w:val="none" w:sz="0" w:space="0" w:color="auto"/>
        <w:bottom w:val="none" w:sz="0" w:space="0" w:color="auto"/>
        <w:right w:val="none" w:sz="0" w:space="0" w:color="auto"/>
      </w:divBdr>
    </w:div>
    <w:div w:id="511840105">
      <w:bodyDiv w:val="1"/>
      <w:marLeft w:val="0"/>
      <w:marRight w:val="0"/>
      <w:marTop w:val="0"/>
      <w:marBottom w:val="0"/>
      <w:divBdr>
        <w:top w:val="none" w:sz="0" w:space="0" w:color="auto"/>
        <w:left w:val="none" w:sz="0" w:space="0" w:color="auto"/>
        <w:bottom w:val="none" w:sz="0" w:space="0" w:color="auto"/>
        <w:right w:val="none" w:sz="0" w:space="0" w:color="auto"/>
      </w:divBdr>
    </w:div>
    <w:div w:id="517080427">
      <w:bodyDiv w:val="1"/>
      <w:marLeft w:val="0"/>
      <w:marRight w:val="0"/>
      <w:marTop w:val="0"/>
      <w:marBottom w:val="0"/>
      <w:divBdr>
        <w:top w:val="none" w:sz="0" w:space="0" w:color="auto"/>
        <w:left w:val="none" w:sz="0" w:space="0" w:color="auto"/>
        <w:bottom w:val="none" w:sz="0" w:space="0" w:color="auto"/>
        <w:right w:val="none" w:sz="0" w:space="0" w:color="auto"/>
      </w:divBdr>
    </w:div>
    <w:div w:id="517472362">
      <w:bodyDiv w:val="1"/>
      <w:marLeft w:val="0"/>
      <w:marRight w:val="0"/>
      <w:marTop w:val="0"/>
      <w:marBottom w:val="0"/>
      <w:divBdr>
        <w:top w:val="none" w:sz="0" w:space="0" w:color="auto"/>
        <w:left w:val="none" w:sz="0" w:space="0" w:color="auto"/>
        <w:bottom w:val="none" w:sz="0" w:space="0" w:color="auto"/>
        <w:right w:val="none" w:sz="0" w:space="0" w:color="auto"/>
      </w:divBdr>
    </w:div>
    <w:div w:id="518277645">
      <w:bodyDiv w:val="1"/>
      <w:marLeft w:val="0"/>
      <w:marRight w:val="0"/>
      <w:marTop w:val="0"/>
      <w:marBottom w:val="0"/>
      <w:divBdr>
        <w:top w:val="none" w:sz="0" w:space="0" w:color="auto"/>
        <w:left w:val="none" w:sz="0" w:space="0" w:color="auto"/>
        <w:bottom w:val="none" w:sz="0" w:space="0" w:color="auto"/>
        <w:right w:val="none" w:sz="0" w:space="0" w:color="auto"/>
      </w:divBdr>
    </w:div>
    <w:div w:id="519049116">
      <w:bodyDiv w:val="1"/>
      <w:marLeft w:val="0"/>
      <w:marRight w:val="0"/>
      <w:marTop w:val="0"/>
      <w:marBottom w:val="0"/>
      <w:divBdr>
        <w:top w:val="none" w:sz="0" w:space="0" w:color="auto"/>
        <w:left w:val="none" w:sz="0" w:space="0" w:color="auto"/>
        <w:bottom w:val="none" w:sz="0" w:space="0" w:color="auto"/>
        <w:right w:val="none" w:sz="0" w:space="0" w:color="auto"/>
      </w:divBdr>
    </w:div>
    <w:div w:id="519467704">
      <w:bodyDiv w:val="1"/>
      <w:marLeft w:val="0"/>
      <w:marRight w:val="0"/>
      <w:marTop w:val="0"/>
      <w:marBottom w:val="0"/>
      <w:divBdr>
        <w:top w:val="none" w:sz="0" w:space="0" w:color="auto"/>
        <w:left w:val="none" w:sz="0" w:space="0" w:color="auto"/>
        <w:bottom w:val="none" w:sz="0" w:space="0" w:color="auto"/>
        <w:right w:val="none" w:sz="0" w:space="0" w:color="auto"/>
      </w:divBdr>
    </w:div>
    <w:div w:id="519927607">
      <w:bodyDiv w:val="1"/>
      <w:marLeft w:val="0"/>
      <w:marRight w:val="0"/>
      <w:marTop w:val="0"/>
      <w:marBottom w:val="0"/>
      <w:divBdr>
        <w:top w:val="none" w:sz="0" w:space="0" w:color="auto"/>
        <w:left w:val="none" w:sz="0" w:space="0" w:color="auto"/>
        <w:bottom w:val="none" w:sz="0" w:space="0" w:color="auto"/>
        <w:right w:val="none" w:sz="0" w:space="0" w:color="auto"/>
      </w:divBdr>
    </w:div>
    <w:div w:id="521436721">
      <w:bodyDiv w:val="1"/>
      <w:marLeft w:val="0"/>
      <w:marRight w:val="0"/>
      <w:marTop w:val="0"/>
      <w:marBottom w:val="0"/>
      <w:divBdr>
        <w:top w:val="none" w:sz="0" w:space="0" w:color="auto"/>
        <w:left w:val="none" w:sz="0" w:space="0" w:color="auto"/>
        <w:bottom w:val="none" w:sz="0" w:space="0" w:color="auto"/>
        <w:right w:val="none" w:sz="0" w:space="0" w:color="auto"/>
      </w:divBdr>
    </w:div>
    <w:div w:id="521742864">
      <w:bodyDiv w:val="1"/>
      <w:marLeft w:val="0"/>
      <w:marRight w:val="0"/>
      <w:marTop w:val="0"/>
      <w:marBottom w:val="0"/>
      <w:divBdr>
        <w:top w:val="none" w:sz="0" w:space="0" w:color="auto"/>
        <w:left w:val="none" w:sz="0" w:space="0" w:color="auto"/>
        <w:bottom w:val="none" w:sz="0" w:space="0" w:color="auto"/>
        <w:right w:val="none" w:sz="0" w:space="0" w:color="auto"/>
      </w:divBdr>
    </w:div>
    <w:div w:id="521822346">
      <w:bodyDiv w:val="1"/>
      <w:marLeft w:val="0"/>
      <w:marRight w:val="0"/>
      <w:marTop w:val="0"/>
      <w:marBottom w:val="0"/>
      <w:divBdr>
        <w:top w:val="none" w:sz="0" w:space="0" w:color="auto"/>
        <w:left w:val="none" w:sz="0" w:space="0" w:color="auto"/>
        <w:bottom w:val="none" w:sz="0" w:space="0" w:color="auto"/>
        <w:right w:val="none" w:sz="0" w:space="0" w:color="auto"/>
      </w:divBdr>
    </w:div>
    <w:div w:id="521825780">
      <w:bodyDiv w:val="1"/>
      <w:marLeft w:val="0"/>
      <w:marRight w:val="0"/>
      <w:marTop w:val="0"/>
      <w:marBottom w:val="0"/>
      <w:divBdr>
        <w:top w:val="none" w:sz="0" w:space="0" w:color="auto"/>
        <w:left w:val="none" w:sz="0" w:space="0" w:color="auto"/>
        <w:bottom w:val="none" w:sz="0" w:space="0" w:color="auto"/>
        <w:right w:val="none" w:sz="0" w:space="0" w:color="auto"/>
      </w:divBdr>
    </w:div>
    <w:div w:id="522598948">
      <w:bodyDiv w:val="1"/>
      <w:marLeft w:val="0"/>
      <w:marRight w:val="0"/>
      <w:marTop w:val="0"/>
      <w:marBottom w:val="0"/>
      <w:divBdr>
        <w:top w:val="none" w:sz="0" w:space="0" w:color="auto"/>
        <w:left w:val="none" w:sz="0" w:space="0" w:color="auto"/>
        <w:bottom w:val="none" w:sz="0" w:space="0" w:color="auto"/>
        <w:right w:val="none" w:sz="0" w:space="0" w:color="auto"/>
      </w:divBdr>
    </w:div>
    <w:div w:id="523128476">
      <w:bodyDiv w:val="1"/>
      <w:marLeft w:val="0"/>
      <w:marRight w:val="0"/>
      <w:marTop w:val="0"/>
      <w:marBottom w:val="0"/>
      <w:divBdr>
        <w:top w:val="none" w:sz="0" w:space="0" w:color="auto"/>
        <w:left w:val="none" w:sz="0" w:space="0" w:color="auto"/>
        <w:bottom w:val="none" w:sz="0" w:space="0" w:color="auto"/>
        <w:right w:val="none" w:sz="0" w:space="0" w:color="auto"/>
      </w:divBdr>
    </w:div>
    <w:div w:id="523174544">
      <w:bodyDiv w:val="1"/>
      <w:marLeft w:val="0"/>
      <w:marRight w:val="0"/>
      <w:marTop w:val="0"/>
      <w:marBottom w:val="0"/>
      <w:divBdr>
        <w:top w:val="none" w:sz="0" w:space="0" w:color="auto"/>
        <w:left w:val="none" w:sz="0" w:space="0" w:color="auto"/>
        <w:bottom w:val="none" w:sz="0" w:space="0" w:color="auto"/>
        <w:right w:val="none" w:sz="0" w:space="0" w:color="auto"/>
      </w:divBdr>
    </w:div>
    <w:div w:id="525171535">
      <w:bodyDiv w:val="1"/>
      <w:marLeft w:val="0"/>
      <w:marRight w:val="0"/>
      <w:marTop w:val="0"/>
      <w:marBottom w:val="0"/>
      <w:divBdr>
        <w:top w:val="none" w:sz="0" w:space="0" w:color="auto"/>
        <w:left w:val="none" w:sz="0" w:space="0" w:color="auto"/>
        <w:bottom w:val="none" w:sz="0" w:space="0" w:color="auto"/>
        <w:right w:val="none" w:sz="0" w:space="0" w:color="auto"/>
      </w:divBdr>
    </w:div>
    <w:div w:id="526017920">
      <w:bodyDiv w:val="1"/>
      <w:marLeft w:val="0"/>
      <w:marRight w:val="0"/>
      <w:marTop w:val="0"/>
      <w:marBottom w:val="0"/>
      <w:divBdr>
        <w:top w:val="none" w:sz="0" w:space="0" w:color="auto"/>
        <w:left w:val="none" w:sz="0" w:space="0" w:color="auto"/>
        <w:bottom w:val="none" w:sz="0" w:space="0" w:color="auto"/>
        <w:right w:val="none" w:sz="0" w:space="0" w:color="auto"/>
      </w:divBdr>
    </w:div>
    <w:div w:id="526480363">
      <w:bodyDiv w:val="1"/>
      <w:marLeft w:val="0"/>
      <w:marRight w:val="0"/>
      <w:marTop w:val="0"/>
      <w:marBottom w:val="0"/>
      <w:divBdr>
        <w:top w:val="none" w:sz="0" w:space="0" w:color="auto"/>
        <w:left w:val="none" w:sz="0" w:space="0" w:color="auto"/>
        <w:bottom w:val="none" w:sz="0" w:space="0" w:color="auto"/>
        <w:right w:val="none" w:sz="0" w:space="0" w:color="auto"/>
      </w:divBdr>
    </w:div>
    <w:div w:id="527258144">
      <w:bodyDiv w:val="1"/>
      <w:marLeft w:val="0"/>
      <w:marRight w:val="0"/>
      <w:marTop w:val="0"/>
      <w:marBottom w:val="0"/>
      <w:divBdr>
        <w:top w:val="none" w:sz="0" w:space="0" w:color="auto"/>
        <w:left w:val="none" w:sz="0" w:space="0" w:color="auto"/>
        <w:bottom w:val="none" w:sz="0" w:space="0" w:color="auto"/>
        <w:right w:val="none" w:sz="0" w:space="0" w:color="auto"/>
      </w:divBdr>
    </w:div>
    <w:div w:id="527716285">
      <w:bodyDiv w:val="1"/>
      <w:marLeft w:val="0"/>
      <w:marRight w:val="0"/>
      <w:marTop w:val="0"/>
      <w:marBottom w:val="0"/>
      <w:divBdr>
        <w:top w:val="none" w:sz="0" w:space="0" w:color="auto"/>
        <w:left w:val="none" w:sz="0" w:space="0" w:color="auto"/>
        <w:bottom w:val="none" w:sz="0" w:space="0" w:color="auto"/>
        <w:right w:val="none" w:sz="0" w:space="0" w:color="auto"/>
      </w:divBdr>
    </w:div>
    <w:div w:id="528879573">
      <w:bodyDiv w:val="1"/>
      <w:marLeft w:val="0"/>
      <w:marRight w:val="0"/>
      <w:marTop w:val="0"/>
      <w:marBottom w:val="0"/>
      <w:divBdr>
        <w:top w:val="none" w:sz="0" w:space="0" w:color="auto"/>
        <w:left w:val="none" w:sz="0" w:space="0" w:color="auto"/>
        <w:bottom w:val="none" w:sz="0" w:space="0" w:color="auto"/>
        <w:right w:val="none" w:sz="0" w:space="0" w:color="auto"/>
      </w:divBdr>
    </w:div>
    <w:div w:id="529104203">
      <w:bodyDiv w:val="1"/>
      <w:marLeft w:val="0"/>
      <w:marRight w:val="0"/>
      <w:marTop w:val="0"/>
      <w:marBottom w:val="0"/>
      <w:divBdr>
        <w:top w:val="none" w:sz="0" w:space="0" w:color="auto"/>
        <w:left w:val="none" w:sz="0" w:space="0" w:color="auto"/>
        <w:bottom w:val="none" w:sz="0" w:space="0" w:color="auto"/>
        <w:right w:val="none" w:sz="0" w:space="0" w:color="auto"/>
      </w:divBdr>
    </w:div>
    <w:div w:id="531965010">
      <w:bodyDiv w:val="1"/>
      <w:marLeft w:val="0"/>
      <w:marRight w:val="0"/>
      <w:marTop w:val="0"/>
      <w:marBottom w:val="0"/>
      <w:divBdr>
        <w:top w:val="none" w:sz="0" w:space="0" w:color="auto"/>
        <w:left w:val="none" w:sz="0" w:space="0" w:color="auto"/>
        <w:bottom w:val="none" w:sz="0" w:space="0" w:color="auto"/>
        <w:right w:val="none" w:sz="0" w:space="0" w:color="auto"/>
      </w:divBdr>
    </w:div>
    <w:div w:id="532302886">
      <w:bodyDiv w:val="1"/>
      <w:marLeft w:val="0"/>
      <w:marRight w:val="0"/>
      <w:marTop w:val="0"/>
      <w:marBottom w:val="0"/>
      <w:divBdr>
        <w:top w:val="none" w:sz="0" w:space="0" w:color="auto"/>
        <w:left w:val="none" w:sz="0" w:space="0" w:color="auto"/>
        <w:bottom w:val="none" w:sz="0" w:space="0" w:color="auto"/>
        <w:right w:val="none" w:sz="0" w:space="0" w:color="auto"/>
      </w:divBdr>
    </w:div>
    <w:div w:id="533353198">
      <w:bodyDiv w:val="1"/>
      <w:marLeft w:val="0"/>
      <w:marRight w:val="0"/>
      <w:marTop w:val="0"/>
      <w:marBottom w:val="0"/>
      <w:divBdr>
        <w:top w:val="none" w:sz="0" w:space="0" w:color="auto"/>
        <w:left w:val="none" w:sz="0" w:space="0" w:color="auto"/>
        <w:bottom w:val="none" w:sz="0" w:space="0" w:color="auto"/>
        <w:right w:val="none" w:sz="0" w:space="0" w:color="auto"/>
      </w:divBdr>
    </w:div>
    <w:div w:id="533426573">
      <w:bodyDiv w:val="1"/>
      <w:marLeft w:val="0"/>
      <w:marRight w:val="0"/>
      <w:marTop w:val="0"/>
      <w:marBottom w:val="0"/>
      <w:divBdr>
        <w:top w:val="none" w:sz="0" w:space="0" w:color="auto"/>
        <w:left w:val="none" w:sz="0" w:space="0" w:color="auto"/>
        <w:bottom w:val="none" w:sz="0" w:space="0" w:color="auto"/>
        <w:right w:val="none" w:sz="0" w:space="0" w:color="auto"/>
      </w:divBdr>
    </w:div>
    <w:div w:id="533661294">
      <w:bodyDiv w:val="1"/>
      <w:marLeft w:val="0"/>
      <w:marRight w:val="0"/>
      <w:marTop w:val="0"/>
      <w:marBottom w:val="0"/>
      <w:divBdr>
        <w:top w:val="none" w:sz="0" w:space="0" w:color="auto"/>
        <w:left w:val="none" w:sz="0" w:space="0" w:color="auto"/>
        <w:bottom w:val="none" w:sz="0" w:space="0" w:color="auto"/>
        <w:right w:val="none" w:sz="0" w:space="0" w:color="auto"/>
      </w:divBdr>
    </w:div>
    <w:div w:id="534737605">
      <w:bodyDiv w:val="1"/>
      <w:marLeft w:val="0"/>
      <w:marRight w:val="0"/>
      <w:marTop w:val="0"/>
      <w:marBottom w:val="0"/>
      <w:divBdr>
        <w:top w:val="none" w:sz="0" w:space="0" w:color="auto"/>
        <w:left w:val="none" w:sz="0" w:space="0" w:color="auto"/>
        <w:bottom w:val="none" w:sz="0" w:space="0" w:color="auto"/>
        <w:right w:val="none" w:sz="0" w:space="0" w:color="auto"/>
      </w:divBdr>
    </w:div>
    <w:div w:id="535309613">
      <w:bodyDiv w:val="1"/>
      <w:marLeft w:val="0"/>
      <w:marRight w:val="0"/>
      <w:marTop w:val="0"/>
      <w:marBottom w:val="0"/>
      <w:divBdr>
        <w:top w:val="none" w:sz="0" w:space="0" w:color="auto"/>
        <w:left w:val="none" w:sz="0" w:space="0" w:color="auto"/>
        <w:bottom w:val="none" w:sz="0" w:space="0" w:color="auto"/>
        <w:right w:val="none" w:sz="0" w:space="0" w:color="auto"/>
      </w:divBdr>
    </w:div>
    <w:div w:id="535773724">
      <w:bodyDiv w:val="1"/>
      <w:marLeft w:val="0"/>
      <w:marRight w:val="0"/>
      <w:marTop w:val="0"/>
      <w:marBottom w:val="0"/>
      <w:divBdr>
        <w:top w:val="none" w:sz="0" w:space="0" w:color="auto"/>
        <w:left w:val="none" w:sz="0" w:space="0" w:color="auto"/>
        <w:bottom w:val="none" w:sz="0" w:space="0" w:color="auto"/>
        <w:right w:val="none" w:sz="0" w:space="0" w:color="auto"/>
      </w:divBdr>
    </w:div>
    <w:div w:id="535894155">
      <w:bodyDiv w:val="1"/>
      <w:marLeft w:val="0"/>
      <w:marRight w:val="0"/>
      <w:marTop w:val="0"/>
      <w:marBottom w:val="0"/>
      <w:divBdr>
        <w:top w:val="none" w:sz="0" w:space="0" w:color="auto"/>
        <w:left w:val="none" w:sz="0" w:space="0" w:color="auto"/>
        <w:bottom w:val="none" w:sz="0" w:space="0" w:color="auto"/>
        <w:right w:val="none" w:sz="0" w:space="0" w:color="auto"/>
      </w:divBdr>
    </w:div>
    <w:div w:id="536746887">
      <w:bodyDiv w:val="1"/>
      <w:marLeft w:val="0"/>
      <w:marRight w:val="0"/>
      <w:marTop w:val="0"/>
      <w:marBottom w:val="0"/>
      <w:divBdr>
        <w:top w:val="none" w:sz="0" w:space="0" w:color="auto"/>
        <w:left w:val="none" w:sz="0" w:space="0" w:color="auto"/>
        <w:bottom w:val="none" w:sz="0" w:space="0" w:color="auto"/>
        <w:right w:val="none" w:sz="0" w:space="0" w:color="auto"/>
      </w:divBdr>
    </w:div>
    <w:div w:id="537936721">
      <w:bodyDiv w:val="1"/>
      <w:marLeft w:val="0"/>
      <w:marRight w:val="0"/>
      <w:marTop w:val="0"/>
      <w:marBottom w:val="0"/>
      <w:divBdr>
        <w:top w:val="none" w:sz="0" w:space="0" w:color="auto"/>
        <w:left w:val="none" w:sz="0" w:space="0" w:color="auto"/>
        <w:bottom w:val="none" w:sz="0" w:space="0" w:color="auto"/>
        <w:right w:val="none" w:sz="0" w:space="0" w:color="auto"/>
      </w:divBdr>
    </w:div>
    <w:div w:id="539512631">
      <w:bodyDiv w:val="1"/>
      <w:marLeft w:val="0"/>
      <w:marRight w:val="0"/>
      <w:marTop w:val="0"/>
      <w:marBottom w:val="0"/>
      <w:divBdr>
        <w:top w:val="none" w:sz="0" w:space="0" w:color="auto"/>
        <w:left w:val="none" w:sz="0" w:space="0" w:color="auto"/>
        <w:bottom w:val="none" w:sz="0" w:space="0" w:color="auto"/>
        <w:right w:val="none" w:sz="0" w:space="0" w:color="auto"/>
      </w:divBdr>
    </w:div>
    <w:div w:id="539514940">
      <w:bodyDiv w:val="1"/>
      <w:marLeft w:val="0"/>
      <w:marRight w:val="0"/>
      <w:marTop w:val="0"/>
      <w:marBottom w:val="0"/>
      <w:divBdr>
        <w:top w:val="none" w:sz="0" w:space="0" w:color="auto"/>
        <w:left w:val="none" w:sz="0" w:space="0" w:color="auto"/>
        <w:bottom w:val="none" w:sz="0" w:space="0" w:color="auto"/>
        <w:right w:val="none" w:sz="0" w:space="0" w:color="auto"/>
      </w:divBdr>
    </w:div>
    <w:div w:id="540868994">
      <w:bodyDiv w:val="1"/>
      <w:marLeft w:val="0"/>
      <w:marRight w:val="0"/>
      <w:marTop w:val="0"/>
      <w:marBottom w:val="0"/>
      <w:divBdr>
        <w:top w:val="none" w:sz="0" w:space="0" w:color="auto"/>
        <w:left w:val="none" w:sz="0" w:space="0" w:color="auto"/>
        <w:bottom w:val="none" w:sz="0" w:space="0" w:color="auto"/>
        <w:right w:val="none" w:sz="0" w:space="0" w:color="auto"/>
      </w:divBdr>
    </w:div>
    <w:div w:id="542210378">
      <w:bodyDiv w:val="1"/>
      <w:marLeft w:val="0"/>
      <w:marRight w:val="0"/>
      <w:marTop w:val="0"/>
      <w:marBottom w:val="0"/>
      <w:divBdr>
        <w:top w:val="none" w:sz="0" w:space="0" w:color="auto"/>
        <w:left w:val="none" w:sz="0" w:space="0" w:color="auto"/>
        <w:bottom w:val="none" w:sz="0" w:space="0" w:color="auto"/>
        <w:right w:val="none" w:sz="0" w:space="0" w:color="auto"/>
      </w:divBdr>
    </w:div>
    <w:div w:id="542253576">
      <w:bodyDiv w:val="1"/>
      <w:marLeft w:val="0"/>
      <w:marRight w:val="0"/>
      <w:marTop w:val="0"/>
      <w:marBottom w:val="0"/>
      <w:divBdr>
        <w:top w:val="none" w:sz="0" w:space="0" w:color="auto"/>
        <w:left w:val="none" w:sz="0" w:space="0" w:color="auto"/>
        <w:bottom w:val="none" w:sz="0" w:space="0" w:color="auto"/>
        <w:right w:val="none" w:sz="0" w:space="0" w:color="auto"/>
      </w:divBdr>
    </w:div>
    <w:div w:id="542905249">
      <w:bodyDiv w:val="1"/>
      <w:marLeft w:val="0"/>
      <w:marRight w:val="0"/>
      <w:marTop w:val="0"/>
      <w:marBottom w:val="0"/>
      <w:divBdr>
        <w:top w:val="none" w:sz="0" w:space="0" w:color="auto"/>
        <w:left w:val="none" w:sz="0" w:space="0" w:color="auto"/>
        <w:bottom w:val="none" w:sz="0" w:space="0" w:color="auto"/>
        <w:right w:val="none" w:sz="0" w:space="0" w:color="auto"/>
      </w:divBdr>
    </w:div>
    <w:div w:id="543711942">
      <w:bodyDiv w:val="1"/>
      <w:marLeft w:val="0"/>
      <w:marRight w:val="0"/>
      <w:marTop w:val="0"/>
      <w:marBottom w:val="0"/>
      <w:divBdr>
        <w:top w:val="none" w:sz="0" w:space="0" w:color="auto"/>
        <w:left w:val="none" w:sz="0" w:space="0" w:color="auto"/>
        <w:bottom w:val="none" w:sz="0" w:space="0" w:color="auto"/>
        <w:right w:val="none" w:sz="0" w:space="0" w:color="auto"/>
      </w:divBdr>
    </w:div>
    <w:div w:id="543758297">
      <w:bodyDiv w:val="1"/>
      <w:marLeft w:val="0"/>
      <w:marRight w:val="0"/>
      <w:marTop w:val="0"/>
      <w:marBottom w:val="0"/>
      <w:divBdr>
        <w:top w:val="none" w:sz="0" w:space="0" w:color="auto"/>
        <w:left w:val="none" w:sz="0" w:space="0" w:color="auto"/>
        <w:bottom w:val="none" w:sz="0" w:space="0" w:color="auto"/>
        <w:right w:val="none" w:sz="0" w:space="0" w:color="auto"/>
      </w:divBdr>
    </w:div>
    <w:div w:id="543954375">
      <w:bodyDiv w:val="1"/>
      <w:marLeft w:val="0"/>
      <w:marRight w:val="0"/>
      <w:marTop w:val="0"/>
      <w:marBottom w:val="0"/>
      <w:divBdr>
        <w:top w:val="none" w:sz="0" w:space="0" w:color="auto"/>
        <w:left w:val="none" w:sz="0" w:space="0" w:color="auto"/>
        <w:bottom w:val="none" w:sz="0" w:space="0" w:color="auto"/>
        <w:right w:val="none" w:sz="0" w:space="0" w:color="auto"/>
      </w:divBdr>
    </w:div>
    <w:div w:id="544373488">
      <w:bodyDiv w:val="1"/>
      <w:marLeft w:val="0"/>
      <w:marRight w:val="0"/>
      <w:marTop w:val="0"/>
      <w:marBottom w:val="0"/>
      <w:divBdr>
        <w:top w:val="none" w:sz="0" w:space="0" w:color="auto"/>
        <w:left w:val="none" w:sz="0" w:space="0" w:color="auto"/>
        <w:bottom w:val="none" w:sz="0" w:space="0" w:color="auto"/>
        <w:right w:val="none" w:sz="0" w:space="0" w:color="auto"/>
      </w:divBdr>
    </w:div>
    <w:div w:id="546530712">
      <w:bodyDiv w:val="1"/>
      <w:marLeft w:val="0"/>
      <w:marRight w:val="0"/>
      <w:marTop w:val="0"/>
      <w:marBottom w:val="0"/>
      <w:divBdr>
        <w:top w:val="none" w:sz="0" w:space="0" w:color="auto"/>
        <w:left w:val="none" w:sz="0" w:space="0" w:color="auto"/>
        <w:bottom w:val="none" w:sz="0" w:space="0" w:color="auto"/>
        <w:right w:val="none" w:sz="0" w:space="0" w:color="auto"/>
      </w:divBdr>
    </w:div>
    <w:div w:id="547911850">
      <w:bodyDiv w:val="1"/>
      <w:marLeft w:val="0"/>
      <w:marRight w:val="0"/>
      <w:marTop w:val="0"/>
      <w:marBottom w:val="0"/>
      <w:divBdr>
        <w:top w:val="none" w:sz="0" w:space="0" w:color="auto"/>
        <w:left w:val="none" w:sz="0" w:space="0" w:color="auto"/>
        <w:bottom w:val="none" w:sz="0" w:space="0" w:color="auto"/>
        <w:right w:val="none" w:sz="0" w:space="0" w:color="auto"/>
      </w:divBdr>
    </w:div>
    <w:div w:id="549734869">
      <w:bodyDiv w:val="1"/>
      <w:marLeft w:val="0"/>
      <w:marRight w:val="0"/>
      <w:marTop w:val="0"/>
      <w:marBottom w:val="0"/>
      <w:divBdr>
        <w:top w:val="none" w:sz="0" w:space="0" w:color="auto"/>
        <w:left w:val="none" w:sz="0" w:space="0" w:color="auto"/>
        <w:bottom w:val="none" w:sz="0" w:space="0" w:color="auto"/>
        <w:right w:val="none" w:sz="0" w:space="0" w:color="auto"/>
      </w:divBdr>
    </w:div>
    <w:div w:id="550192320">
      <w:bodyDiv w:val="1"/>
      <w:marLeft w:val="0"/>
      <w:marRight w:val="0"/>
      <w:marTop w:val="0"/>
      <w:marBottom w:val="0"/>
      <w:divBdr>
        <w:top w:val="none" w:sz="0" w:space="0" w:color="auto"/>
        <w:left w:val="none" w:sz="0" w:space="0" w:color="auto"/>
        <w:bottom w:val="none" w:sz="0" w:space="0" w:color="auto"/>
        <w:right w:val="none" w:sz="0" w:space="0" w:color="auto"/>
      </w:divBdr>
    </w:div>
    <w:div w:id="552931536">
      <w:bodyDiv w:val="1"/>
      <w:marLeft w:val="0"/>
      <w:marRight w:val="0"/>
      <w:marTop w:val="0"/>
      <w:marBottom w:val="0"/>
      <w:divBdr>
        <w:top w:val="none" w:sz="0" w:space="0" w:color="auto"/>
        <w:left w:val="none" w:sz="0" w:space="0" w:color="auto"/>
        <w:bottom w:val="none" w:sz="0" w:space="0" w:color="auto"/>
        <w:right w:val="none" w:sz="0" w:space="0" w:color="auto"/>
      </w:divBdr>
    </w:div>
    <w:div w:id="553856286">
      <w:bodyDiv w:val="1"/>
      <w:marLeft w:val="0"/>
      <w:marRight w:val="0"/>
      <w:marTop w:val="0"/>
      <w:marBottom w:val="0"/>
      <w:divBdr>
        <w:top w:val="none" w:sz="0" w:space="0" w:color="auto"/>
        <w:left w:val="none" w:sz="0" w:space="0" w:color="auto"/>
        <w:bottom w:val="none" w:sz="0" w:space="0" w:color="auto"/>
        <w:right w:val="none" w:sz="0" w:space="0" w:color="auto"/>
      </w:divBdr>
    </w:div>
    <w:div w:id="554896046">
      <w:bodyDiv w:val="1"/>
      <w:marLeft w:val="0"/>
      <w:marRight w:val="0"/>
      <w:marTop w:val="0"/>
      <w:marBottom w:val="0"/>
      <w:divBdr>
        <w:top w:val="none" w:sz="0" w:space="0" w:color="auto"/>
        <w:left w:val="none" w:sz="0" w:space="0" w:color="auto"/>
        <w:bottom w:val="none" w:sz="0" w:space="0" w:color="auto"/>
        <w:right w:val="none" w:sz="0" w:space="0" w:color="auto"/>
      </w:divBdr>
    </w:div>
    <w:div w:id="555243543">
      <w:bodyDiv w:val="1"/>
      <w:marLeft w:val="0"/>
      <w:marRight w:val="0"/>
      <w:marTop w:val="0"/>
      <w:marBottom w:val="0"/>
      <w:divBdr>
        <w:top w:val="none" w:sz="0" w:space="0" w:color="auto"/>
        <w:left w:val="none" w:sz="0" w:space="0" w:color="auto"/>
        <w:bottom w:val="none" w:sz="0" w:space="0" w:color="auto"/>
        <w:right w:val="none" w:sz="0" w:space="0" w:color="auto"/>
      </w:divBdr>
    </w:div>
    <w:div w:id="555942733">
      <w:bodyDiv w:val="1"/>
      <w:marLeft w:val="0"/>
      <w:marRight w:val="0"/>
      <w:marTop w:val="0"/>
      <w:marBottom w:val="0"/>
      <w:divBdr>
        <w:top w:val="none" w:sz="0" w:space="0" w:color="auto"/>
        <w:left w:val="none" w:sz="0" w:space="0" w:color="auto"/>
        <w:bottom w:val="none" w:sz="0" w:space="0" w:color="auto"/>
        <w:right w:val="none" w:sz="0" w:space="0" w:color="auto"/>
      </w:divBdr>
    </w:div>
    <w:div w:id="557058920">
      <w:bodyDiv w:val="1"/>
      <w:marLeft w:val="0"/>
      <w:marRight w:val="0"/>
      <w:marTop w:val="0"/>
      <w:marBottom w:val="0"/>
      <w:divBdr>
        <w:top w:val="none" w:sz="0" w:space="0" w:color="auto"/>
        <w:left w:val="none" w:sz="0" w:space="0" w:color="auto"/>
        <w:bottom w:val="none" w:sz="0" w:space="0" w:color="auto"/>
        <w:right w:val="none" w:sz="0" w:space="0" w:color="auto"/>
      </w:divBdr>
    </w:div>
    <w:div w:id="559171142">
      <w:bodyDiv w:val="1"/>
      <w:marLeft w:val="0"/>
      <w:marRight w:val="0"/>
      <w:marTop w:val="0"/>
      <w:marBottom w:val="0"/>
      <w:divBdr>
        <w:top w:val="none" w:sz="0" w:space="0" w:color="auto"/>
        <w:left w:val="none" w:sz="0" w:space="0" w:color="auto"/>
        <w:bottom w:val="none" w:sz="0" w:space="0" w:color="auto"/>
        <w:right w:val="none" w:sz="0" w:space="0" w:color="auto"/>
      </w:divBdr>
    </w:div>
    <w:div w:id="560405628">
      <w:bodyDiv w:val="1"/>
      <w:marLeft w:val="0"/>
      <w:marRight w:val="0"/>
      <w:marTop w:val="0"/>
      <w:marBottom w:val="0"/>
      <w:divBdr>
        <w:top w:val="none" w:sz="0" w:space="0" w:color="auto"/>
        <w:left w:val="none" w:sz="0" w:space="0" w:color="auto"/>
        <w:bottom w:val="none" w:sz="0" w:space="0" w:color="auto"/>
        <w:right w:val="none" w:sz="0" w:space="0" w:color="auto"/>
      </w:divBdr>
    </w:div>
    <w:div w:id="561674605">
      <w:bodyDiv w:val="1"/>
      <w:marLeft w:val="0"/>
      <w:marRight w:val="0"/>
      <w:marTop w:val="0"/>
      <w:marBottom w:val="0"/>
      <w:divBdr>
        <w:top w:val="none" w:sz="0" w:space="0" w:color="auto"/>
        <w:left w:val="none" w:sz="0" w:space="0" w:color="auto"/>
        <w:bottom w:val="none" w:sz="0" w:space="0" w:color="auto"/>
        <w:right w:val="none" w:sz="0" w:space="0" w:color="auto"/>
      </w:divBdr>
    </w:div>
    <w:div w:id="561871095">
      <w:bodyDiv w:val="1"/>
      <w:marLeft w:val="0"/>
      <w:marRight w:val="0"/>
      <w:marTop w:val="0"/>
      <w:marBottom w:val="0"/>
      <w:divBdr>
        <w:top w:val="none" w:sz="0" w:space="0" w:color="auto"/>
        <w:left w:val="none" w:sz="0" w:space="0" w:color="auto"/>
        <w:bottom w:val="none" w:sz="0" w:space="0" w:color="auto"/>
        <w:right w:val="none" w:sz="0" w:space="0" w:color="auto"/>
      </w:divBdr>
    </w:div>
    <w:div w:id="562564443">
      <w:bodyDiv w:val="1"/>
      <w:marLeft w:val="0"/>
      <w:marRight w:val="0"/>
      <w:marTop w:val="0"/>
      <w:marBottom w:val="0"/>
      <w:divBdr>
        <w:top w:val="none" w:sz="0" w:space="0" w:color="auto"/>
        <w:left w:val="none" w:sz="0" w:space="0" w:color="auto"/>
        <w:bottom w:val="none" w:sz="0" w:space="0" w:color="auto"/>
        <w:right w:val="none" w:sz="0" w:space="0" w:color="auto"/>
      </w:divBdr>
    </w:div>
    <w:div w:id="563759833">
      <w:bodyDiv w:val="1"/>
      <w:marLeft w:val="0"/>
      <w:marRight w:val="0"/>
      <w:marTop w:val="0"/>
      <w:marBottom w:val="0"/>
      <w:divBdr>
        <w:top w:val="none" w:sz="0" w:space="0" w:color="auto"/>
        <w:left w:val="none" w:sz="0" w:space="0" w:color="auto"/>
        <w:bottom w:val="none" w:sz="0" w:space="0" w:color="auto"/>
        <w:right w:val="none" w:sz="0" w:space="0" w:color="auto"/>
      </w:divBdr>
    </w:div>
    <w:div w:id="563831696">
      <w:bodyDiv w:val="1"/>
      <w:marLeft w:val="0"/>
      <w:marRight w:val="0"/>
      <w:marTop w:val="0"/>
      <w:marBottom w:val="0"/>
      <w:divBdr>
        <w:top w:val="none" w:sz="0" w:space="0" w:color="auto"/>
        <w:left w:val="none" w:sz="0" w:space="0" w:color="auto"/>
        <w:bottom w:val="none" w:sz="0" w:space="0" w:color="auto"/>
        <w:right w:val="none" w:sz="0" w:space="0" w:color="auto"/>
      </w:divBdr>
    </w:div>
    <w:div w:id="563879290">
      <w:bodyDiv w:val="1"/>
      <w:marLeft w:val="0"/>
      <w:marRight w:val="0"/>
      <w:marTop w:val="0"/>
      <w:marBottom w:val="0"/>
      <w:divBdr>
        <w:top w:val="none" w:sz="0" w:space="0" w:color="auto"/>
        <w:left w:val="none" w:sz="0" w:space="0" w:color="auto"/>
        <w:bottom w:val="none" w:sz="0" w:space="0" w:color="auto"/>
        <w:right w:val="none" w:sz="0" w:space="0" w:color="auto"/>
      </w:divBdr>
    </w:div>
    <w:div w:id="564534290">
      <w:bodyDiv w:val="1"/>
      <w:marLeft w:val="0"/>
      <w:marRight w:val="0"/>
      <w:marTop w:val="0"/>
      <w:marBottom w:val="0"/>
      <w:divBdr>
        <w:top w:val="none" w:sz="0" w:space="0" w:color="auto"/>
        <w:left w:val="none" w:sz="0" w:space="0" w:color="auto"/>
        <w:bottom w:val="none" w:sz="0" w:space="0" w:color="auto"/>
        <w:right w:val="none" w:sz="0" w:space="0" w:color="auto"/>
      </w:divBdr>
    </w:div>
    <w:div w:id="565262774">
      <w:bodyDiv w:val="1"/>
      <w:marLeft w:val="0"/>
      <w:marRight w:val="0"/>
      <w:marTop w:val="0"/>
      <w:marBottom w:val="0"/>
      <w:divBdr>
        <w:top w:val="none" w:sz="0" w:space="0" w:color="auto"/>
        <w:left w:val="none" w:sz="0" w:space="0" w:color="auto"/>
        <w:bottom w:val="none" w:sz="0" w:space="0" w:color="auto"/>
        <w:right w:val="none" w:sz="0" w:space="0" w:color="auto"/>
      </w:divBdr>
    </w:div>
    <w:div w:id="565452593">
      <w:bodyDiv w:val="1"/>
      <w:marLeft w:val="0"/>
      <w:marRight w:val="0"/>
      <w:marTop w:val="0"/>
      <w:marBottom w:val="0"/>
      <w:divBdr>
        <w:top w:val="none" w:sz="0" w:space="0" w:color="auto"/>
        <w:left w:val="none" w:sz="0" w:space="0" w:color="auto"/>
        <w:bottom w:val="none" w:sz="0" w:space="0" w:color="auto"/>
        <w:right w:val="none" w:sz="0" w:space="0" w:color="auto"/>
      </w:divBdr>
    </w:div>
    <w:div w:id="566110032">
      <w:bodyDiv w:val="1"/>
      <w:marLeft w:val="0"/>
      <w:marRight w:val="0"/>
      <w:marTop w:val="0"/>
      <w:marBottom w:val="0"/>
      <w:divBdr>
        <w:top w:val="none" w:sz="0" w:space="0" w:color="auto"/>
        <w:left w:val="none" w:sz="0" w:space="0" w:color="auto"/>
        <w:bottom w:val="none" w:sz="0" w:space="0" w:color="auto"/>
        <w:right w:val="none" w:sz="0" w:space="0" w:color="auto"/>
      </w:divBdr>
    </w:div>
    <w:div w:id="566233074">
      <w:bodyDiv w:val="1"/>
      <w:marLeft w:val="0"/>
      <w:marRight w:val="0"/>
      <w:marTop w:val="0"/>
      <w:marBottom w:val="0"/>
      <w:divBdr>
        <w:top w:val="none" w:sz="0" w:space="0" w:color="auto"/>
        <w:left w:val="none" w:sz="0" w:space="0" w:color="auto"/>
        <w:bottom w:val="none" w:sz="0" w:space="0" w:color="auto"/>
        <w:right w:val="none" w:sz="0" w:space="0" w:color="auto"/>
      </w:divBdr>
    </w:div>
    <w:div w:id="569777303">
      <w:bodyDiv w:val="1"/>
      <w:marLeft w:val="0"/>
      <w:marRight w:val="0"/>
      <w:marTop w:val="0"/>
      <w:marBottom w:val="0"/>
      <w:divBdr>
        <w:top w:val="none" w:sz="0" w:space="0" w:color="auto"/>
        <w:left w:val="none" w:sz="0" w:space="0" w:color="auto"/>
        <w:bottom w:val="none" w:sz="0" w:space="0" w:color="auto"/>
        <w:right w:val="none" w:sz="0" w:space="0" w:color="auto"/>
      </w:divBdr>
    </w:div>
    <w:div w:id="570314518">
      <w:bodyDiv w:val="1"/>
      <w:marLeft w:val="0"/>
      <w:marRight w:val="0"/>
      <w:marTop w:val="0"/>
      <w:marBottom w:val="0"/>
      <w:divBdr>
        <w:top w:val="none" w:sz="0" w:space="0" w:color="auto"/>
        <w:left w:val="none" w:sz="0" w:space="0" w:color="auto"/>
        <w:bottom w:val="none" w:sz="0" w:space="0" w:color="auto"/>
        <w:right w:val="none" w:sz="0" w:space="0" w:color="auto"/>
      </w:divBdr>
    </w:div>
    <w:div w:id="570652798">
      <w:bodyDiv w:val="1"/>
      <w:marLeft w:val="0"/>
      <w:marRight w:val="0"/>
      <w:marTop w:val="0"/>
      <w:marBottom w:val="0"/>
      <w:divBdr>
        <w:top w:val="none" w:sz="0" w:space="0" w:color="auto"/>
        <w:left w:val="none" w:sz="0" w:space="0" w:color="auto"/>
        <w:bottom w:val="none" w:sz="0" w:space="0" w:color="auto"/>
        <w:right w:val="none" w:sz="0" w:space="0" w:color="auto"/>
      </w:divBdr>
    </w:div>
    <w:div w:id="570698649">
      <w:bodyDiv w:val="1"/>
      <w:marLeft w:val="0"/>
      <w:marRight w:val="0"/>
      <w:marTop w:val="0"/>
      <w:marBottom w:val="0"/>
      <w:divBdr>
        <w:top w:val="none" w:sz="0" w:space="0" w:color="auto"/>
        <w:left w:val="none" w:sz="0" w:space="0" w:color="auto"/>
        <w:bottom w:val="none" w:sz="0" w:space="0" w:color="auto"/>
        <w:right w:val="none" w:sz="0" w:space="0" w:color="auto"/>
      </w:divBdr>
    </w:div>
    <w:div w:id="571081814">
      <w:bodyDiv w:val="1"/>
      <w:marLeft w:val="0"/>
      <w:marRight w:val="0"/>
      <w:marTop w:val="0"/>
      <w:marBottom w:val="0"/>
      <w:divBdr>
        <w:top w:val="none" w:sz="0" w:space="0" w:color="auto"/>
        <w:left w:val="none" w:sz="0" w:space="0" w:color="auto"/>
        <w:bottom w:val="none" w:sz="0" w:space="0" w:color="auto"/>
        <w:right w:val="none" w:sz="0" w:space="0" w:color="auto"/>
      </w:divBdr>
    </w:div>
    <w:div w:id="571085432">
      <w:bodyDiv w:val="1"/>
      <w:marLeft w:val="0"/>
      <w:marRight w:val="0"/>
      <w:marTop w:val="0"/>
      <w:marBottom w:val="0"/>
      <w:divBdr>
        <w:top w:val="none" w:sz="0" w:space="0" w:color="auto"/>
        <w:left w:val="none" w:sz="0" w:space="0" w:color="auto"/>
        <w:bottom w:val="none" w:sz="0" w:space="0" w:color="auto"/>
        <w:right w:val="none" w:sz="0" w:space="0" w:color="auto"/>
      </w:divBdr>
    </w:div>
    <w:div w:id="572662412">
      <w:bodyDiv w:val="1"/>
      <w:marLeft w:val="0"/>
      <w:marRight w:val="0"/>
      <w:marTop w:val="0"/>
      <w:marBottom w:val="0"/>
      <w:divBdr>
        <w:top w:val="none" w:sz="0" w:space="0" w:color="auto"/>
        <w:left w:val="none" w:sz="0" w:space="0" w:color="auto"/>
        <w:bottom w:val="none" w:sz="0" w:space="0" w:color="auto"/>
        <w:right w:val="none" w:sz="0" w:space="0" w:color="auto"/>
      </w:divBdr>
    </w:div>
    <w:div w:id="573318230">
      <w:bodyDiv w:val="1"/>
      <w:marLeft w:val="0"/>
      <w:marRight w:val="0"/>
      <w:marTop w:val="0"/>
      <w:marBottom w:val="0"/>
      <w:divBdr>
        <w:top w:val="none" w:sz="0" w:space="0" w:color="auto"/>
        <w:left w:val="none" w:sz="0" w:space="0" w:color="auto"/>
        <w:bottom w:val="none" w:sz="0" w:space="0" w:color="auto"/>
        <w:right w:val="none" w:sz="0" w:space="0" w:color="auto"/>
      </w:divBdr>
    </w:div>
    <w:div w:id="573319287">
      <w:bodyDiv w:val="1"/>
      <w:marLeft w:val="0"/>
      <w:marRight w:val="0"/>
      <w:marTop w:val="0"/>
      <w:marBottom w:val="0"/>
      <w:divBdr>
        <w:top w:val="none" w:sz="0" w:space="0" w:color="auto"/>
        <w:left w:val="none" w:sz="0" w:space="0" w:color="auto"/>
        <w:bottom w:val="none" w:sz="0" w:space="0" w:color="auto"/>
        <w:right w:val="none" w:sz="0" w:space="0" w:color="auto"/>
      </w:divBdr>
    </w:div>
    <w:div w:id="573854802">
      <w:bodyDiv w:val="1"/>
      <w:marLeft w:val="0"/>
      <w:marRight w:val="0"/>
      <w:marTop w:val="0"/>
      <w:marBottom w:val="0"/>
      <w:divBdr>
        <w:top w:val="none" w:sz="0" w:space="0" w:color="auto"/>
        <w:left w:val="none" w:sz="0" w:space="0" w:color="auto"/>
        <w:bottom w:val="none" w:sz="0" w:space="0" w:color="auto"/>
        <w:right w:val="none" w:sz="0" w:space="0" w:color="auto"/>
      </w:divBdr>
    </w:div>
    <w:div w:id="574629832">
      <w:bodyDiv w:val="1"/>
      <w:marLeft w:val="0"/>
      <w:marRight w:val="0"/>
      <w:marTop w:val="0"/>
      <w:marBottom w:val="0"/>
      <w:divBdr>
        <w:top w:val="none" w:sz="0" w:space="0" w:color="auto"/>
        <w:left w:val="none" w:sz="0" w:space="0" w:color="auto"/>
        <w:bottom w:val="none" w:sz="0" w:space="0" w:color="auto"/>
        <w:right w:val="none" w:sz="0" w:space="0" w:color="auto"/>
      </w:divBdr>
    </w:div>
    <w:div w:id="575479260">
      <w:bodyDiv w:val="1"/>
      <w:marLeft w:val="0"/>
      <w:marRight w:val="0"/>
      <w:marTop w:val="0"/>
      <w:marBottom w:val="0"/>
      <w:divBdr>
        <w:top w:val="none" w:sz="0" w:space="0" w:color="auto"/>
        <w:left w:val="none" w:sz="0" w:space="0" w:color="auto"/>
        <w:bottom w:val="none" w:sz="0" w:space="0" w:color="auto"/>
        <w:right w:val="none" w:sz="0" w:space="0" w:color="auto"/>
      </w:divBdr>
    </w:div>
    <w:div w:id="575481474">
      <w:bodyDiv w:val="1"/>
      <w:marLeft w:val="0"/>
      <w:marRight w:val="0"/>
      <w:marTop w:val="0"/>
      <w:marBottom w:val="0"/>
      <w:divBdr>
        <w:top w:val="none" w:sz="0" w:space="0" w:color="auto"/>
        <w:left w:val="none" w:sz="0" w:space="0" w:color="auto"/>
        <w:bottom w:val="none" w:sz="0" w:space="0" w:color="auto"/>
        <w:right w:val="none" w:sz="0" w:space="0" w:color="auto"/>
      </w:divBdr>
    </w:div>
    <w:div w:id="575675689">
      <w:bodyDiv w:val="1"/>
      <w:marLeft w:val="0"/>
      <w:marRight w:val="0"/>
      <w:marTop w:val="0"/>
      <w:marBottom w:val="0"/>
      <w:divBdr>
        <w:top w:val="none" w:sz="0" w:space="0" w:color="auto"/>
        <w:left w:val="none" w:sz="0" w:space="0" w:color="auto"/>
        <w:bottom w:val="none" w:sz="0" w:space="0" w:color="auto"/>
        <w:right w:val="none" w:sz="0" w:space="0" w:color="auto"/>
      </w:divBdr>
    </w:div>
    <w:div w:id="576480289">
      <w:bodyDiv w:val="1"/>
      <w:marLeft w:val="0"/>
      <w:marRight w:val="0"/>
      <w:marTop w:val="0"/>
      <w:marBottom w:val="0"/>
      <w:divBdr>
        <w:top w:val="none" w:sz="0" w:space="0" w:color="auto"/>
        <w:left w:val="none" w:sz="0" w:space="0" w:color="auto"/>
        <w:bottom w:val="none" w:sz="0" w:space="0" w:color="auto"/>
        <w:right w:val="none" w:sz="0" w:space="0" w:color="auto"/>
      </w:divBdr>
    </w:div>
    <w:div w:id="578440463">
      <w:bodyDiv w:val="1"/>
      <w:marLeft w:val="0"/>
      <w:marRight w:val="0"/>
      <w:marTop w:val="0"/>
      <w:marBottom w:val="0"/>
      <w:divBdr>
        <w:top w:val="none" w:sz="0" w:space="0" w:color="auto"/>
        <w:left w:val="none" w:sz="0" w:space="0" w:color="auto"/>
        <w:bottom w:val="none" w:sz="0" w:space="0" w:color="auto"/>
        <w:right w:val="none" w:sz="0" w:space="0" w:color="auto"/>
      </w:divBdr>
    </w:div>
    <w:div w:id="578708528">
      <w:bodyDiv w:val="1"/>
      <w:marLeft w:val="0"/>
      <w:marRight w:val="0"/>
      <w:marTop w:val="0"/>
      <w:marBottom w:val="0"/>
      <w:divBdr>
        <w:top w:val="none" w:sz="0" w:space="0" w:color="auto"/>
        <w:left w:val="none" w:sz="0" w:space="0" w:color="auto"/>
        <w:bottom w:val="none" w:sz="0" w:space="0" w:color="auto"/>
        <w:right w:val="none" w:sz="0" w:space="0" w:color="auto"/>
      </w:divBdr>
    </w:div>
    <w:div w:id="579945934">
      <w:bodyDiv w:val="1"/>
      <w:marLeft w:val="0"/>
      <w:marRight w:val="0"/>
      <w:marTop w:val="0"/>
      <w:marBottom w:val="0"/>
      <w:divBdr>
        <w:top w:val="none" w:sz="0" w:space="0" w:color="auto"/>
        <w:left w:val="none" w:sz="0" w:space="0" w:color="auto"/>
        <w:bottom w:val="none" w:sz="0" w:space="0" w:color="auto"/>
        <w:right w:val="none" w:sz="0" w:space="0" w:color="auto"/>
      </w:divBdr>
    </w:div>
    <w:div w:id="579949012">
      <w:bodyDiv w:val="1"/>
      <w:marLeft w:val="0"/>
      <w:marRight w:val="0"/>
      <w:marTop w:val="0"/>
      <w:marBottom w:val="0"/>
      <w:divBdr>
        <w:top w:val="none" w:sz="0" w:space="0" w:color="auto"/>
        <w:left w:val="none" w:sz="0" w:space="0" w:color="auto"/>
        <w:bottom w:val="none" w:sz="0" w:space="0" w:color="auto"/>
        <w:right w:val="none" w:sz="0" w:space="0" w:color="auto"/>
      </w:divBdr>
    </w:div>
    <w:div w:id="580258961">
      <w:bodyDiv w:val="1"/>
      <w:marLeft w:val="0"/>
      <w:marRight w:val="0"/>
      <w:marTop w:val="0"/>
      <w:marBottom w:val="0"/>
      <w:divBdr>
        <w:top w:val="none" w:sz="0" w:space="0" w:color="auto"/>
        <w:left w:val="none" w:sz="0" w:space="0" w:color="auto"/>
        <w:bottom w:val="none" w:sz="0" w:space="0" w:color="auto"/>
        <w:right w:val="none" w:sz="0" w:space="0" w:color="auto"/>
      </w:divBdr>
    </w:div>
    <w:div w:id="580412623">
      <w:bodyDiv w:val="1"/>
      <w:marLeft w:val="0"/>
      <w:marRight w:val="0"/>
      <w:marTop w:val="0"/>
      <w:marBottom w:val="0"/>
      <w:divBdr>
        <w:top w:val="none" w:sz="0" w:space="0" w:color="auto"/>
        <w:left w:val="none" w:sz="0" w:space="0" w:color="auto"/>
        <w:bottom w:val="none" w:sz="0" w:space="0" w:color="auto"/>
        <w:right w:val="none" w:sz="0" w:space="0" w:color="auto"/>
      </w:divBdr>
    </w:div>
    <w:div w:id="582377932">
      <w:bodyDiv w:val="1"/>
      <w:marLeft w:val="0"/>
      <w:marRight w:val="0"/>
      <w:marTop w:val="0"/>
      <w:marBottom w:val="0"/>
      <w:divBdr>
        <w:top w:val="none" w:sz="0" w:space="0" w:color="auto"/>
        <w:left w:val="none" w:sz="0" w:space="0" w:color="auto"/>
        <w:bottom w:val="none" w:sz="0" w:space="0" w:color="auto"/>
        <w:right w:val="none" w:sz="0" w:space="0" w:color="auto"/>
      </w:divBdr>
    </w:div>
    <w:div w:id="584149348">
      <w:bodyDiv w:val="1"/>
      <w:marLeft w:val="0"/>
      <w:marRight w:val="0"/>
      <w:marTop w:val="0"/>
      <w:marBottom w:val="0"/>
      <w:divBdr>
        <w:top w:val="none" w:sz="0" w:space="0" w:color="auto"/>
        <w:left w:val="none" w:sz="0" w:space="0" w:color="auto"/>
        <w:bottom w:val="none" w:sz="0" w:space="0" w:color="auto"/>
        <w:right w:val="none" w:sz="0" w:space="0" w:color="auto"/>
      </w:divBdr>
    </w:div>
    <w:div w:id="584343203">
      <w:bodyDiv w:val="1"/>
      <w:marLeft w:val="0"/>
      <w:marRight w:val="0"/>
      <w:marTop w:val="0"/>
      <w:marBottom w:val="0"/>
      <w:divBdr>
        <w:top w:val="none" w:sz="0" w:space="0" w:color="auto"/>
        <w:left w:val="none" w:sz="0" w:space="0" w:color="auto"/>
        <w:bottom w:val="none" w:sz="0" w:space="0" w:color="auto"/>
        <w:right w:val="none" w:sz="0" w:space="0" w:color="auto"/>
      </w:divBdr>
    </w:div>
    <w:div w:id="584534331">
      <w:bodyDiv w:val="1"/>
      <w:marLeft w:val="0"/>
      <w:marRight w:val="0"/>
      <w:marTop w:val="0"/>
      <w:marBottom w:val="0"/>
      <w:divBdr>
        <w:top w:val="none" w:sz="0" w:space="0" w:color="auto"/>
        <w:left w:val="none" w:sz="0" w:space="0" w:color="auto"/>
        <w:bottom w:val="none" w:sz="0" w:space="0" w:color="auto"/>
        <w:right w:val="none" w:sz="0" w:space="0" w:color="auto"/>
      </w:divBdr>
    </w:div>
    <w:div w:id="586037772">
      <w:bodyDiv w:val="1"/>
      <w:marLeft w:val="0"/>
      <w:marRight w:val="0"/>
      <w:marTop w:val="0"/>
      <w:marBottom w:val="0"/>
      <w:divBdr>
        <w:top w:val="none" w:sz="0" w:space="0" w:color="auto"/>
        <w:left w:val="none" w:sz="0" w:space="0" w:color="auto"/>
        <w:bottom w:val="none" w:sz="0" w:space="0" w:color="auto"/>
        <w:right w:val="none" w:sz="0" w:space="0" w:color="auto"/>
      </w:divBdr>
    </w:div>
    <w:div w:id="586378930">
      <w:bodyDiv w:val="1"/>
      <w:marLeft w:val="0"/>
      <w:marRight w:val="0"/>
      <w:marTop w:val="0"/>
      <w:marBottom w:val="0"/>
      <w:divBdr>
        <w:top w:val="none" w:sz="0" w:space="0" w:color="auto"/>
        <w:left w:val="none" w:sz="0" w:space="0" w:color="auto"/>
        <w:bottom w:val="none" w:sz="0" w:space="0" w:color="auto"/>
        <w:right w:val="none" w:sz="0" w:space="0" w:color="auto"/>
      </w:divBdr>
    </w:div>
    <w:div w:id="586965474">
      <w:bodyDiv w:val="1"/>
      <w:marLeft w:val="0"/>
      <w:marRight w:val="0"/>
      <w:marTop w:val="0"/>
      <w:marBottom w:val="0"/>
      <w:divBdr>
        <w:top w:val="none" w:sz="0" w:space="0" w:color="auto"/>
        <w:left w:val="none" w:sz="0" w:space="0" w:color="auto"/>
        <w:bottom w:val="none" w:sz="0" w:space="0" w:color="auto"/>
        <w:right w:val="none" w:sz="0" w:space="0" w:color="auto"/>
      </w:divBdr>
    </w:div>
    <w:div w:id="587227766">
      <w:bodyDiv w:val="1"/>
      <w:marLeft w:val="0"/>
      <w:marRight w:val="0"/>
      <w:marTop w:val="0"/>
      <w:marBottom w:val="0"/>
      <w:divBdr>
        <w:top w:val="none" w:sz="0" w:space="0" w:color="auto"/>
        <w:left w:val="none" w:sz="0" w:space="0" w:color="auto"/>
        <w:bottom w:val="none" w:sz="0" w:space="0" w:color="auto"/>
        <w:right w:val="none" w:sz="0" w:space="0" w:color="auto"/>
      </w:divBdr>
    </w:div>
    <w:div w:id="592399037">
      <w:bodyDiv w:val="1"/>
      <w:marLeft w:val="0"/>
      <w:marRight w:val="0"/>
      <w:marTop w:val="0"/>
      <w:marBottom w:val="0"/>
      <w:divBdr>
        <w:top w:val="none" w:sz="0" w:space="0" w:color="auto"/>
        <w:left w:val="none" w:sz="0" w:space="0" w:color="auto"/>
        <w:bottom w:val="none" w:sz="0" w:space="0" w:color="auto"/>
        <w:right w:val="none" w:sz="0" w:space="0" w:color="auto"/>
      </w:divBdr>
    </w:div>
    <w:div w:id="592476412">
      <w:bodyDiv w:val="1"/>
      <w:marLeft w:val="0"/>
      <w:marRight w:val="0"/>
      <w:marTop w:val="0"/>
      <w:marBottom w:val="0"/>
      <w:divBdr>
        <w:top w:val="none" w:sz="0" w:space="0" w:color="auto"/>
        <w:left w:val="none" w:sz="0" w:space="0" w:color="auto"/>
        <w:bottom w:val="none" w:sz="0" w:space="0" w:color="auto"/>
        <w:right w:val="none" w:sz="0" w:space="0" w:color="auto"/>
      </w:divBdr>
    </w:div>
    <w:div w:id="594901680">
      <w:bodyDiv w:val="1"/>
      <w:marLeft w:val="0"/>
      <w:marRight w:val="0"/>
      <w:marTop w:val="0"/>
      <w:marBottom w:val="0"/>
      <w:divBdr>
        <w:top w:val="none" w:sz="0" w:space="0" w:color="auto"/>
        <w:left w:val="none" w:sz="0" w:space="0" w:color="auto"/>
        <w:bottom w:val="none" w:sz="0" w:space="0" w:color="auto"/>
        <w:right w:val="none" w:sz="0" w:space="0" w:color="auto"/>
      </w:divBdr>
    </w:div>
    <w:div w:id="595022417">
      <w:bodyDiv w:val="1"/>
      <w:marLeft w:val="0"/>
      <w:marRight w:val="0"/>
      <w:marTop w:val="0"/>
      <w:marBottom w:val="0"/>
      <w:divBdr>
        <w:top w:val="none" w:sz="0" w:space="0" w:color="auto"/>
        <w:left w:val="none" w:sz="0" w:space="0" w:color="auto"/>
        <w:bottom w:val="none" w:sz="0" w:space="0" w:color="auto"/>
        <w:right w:val="none" w:sz="0" w:space="0" w:color="auto"/>
      </w:divBdr>
    </w:div>
    <w:div w:id="597373660">
      <w:bodyDiv w:val="1"/>
      <w:marLeft w:val="0"/>
      <w:marRight w:val="0"/>
      <w:marTop w:val="0"/>
      <w:marBottom w:val="0"/>
      <w:divBdr>
        <w:top w:val="none" w:sz="0" w:space="0" w:color="auto"/>
        <w:left w:val="none" w:sz="0" w:space="0" w:color="auto"/>
        <w:bottom w:val="none" w:sz="0" w:space="0" w:color="auto"/>
        <w:right w:val="none" w:sz="0" w:space="0" w:color="auto"/>
      </w:divBdr>
    </w:div>
    <w:div w:id="598484266">
      <w:bodyDiv w:val="1"/>
      <w:marLeft w:val="0"/>
      <w:marRight w:val="0"/>
      <w:marTop w:val="0"/>
      <w:marBottom w:val="0"/>
      <w:divBdr>
        <w:top w:val="none" w:sz="0" w:space="0" w:color="auto"/>
        <w:left w:val="none" w:sz="0" w:space="0" w:color="auto"/>
        <w:bottom w:val="none" w:sz="0" w:space="0" w:color="auto"/>
        <w:right w:val="none" w:sz="0" w:space="0" w:color="auto"/>
      </w:divBdr>
    </w:div>
    <w:div w:id="600721464">
      <w:bodyDiv w:val="1"/>
      <w:marLeft w:val="0"/>
      <w:marRight w:val="0"/>
      <w:marTop w:val="0"/>
      <w:marBottom w:val="0"/>
      <w:divBdr>
        <w:top w:val="none" w:sz="0" w:space="0" w:color="auto"/>
        <w:left w:val="none" w:sz="0" w:space="0" w:color="auto"/>
        <w:bottom w:val="none" w:sz="0" w:space="0" w:color="auto"/>
        <w:right w:val="none" w:sz="0" w:space="0" w:color="auto"/>
      </w:divBdr>
    </w:div>
    <w:div w:id="600992612">
      <w:bodyDiv w:val="1"/>
      <w:marLeft w:val="0"/>
      <w:marRight w:val="0"/>
      <w:marTop w:val="0"/>
      <w:marBottom w:val="0"/>
      <w:divBdr>
        <w:top w:val="none" w:sz="0" w:space="0" w:color="auto"/>
        <w:left w:val="none" w:sz="0" w:space="0" w:color="auto"/>
        <w:bottom w:val="none" w:sz="0" w:space="0" w:color="auto"/>
        <w:right w:val="none" w:sz="0" w:space="0" w:color="auto"/>
      </w:divBdr>
    </w:div>
    <w:div w:id="605308883">
      <w:bodyDiv w:val="1"/>
      <w:marLeft w:val="0"/>
      <w:marRight w:val="0"/>
      <w:marTop w:val="0"/>
      <w:marBottom w:val="0"/>
      <w:divBdr>
        <w:top w:val="none" w:sz="0" w:space="0" w:color="auto"/>
        <w:left w:val="none" w:sz="0" w:space="0" w:color="auto"/>
        <w:bottom w:val="none" w:sz="0" w:space="0" w:color="auto"/>
        <w:right w:val="none" w:sz="0" w:space="0" w:color="auto"/>
      </w:divBdr>
    </w:div>
    <w:div w:id="607398177">
      <w:bodyDiv w:val="1"/>
      <w:marLeft w:val="0"/>
      <w:marRight w:val="0"/>
      <w:marTop w:val="0"/>
      <w:marBottom w:val="0"/>
      <w:divBdr>
        <w:top w:val="none" w:sz="0" w:space="0" w:color="auto"/>
        <w:left w:val="none" w:sz="0" w:space="0" w:color="auto"/>
        <w:bottom w:val="none" w:sz="0" w:space="0" w:color="auto"/>
        <w:right w:val="none" w:sz="0" w:space="0" w:color="auto"/>
      </w:divBdr>
    </w:div>
    <w:div w:id="607470730">
      <w:bodyDiv w:val="1"/>
      <w:marLeft w:val="0"/>
      <w:marRight w:val="0"/>
      <w:marTop w:val="0"/>
      <w:marBottom w:val="0"/>
      <w:divBdr>
        <w:top w:val="none" w:sz="0" w:space="0" w:color="auto"/>
        <w:left w:val="none" w:sz="0" w:space="0" w:color="auto"/>
        <w:bottom w:val="none" w:sz="0" w:space="0" w:color="auto"/>
        <w:right w:val="none" w:sz="0" w:space="0" w:color="auto"/>
      </w:divBdr>
    </w:div>
    <w:div w:id="609706165">
      <w:bodyDiv w:val="1"/>
      <w:marLeft w:val="0"/>
      <w:marRight w:val="0"/>
      <w:marTop w:val="0"/>
      <w:marBottom w:val="0"/>
      <w:divBdr>
        <w:top w:val="none" w:sz="0" w:space="0" w:color="auto"/>
        <w:left w:val="none" w:sz="0" w:space="0" w:color="auto"/>
        <w:bottom w:val="none" w:sz="0" w:space="0" w:color="auto"/>
        <w:right w:val="none" w:sz="0" w:space="0" w:color="auto"/>
      </w:divBdr>
    </w:div>
    <w:div w:id="612395498">
      <w:bodyDiv w:val="1"/>
      <w:marLeft w:val="0"/>
      <w:marRight w:val="0"/>
      <w:marTop w:val="0"/>
      <w:marBottom w:val="0"/>
      <w:divBdr>
        <w:top w:val="none" w:sz="0" w:space="0" w:color="auto"/>
        <w:left w:val="none" w:sz="0" w:space="0" w:color="auto"/>
        <w:bottom w:val="none" w:sz="0" w:space="0" w:color="auto"/>
        <w:right w:val="none" w:sz="0" w:space="0" w:color="auto"/>
      </w:divBdr>
    </w:div>
    <w:div w:id="615673590">
      <w:bodyDiv w:val="1"/>
      <w:marLeft w:val="0"/>
      <w:marRight w:val="0"/>
      <w:marTop w:val="0"/>
      <w:marBottom w:val="0"/>
      <w:divBdr>
        <w:top w:val="none" w:sz="0" w:space="0" w:color="auto"/>
        <w:left w:val="none" w:sz="0" w:space="0" w:color="auto"/>
        <w:bottom w:val="none" w:sz="0" w:space="0" w:color="auto"/>
        <w:right w:val="none" w:sz="0" w:space="0" w:color="auto"/>
      </w:divBdr>
    </w:div>
    <w:div w:id="615909411">
      <w:bodyDiv w:val="1"/>
      <w:marLeft w:val="0"/>
      <w:marRight w:val="0"/>
      <w:marTop w:val="0"/>
      <w:marBottom w:val="0"/>
      <w:divBdr>
        <w:top w:val="none" w:sz="0" w:space="0" w:color="auto"/>
        <w:left w:val="none" w:sz="0" w:space="0" w:color="auto"/>
        <w:bottom w:val="none" w:sz="0" w:space="0" w:color="auto"/>
        <w:right w:val="none" w:sz="0" w:space="0" w:color="auto"/>
      </w:divBdr>
    </w:div>
    <w:div w:id="616065318">
      <w:bodyDiv w:val="1"/>
      <w:marLeft w:val="0"/>
      <w:marRight w:val="0"/>
      <w:marTop w:val="0"/>
      <w:marBottom w:val="0"/>
      <w:divBdr>
        <w:top w:val="none" w:sz="0" w:space="0" w:color="auto"/>
        <w:left w:val="none" w:sz="0" w:space="0" w:color="auto"/>
        <w:bottom w:val="none" w:sz="0" w:space="0" w:color="auto"/>
        <w:right w:val="none" w:sz="0" w:space="0" w:color="auto"/>
      </w:divBdr>
    </w:div>
    <w:div w:id="616566603">
      <w:bodyDiv w:val="1"/>
      <w:marLeft w:val="0"/>
      <w:marRight w:val="0"/>
      <w:marTop w:val="0"/>
      <w:marBottom w:val="0"/>
      <w:divBdr>
        <w:top w:val="none" w:sz="0" w:space="0" w:color="auto"/>
        <w:left w:val="none" w:sz="0" w:space="0" w:color="auto"/>
        <w:bottom w:val="none" w:sz="0" w:space="0" w:color="auto"/>
        <w:right w:val="none" w:sz="0" w:space="0" w:color="auto"/>
      </w:divBdr>
    </w:div>
    <w:div w:id="616715722">
      <w:bodyDiv w:val="1"/>
      <w:marLeft w:val="0"/>
      <w:marRight w:val="0"/>
      <w:marTop w:val="0"/>
      <w:marBottom w:val="0"/>
      <w:divBdr>
        <w:top w:val="none" w:sz="0" w:space="0" w:color="auto"/>
        <w:left w:val="none" w:sz="0" w:space="0" w:color="auto"/>
        <w:bottom w:val="none" w:sz="0" w:space="0" w:color="auto"/>
        <w:right w:val="none" w:sz="0" w:space="0" w:color="auto"/>
      </w:divBdr>
    </w:div>
    <w:div w:id="616912065">
      <w:bodyDiv w:val="1"/>
      <w:marLeft w:val="0"/>
      <w:marRight w:val="0"/>
      <w:marTop w:val="0"/>
      <w:marBottom w:val="0"/>
      <w:divBdr>
        <w:top w:val="none" w:sz="0" w:space="0" w:color="auto"/>
        <w:left w:val="none" w:sz="0" w:space="0" w:color="auto"/>
        <w:bottom w:val="none" w:sz="0" w:space="0" w:color="auto"/>
        <w:right w:val="none" w:sz="0" w:space="0" w:color="auto"/>
      </w:divBdr>
    </w:div>
    <w:div w:id="617637862">
      <w:bodyDiv w:val="1"/>
      <w:marLeft w:val="0"/>
      <w:marRight w:val="0"/>
      <w:marTop w:val="0"/>
      <w:marBottom w:val="0"/>
      <w:divBdr>
        <w:top w:val="none" w:sz="0" w:space="0" w:color="auto"/>
        <w:left w:val="none" w:sz="0" w:space="0" w:color="auto"/>
        <w:bottom w:val="none" w:sz="0" w:space="0" w:color="auto"/>
        <w:right w:val="none" w:sz="0" w:space="0" w:color="auto"/>
      </w:divBdr>
    </w:div>
    <w:div w:id="622079129">
      <w:bodyDiv w:val="1"/>
      <w:marLeft w:val="0"/>
      <w:marRight w:val="0"/>
      <w:marTop w:val="0"/>
      <w:marBottom w:val="0"/>
      <w:divBdr>
        <w:top w:val="none" w:sz="0" w:space="0" w:color="auto"/>
        <w:left w:val="none" w:sz="0" w:space="0" w:color="auto"/>
        <w:bottom w:val="none" w:sz="0" w:space="0" w:color="auto"/>
        <w:right w:val="none" w:sz="0" w:space="0" w:color="auto"/>
      </w:divBdr>
    </w:div>
    <w:div w:id="622156346">
      <w:bodyDiv w:val="1"/>
      <w:marLeft w:val="0"/>
      <w:marRight w:val="0"/>
      <w:marTop w:val="0"/>
      <w:marBottom w:val="0"/>
      <w:divBdr>
        <w:top w:val="none" w:sz="0" w:space="0" w:color="auto"/>
        <w:left w:val="none" w:sz="0" w:space="0" w:color="auto"/>
        <w:bottom w:val="none" w:sz="0" w:space="0" w:color="auto"/>
        <w:right w:val="none" w:sz="0" w:space="0" w:color="auto"/>
      </w:divBdr>
    </w:div>
    <w:div w:id="624044370">
      <w:bodyDiv w:val="1"/>
      <w:marLeft w:val="0"/>
      <w:marRight w:val="0"/>
      <w:marTop w:val="0"/>
      <w:marBottom w:val="0"/>
      <w:divBdr>
        <w:top w:val="none" w:sz="0" w:space="0" w:color="auto"/>
        <w:left w:val="none" w:sz="0" w:space="0" w:color="auto"/>
        <w:bottom w:val="none" w:sz="0" w:space="0" w:color="auto"/>
        <w:right w:val="none" w:sz="0" w:space="0" w:color="auto"/>
      </w:divBdr>
    </w:div>
    <w:div w:id="624387705">
      <w:bodyDiv w:val="1"/>
      <w:marLeft w:val="0"/>
      <w:marRight w:val="0"/>
      <w:marTop w:val="0"/>
      <w:marBottom w:val="0"/>
      <w:divBdr>
        <w:top w:val="none" w:sz="0" w:space="0" w:color="auto"/>
        <w:left w:val="none" w:sz="0" w:space="0" w:color="auto"/>
        <w:bottom w:val="none" w:sz="0" w:space="0" w:color="auto"/>
        <w:right w:val="none" w:sz="0" w:space="0" w:color="auto"/>
      </w:divBdr>
    </w:div>
    <w:div w:id="624846322">
      <w:bodyDiv w:val="1"/>
      <w:marLeft w:val="0"/>
      <w:marRight w:val="0"/>
      <w:marTop w:val="0"/>
      <w:marBottom w:val="0"/>
      <w:divBdr>
        <w:top w:val="none" w:sz="0" w:space="0" w:color="auto"/>
        <w:left w:val="none" w:sz="0" w:space="0" w:color="auto"/>
        <w:bottom w:val="none" w:sz="0" w:space="0" w:color="auto"/>
        <w:right w:val="none" w:sz="0" w:space="0" w:color="auto"/>
      </w:divBdr>
    </w:div>
    <w:div w:id="625113938">
      <w:bodyDiv w:val="1"/>
      <w:marLeft w:val="0"/>
      <w:marRight w:val="0"/>
      <w:marTop w:val="0"/>
      <w:marBottom w:val="0"/>
      <w:divBdr>
        <w:top w:val="none" w:sz="0" w:space="0" w:color="auto"/>
        <w:left w:val="none" w:sz="0" w:space="0" w:color="auto"/>
        <w:bottom w:val="none" w:sz="0" w:space="0" w:color="auto"/>
        <w:right w:val="none" w:sz="0" w:space="0" w:color="auto"/>
      </w:divBdr>
    </w:div>
    <w:div w:id="626590589">
      <w:bodyDiv w:val="1"/>
      <w:marLeft w:val="0"/>
      <w:marRight w:val="0"/>
      <w:marTop w:val="0"/>
      <w:marBottom w:val="0"/>
      <w:divBdr>
        <w:top w:val="none" w:sz="0" w:space="0" w:color="auto"/>
        <w:left w:val="none" w:sz="0" w:space="0" w:color="auto"/>
        <w:bottom w:val="none" w:sz="0" w:space="0" w:color="auto"/>
        <w:right w:val="none" w:sz="0" w:space="0" w:color="auto"/>
      </w:divBdr>
    </w:div>
    <w:div w:id="626662327">
      <w:bodyDiv w:val="1"/>
      <w:marLeft w:val="0"/>
      <w:marRight w:val="0"/>
      <w:marTop w:val="0"/>
      <w:marBottom w:val="0"/>
      <w:divBdr>
        <w:top w:val="none" w:sz="0" w:space="0" w:color="auto"/>
        <w:left w:val="none" w:sz="0" w:space="0" w:color="auto"/>
        <w:bottom w:val="none" w:sz="0" w:space="0" w:color="auto"/>
        <w:right w:val="none" w:sz="0" w:space="0" w:color="auto"/>
      </w:divBdr>
    </w:div>
    <w:div w:id="626743902">
      <w:bodyDiv w:val="1"/>
      <w:marLeft w:val="0"/>
      <w:marRight w:val="0"/>
      <w:marTop w:val="0"/>
      <w:marBottom w:val="0"/>
      <w:divBdr>
        <w:top w:val="none" w:sz="0" w:space="0" w:color="auto"/>
        <w:left w:val="none" w:sz="0" w:space="0" w:color="auto"/>
        <w:bottom w:val="none" w:sz="0" w:space="0" w:color="auto"/>
        <w:right w:val="none" w:sz="0" w:space="0" w:color="auto"/>
      </w:divBdr>
    </w:div>
    <w:div w:id="626815452">
      <w:bodyDiv w:val="1"/>
      <w:marLeft w:val="0"/>
      <w:marRight w:val="0"/>
      <w:marTop w:val="0"/>
      <w:marBottom w:val="0"/>
      <w:divBdr>
        <w:top w:val="none" w:sz="0" w:space="0" w:color="auto"/>
        <w:left w:val="none" w:sz="0" w:space="0" w:color="auto"/>
        <w:bottom w:val="none" w:sz="0" w:space="0" w:color="auto"/>
        <w:right w:val="none" w:sz="0" w:space="0" w:color="auto"/>
      </w:divBdr>
    </w:div>
    <w:div w:id="629163538">
      <w:bodyDiv w:val="1"/>
      <w:marLeft w:val="0"/>
      <w:marRight w:val="0"/>
      <w:marTop w:val="0"/>
      <w:marBottom w:val="0"/>
      <w:divBdr>
        <w:top w:val="none" w:sz="0" w:space="0" w:color="auto"/>
        <w:left w:val="none" w:sz="0" w:space="0" w:color="auto"/>
        <w:bottom w:val="none" w:sz="0" w:space="0" w:color="auto"/>
        <w:right w:val="none" w:sz="0" w:space="0" w:color="auto"/>
      </w:divBdr>
    </w:div>
    <w:div w:id="629361557">
      <w:bodyDiv w:val="1"/>
      <w:marLeft w:val="0"/>
      <w:marRight w:val="0"/>
      <w:marTop w:val="0"/>
      <w:marBottom w:val="0"/>
      <w:divBdr>
        <w:top w:val="none" w:sz="0" w:space="0" w:color="auto"/>
        <w:left w:val="none" w:sz="0" w:space="0" w:color="auto"/>
        <w:bottom w:val="none" w:sz="0" w:space="0" w:color="auto"/>
        <w:right w:val="none" w:sz="0" w:space="0" w:color="auto"/>
      </w:divBdr>
    </w:div>
    <w:div w:id="629676935">
      <w:bodyDiv w:val="1"/>
      <w:marLeft w:val="0"/>
      <w:marRight w:val="0"/>
      <w:marTop w:val="0"/>
      <w:marBottom w:val="0"/>
      <w:divBdr>
        <w:top w:val="none" w:sz="0" w:space="0" w:color="auto"/>
        <w:left w:val="none" w:sz="0" w:space="0" w:color="auto"/>
        <w:bottom w:val="none" w:sz="0" w:space="0" w:color="auto"/>
        <w:right w:val="none" w:sz="0" w:space="0" w:color="auto"/>
      </w:divBdr>
    </w:div>
    <w:div w:id="630474917">
      <w:bodyDiv w:val="1"/>
      <w:marLeft w:val="0"/>
      <w:marRight w:val="0"/>
      <w:marTop w:val="0"/>
      <w:marBottom w:val="0"/>
      <w:divBdr>
        <w:top w:val="none" w:sz="0" w:space="0" w:color="auto"/>
        <w:left w:val="none" w:sz="0" w:space="0" w:color="auto"/>
        <w:bottom w:val="none" w:sz="0" w:space="0" w:color="auto"/>
        <w:right w:val="none" w:sz="0" w:space="0" w:color="auto"/>
      </w:divBdr>
    </w:div>
    <w:div w:id="634338805">
      <w:bodyDiv w:val="1"/>
      <w:marLeft w:val="0"/>
      <w:marRight w:val="0"/>
      <w:marTop w:val="0"/>
      <w:marBottom w:val="0"/>
      <w:divBdr>
        <w:top w:val="none" w:sz="0" w:space="0" w:color="auto"/>
        <w:left w:val="none" w:sz="0" w:space="0" w:color="auto"/>
        <w:bottom w:val="none" w:sz="0" w:space="0" w:color="auto"/>
        <w:right w:val="none" w:sz="0" w:space="0" w:color="auto"/>
      </w:divBdr>
    </w:div>
    <w:div w:id="635381507">
      <w:bodyDiv w:val="1"/>
      <w:marLeft w:val="0"/>
      <w:marRight w:val="0"/>
      <w:marTop w:val="0"/>
      <w:marBottom w:val="0"/>
      <w:divBdr>
        <w:top w:val="none" w:sz="0" w:space="0" w:color="auto"/>
        <w:left w:val="none" w:sz="0" w:space="0" w:color="auto"/>
        <w:bottom w:val="none" w:sz="0" w:space="0" w:color="auto"/>
        <w:right w:val="none" w:sz="0" w:space="0" w:color="auto"/>
      </w:divBdr>
    </w:div>
    <w:div w:id="637882147">
      <w:bodyDiv w:val="1"/>
      <w:marLeft w:val="0"/>
      <w:marRight w:val="0"/>
      <w:marTop w:val="0"/>
      <w:marBottom w:val="0"/>
      <w:divBdr>
        <w:top w:val="none" w:sz="0" w:space="0" w:color="auto"/>
        <w:left w:val="none" w:sz="0" w:space="0" w:color="auto"/>
        <w:bottom w:val="none" w:sz="0" w:space="0" w:color="auto"/>
        <w:right w:val="none" w:sz="0" w:space="0" w:color="auto"/>
      </w:divBdr>
    </w:div>
    <w:div w:id="638195120">
      <w:bodyDiv w:val="1"/>
      <w:marLeft w:val="0"/>
      <w:marRight w:val="0"/>
      <w:marTop w:val="0"/>
      <w:marBottom w:val="0"/>
      <w:divBdr>
        <w:top w:val="none" w:sz="0" w:space="0" w:color="auto"/>
        <w:left w:val="none" w:sz="0" w:space="0" w:color="auto"/>
        <w:bottom w:val="none" w:sz="0" w:space="0" w:color="auto"/>
        <w:right w:val="none" w:sz="0" w:space="0" w:color="auto"/>
      </w:divBdr>
    </w:div>
    <w:div w:id="638458375">
      <w:bodyDiv w:val="1"/>
      <w:marLeft w:val="0"/>
      <w:marRight w:val="0"/>
      <w:marTop w:val="0"/>
      <w:marBottom w:val="0"/>
      <w:divBdr>
        <w:top w:val="none" w:sz="0" w:space="0" w:color="auto"/>
        <w:left w:val="none" w:sz="0" w:space="0" w:color="auto"/>
        <w:bottom w:val="none" w:sz="0" w:space="0" w:color="auto"/>
        <w:right w:val="none" w:sz="0" w:space="0" w:color="auto"/>
      </w:divBdr>
    </w:div>
    <w:div w:id="639506599">
      <w:bodyDiv w:val="1"/>
      <w:marLeft w:val="0"/>
      <w:marRight w:val="0"/>
      <w:marTop w:val="0"/>
      <w:marBottom w:val="0"/>
      <w:divBdr>
        <w:top w:val="none" w:sz="0" w:space="0" w:color="auto"/>
        <w:left w:val="none" w:sz="0" w:space="0" w:color="auto"/>
        <w:bottom w:val="none" w:sz="0" w:space="0" w:color="auto"/>
        <w:right w:val="none" w:sz="0" w:space="0" w:color="auto"/>
      </w:divBdr>
    </w:div>
    <w:div w:id="640037596">
      <w:bodyDiv w:val="1"/>
      <w:marLeft w:val="0"/>
      <w:marRight w:val="0"/>
      <w:marTop w:val="0"/>
      <w:marBottom w:val="0"/>
      <w:divBdr>
        <w:top w:val="none" w:sz="0" w:space="0" w:color="auto"/>
        <w:left w:val="none" w:sz="0" w:space="0" w:color="auto"/>
        <w:bottom w:val="none" w:sz="0" w:space="0" w:color="auto"/>
        <w:right w:val="none" w:sz="0" w:space="0" w:color="auto"/>
      </w:divBdr>
    </w:div>
    <w:div w:id="640229812">
      <w:bodyDiv w:val="1"/>
      <w:marLeft w:val="0"/>
      <w:marRight w:val="0"/>
      <w:marTop w:val="0"/>
      <w:marBottom w:val="0"/>
      <w:divBdr>
        <w:top w:val="none" w:sz="0" w:space="0" w:color="auto"/>
        <w:left w:val="none" w:sz="0" w:space="0" w:color="auto"/>
        <w:bottom w:val="none" w:sz="0" w:space="0" w:color="auto"/>
        <w:right w:val="none" w:sz="0" w:space="0" w:color="auto"/>
      </w:divBdr>
    </w:div>
    <w:div w:id="640303597">
      <w:bodyDiv w:val="1"/>
      <w:marLeft w:val="0"/>
      <w:marRight w:val="0"/>
      <w:marTop w:val="0"/>
      <w:marBottom w:val="0"/>
      <w:divBdr>
        <w:top w:val="none" w:sz="0" w:space="0" w:color="auto"/>
        <w:left w:val="none" w:sz="0" w:space="0" w:color="auto"/>
        <w:bottom w:val="none" w:sz="0" w:space="0" w:color="auto"/>
        <w:right w:val="none" w:sz="0" w:space="0" w:color="auto"/>
      </w:divBdr>
    </w:div>
    <w:div w:id="640887814">
      <w:bodyDiv w:val="1"/>
      <w:marLeft w:val="0"/>
      <w:marRight w:val="0"/>
      <w:marTop w:val="0"/>
      <w:marBottom w:val="0"/>
      <w:divBdr>
        <w:top w:val="none" w:sz="0" w:space="0" w:color="auto"/>
        <w:left w:val="none" w:sz="0" w:space="0" w:color="auto"/>
        <w:bottom w:val="none" w:sz="0" w:space="0" w:color="auto"/>
        <w:right w:val="none" w:sz="0" w:space="0" w:color="auto"/>
      </w:divBdr>
    </w:div>
    <w:div w:id="641471479">
      <w:bodyDiv w:val="1"/>
      <w:marLeft w:val="0"/>
      <w:marRight w:val="0"/>
      <w:marTop w:val="0"/>
      <w:marBottom w:val="0"/>
      <w:divBdr>
        <w:top w:val="none" w:sz="0" w:space="0" w:color="auto"/>
        <w:left w:val="none" w:sz="0" w:space="0" w:color="auto"/>
        <w:bottom w:val="none" w:sz="0" w:space="0" w:color="auto"/>
        <w:right w:val="none" w:sz="0" w:space="0" w:color="auto"/>
      </w:divBdr>
    </w:div>
    <w:div w:id="642537529">
      <w:bodyDiv w:val="1"/>
      <w:marLeft w:val="0"/>
      <w:marRight w:val="0"/>
      <w:marTop w:val="0"/>
      <w:marBottom w:val="0"/>
      <w:divBdr>
        <w:top w:val="none" w:sz="0" w:space="0" w:color="auto"/>
        <w:left w:val="none" w:sz="0" w:space="0" w:color="auto"/>
        <w:bottom w:val="none" w:sz="0" w:space="0" w:color="auto"/>
        <w:right w:val="none" w:sz="0" w:space="0" w:color="auto"/>
      </w:divBdr>
    </w:div>
    <w:div w:id="643507083">
      <w:bodyDiv w:val="1"/>
      <w:marLeft w:val="0"/>
      <w:marRight w:val="0"/>
      <w:marTop w:val="0"/>
      <w:marBottom w:val="0"/>
      <w:divBdr>
        <w:top w:val="none" w:sz="0" w:space="0" w:color="auto"/>
        <w:left w:val="none" w:sz="0" w:space="0" w:color="auto"/>
        <w:bottom w:val="none" w:sz="0" w:space="0" w:color="auto"/>
        <w:right w:val="none" w:sz="0" w:space="0" w:color="auto"/>
      </w:divBdr>
    </w:div>
    <w:div w:id="645209349">
      <w:bodyDiv w:val="1"/>
      <w:marLeft w:val="0"/>
      <w:marRight w:val="0"/>
      <w:marTop w:val="0"/>
      <w:marBottom w:val="0"/>
      <w:divBdr>
        <w:top w:val="none" w:sz="0" w:space="0" w:color="auto"/>
        <w:left w:val="none" w:sz="0" w:space="0" w:color="auto"/>
        <w:bottom w:val="none" w:sz="0" w:space="0" w:color="auto"/>
        <w:right w:val="none" w:sz="0" w:space="0" w:color="auto"/>
      </w:divBdr>
    </w:div>
    <w:div w:id="648172373">
      <w:bodyDiv w:val="1"/>
      <w:marLeft w:val="0"/>
      <w:marRight w:val="0"/>
      <w:marTop w:val="0"/>
      <w:marBottom w:val="0"/>
      <w:divBdr>
        <w:top w:val="none" w:sz="0" w:space="0" w:color="auto"/>
        <w:left w:val="none" w:sz="0" w:space="0" w:color="auto"/>
        <w:bottom w:val="none" w:sz="0" w:space="0" w:color="auto"/>
        <w:right w:val="none" w:sz="0" w:space="0" w:color="auto"/>
      </w:divBdr>
    </w:div>
    <w:div w:id="648942008">
      <w:bodyDiv w:val="1"/>
      <w:marLeft w:val="0"/>
      <w:marRight w:val="0"/>
      <w:marTop w:val="0"/>
      <w:marBottom w:val="0"/>
      <w:divBdr>
        <w:top w:val="none" w:sz="0" w:space="0" w:color="auto"/>
        <w:left w:val="none" w:sz="0" w:space="0" w:color="auto"/>
        <w:bottom w:val="none" w:sz="0" w:space="0" w:color="auto"/>
        <w:right w:val="none" w:sz="0" w:space="0" w:color="auto"/>
      </w:divBdr>
    </w:div>
    <w:div w:id="649600587">
      <w:bodyDiv w:val="1"/>
      <w:marLeft w:val="0"/>
      <w:marRight w:val="0"/>
      <w:marTop w:val="0"/>
      <w:marBottom w:val="0"/>
      <w:divBdr>
        <w:top w:val="none" w:sz="0" w:space="0" w:color="auto"/>
        <w:left w:val="none" w:sz="0" w:space="0" w:color="auto"/>
        <w:bottom w:val="none" w:sz="0" w:space="0" w:color="auto"/>
        <w:right w:val="none" w:sz="0" w:space="0" w:color="auto"/>
      </w:divBdr>
    </w:div>
    <w:div w:id="649750794">
      <w:bodyDiv w:val="1"/>
      <w:marLeft w:val="0"/>
      <w:marRight w:val="0"/>
      <w:marTop w:val="0"/>
      <w:marBottom w:val="0"/>
      <w:divBdr>
        <w:top w:val="none" w:sz="0" w:space="0" w:color="auto"/>
        <w:left w:val="none" w:sz="0" w:space="0" w:color="auto"/>
        <w:bottom w:val="none" w:sz="0" w:space="0" w:color="auto"/>
        <w:right w:val="none" w:sz="0" w:space="0" w:color="auto"/>
      </w:divBdr>
    </w:div>
    <w:div w:id="650256785">
      <w:bodyDiv w:val="1"/>
      <w:marLeft w:val="0"/>
      <w:marRight w:val="0"/>
      <w:marTop w:val="0"/>
      <w:marBottom w:val="0"/>
      <w:divBdr>
        <w:top w:val="none" w:sz="0" w:space="0" w:color="auto"/>
        <w:left w:val="none" w:sz="0" w:space="0" w:color="auto"/>
        <w:bottom w:val="none" w:sz="0" w:space="0" w:color="auto"/>
        <w:right w:val="none" w:sz="0" w:space="0" w:color="auto"/>
      </w:divBdr>
    </w:div>
    <w:div w:id="651719575">
      <w:bodyDiv w:val="1"/>
      <w:marLeft w:val="0"/>
      <w:marRight w:val="0"/>
      <w:marTop w:val="0"/>
      <w:marBottom w:val="0"/>
      <w:divBdr>
        <w:top w:val="none" w:sz="0" w:space="0" w:color="auto"/>
        <w:left w:val="none" w:sz="0" w:space="0" w:color="auto"/>
        <w:bottom w:val="none" w:sz="0" w:space="0" w:color="auto"/>
        <w:right w:val="none" w:sz="0" w:space="0" w:color="auto"/>
      </w:divBdr>
    </w:div>
    <w:div w:id="651982242">
      <w:bodyDiv w:val="1"/>
      <w:marLeft w:val="0"/>
      <w:marRight w:val="0"/>
      <w:marTop w:val="0"/>
      <w:marBottom w:val="0"/>
      <w:divBdr>
        <w:top w:val="none" w:sz="0" w:space="0" w:color="auto"/>
        <w:left w:val="none" w:sz="0" w:space="0" w:color="auto"/>
        <w:bottom w:val="none" w:sz="0" w:space="0" w:color="auto"/>
        <w:right w:val="none" w:sz="0" w:space="0" w:color="auto"/>
      </w:divBdr>
    </w:div>
    <w:div w:id="654836976">
      <w:bodyDiv w:val="1"/>
      <w:marLeft w:val="0"/>
      <w:marRight w:val="0"/>
      <w:marTop w:val="0"/>
      <w:marBottom w:val="0"/>
      <w:divBdr>
        <w:top w:val="none" w:sz="0" w:space="0" w:color="auto"/>
        <w:left w:val="none" w:sz="0" w:space="0" w:color="auto"/>
        <w:bottom w:val="none" w:sz="0" w:space="0" w:color="auto"/>
        <w:right w:val="none" w:sz="0" w:space="0" w:color="auto"/>
      </w:divBdr>
    </w:div>
    <w:div w:id="654839651">
      <w:bodyDiv w:val="1"/>
      <w:marLeft w:val="0"/>
      <w:marRight w:val="0"/>
      <w:marTop w:val="0"/>
      <w:marBottom w:val="0"/>
      <w:divBdr>
        <w:top w:val="none" w:sz="0" w:space="0" w:color="auto"/>
        <w:left w:val="none" w:sz="0" w:space="0" w:color="auto"/>
        <w:bottom w:val="none" w:sz="0" w:space="0" w:color="auto"/>
        <w:right w:val="none" w:sz="0" w:space="0" w:color="auto"/>
      </w:divBdr>
    </w:div>
    <w:div w:id="654913867">
      <w:bodyDiv w:val="1"/>
      <w:marLeft w:val="0"/>
      <w:marRight w:val="0"/>
      <w:marTop w:val="0"/>
      <w:marBottom w:val="0"/>
      <w:divBdr>
        <w:top w:val="none" w:sz="0" w:space="0" w:color="auto"/>
        <w:left w:val="none" w:sz="0" w:space="0" w:color="auto"/>
        <w:bottom w:val="none" w:sz="0" w:space="0" w:color="auto"/>
        <w:right w:val="none" w:sz="0" w:space="0" w:color="auto"/>
      </w:divBdr>
    </w:div>
    <w:div w:id="655568822">
      <w:bodyDiv w:val="1"/>
      <w:marLeft w:val="0"/>
      <w:marRight w:val="0"/>
      <w:marTop w:val="0"/>
      <w:marBottom w:val="0"/>
      <w:divBdr>
        <w:top w:val="none" w:sz="0" w:space="0" w:color="auto"/>
        <w:left w:val="none" w:sz="0" w:space="0" w:color="auto"/>
        <w:bottom w:val="none" w:sz="0" w:space="0" w:color="auto"/>
        <w:right w:val="none" w:sz="0" w:space="0" w:color="auto"/>
      </w:divBdr>
    </w:div>
    <w:div w:id="659120856">
      <w:bodyDiv w:val="1"/>
      <w:marLeft w:val="0"/>
      <w:marRight w:val="0"/>
      <w:marTop w:val="0"/>
      <w:marBottom w:val="0"/>
      <w:divBdr>
        <w:top w:val="none" w:sz="0" w:space="0" w:color="auto"/>
        <w:left w:val="none" w:sz="0" w:space="0" w:color="auto"/>
        <w:bottom w:val="none" w:sz="0" w:space="0" w:color="auto"/>
        <w:right w:val="none" w:sz="0" w:space="0" w:color="auto"/>
      </w:divBdr>
    </w:div>
    <w:div w:id="660231390">
      <w:bodyDiv w:val="1"/>
      <w:marLeft w:val="0"/>
      <w:marRight w:val="0"/>
      <w:marTop w:val="0"/>
      <w:marBottom w:val="0"/>
      <w:divBdr>
        <w:top w:val="none" w:sz="0" w:space="0" w:color="auto"/>
        <w:left w:val="none" w:sz="0" w:space="0" w:color="auto"/>
        <w:bottom w:val="none" w:sz="0" w:space="0" w:color="auto"/>
        <w:right w:val="none" w:sz="0" w:space="0" w:color="auto"/>
      </w:divBdr>
    </w:div>
    <w:div w:id="660349562">
      <w:bodyDiv w:val="1"/>
      <w:marLeft w:val="0"/>
      <w:marRight w:val="0"/>
      <w:marTop w:val="0"/>
      <w:marBottom w:val="0"/>
      <w:divBdr>
        <w:top w:val="none" w:sz="0" w:space="0" w:color="auto"/>
        <w:left w:val="none" w:sz="0" w:space="0" w:color="auto"/>
        <w:bottom w:val="none" w:sz="0" w:space="0" w:color="auto"/>
        <w:right w:val="none" w:sz="0" w:space="0" w:color="auto"/>
      </w:divBdr>
    </w:div>
    <w:div w:id="662243758">
      <w:bodyDiv w:val="1"/>
      <w:marLeft w:val="0"/>
      <w:marRight w:val="0"/>
      <w:marTop w:val="0"/>
      <w:marBottom w:val="0"/>
      <w:divBdr>
        <w:top w:val="none" w:sz="0" w:space="0" w:color="auto"/>
        <w:left w:val="none" w:sz="0" w:space="0" w:color="auto"/>
        <w:bottom w:val="none" w:sz="0" w:space="0" w:color="auto"/>
        <w:right w:val="none" w:sz="0" w:space="0" w:color="auto"/>
      </w:divBdr>
    </w:div>
    <w:div w:id="664548090">
      <w:bodyDiv w:val="1"/>
      <w:marLeft w:val="0"/>
      <w:marRight w:val="0"/>
      <w:marTop w:val="0"/>
      <w:marBottom w:val="0"/>
      <w:divBdr>
        <w:top w:val="none" w:sz="0" w:space="0" w:color="auto"/>
        <w:left w:val="none" w:sz="0" w:space="0" w:color="auto"/>
        <w:bottom w:val="none" w:sz="0" w:space="0" w:color="auto"/>
        <w:right w:val="none" w:sz="0" w:space="0" w:color="auto"/>
      </w:divBdr>
    </w:div>
    <w:div w:id="666640557">
      <w:bodyDiv w:val="1"/>
      <w:marLeft w:val="0"/>
      <w:marRight w:val="0"/>
      <w:marTop w:val="0"/>
      <w:marBottom w:val="0"/>
      <w:divBdr>
        <w:top w:val="none" w:sz="0" w:space="0" w:color="auto"/>
        <w:left w:val="none" w:sz="0" w:space="0" w:color="auto"/>
        <w:bottom w:val="none" w:sz="0" w:space="0" w:color="auto"/>
        <w:right w:val="none" w:sz="0" w:space="0" w:color="auto"/>
      </w:divBdr>
    </w:div>
    <w:div w:id="667178166">
      <w:bodyDiv w:val="1"/>
      <w:marLeft w:val="0"/>
      <w:marRight w:val="0"/>
      <w:marTop w:val="0"/>
      <w:marBottom w:val="0"/>
      <w:divBdr>
        <w:top w:val="none" w:sz="0" w:space="0" w:color="auto"/>
        <w:left w:val="none" w:sz="0" w:space="0" w:color="auto"/>
        <w:bottom w:val="none" w:sz="0" w:space="0" w:color="auto"/>
        <w:right w:val="none" w:sz="0" w:space="0" w:color="auto"/>
      </w:divBdr>
    </w:div>
    <w:div w:id="667902878">
      <w:bodyDiv w:val="1"/>
      <w:marLeft w:val="0"/>
      <w:marRight w:val="0"/>
      <w:marTop w:val="0"/>
      <w:marBottom w:val="0"/>
      <w:divBdr>
        <w:top w:val="none" w:sz="0" w:space="0" w:color="auto"/>
        <w:left w:val="none" w:sz="0" w:space="0" w:color="auto"/>
        <w:bottom w:val="none" w:sz="0" w:space="0" w:color="auto"/>
        <w:right w:val="none" w:sz="0" w:space="0" w:color="auto"/>
      </w:divBdr>
    </w:div>
    <w:div w:id="669064423">
      <w:bodyDiv w:val="1"/>
      <w:marLeft w:val="0"/>
      <w:marRight w:val="0"/>
      <w:marTop w:val="0"/>
      <w:marBottom w:val="0"/>
      <w:divBdr>
        <w:top w:val="none" w:sz="0" w:space="0" w:color="auto"/>
        <w:left w:val="none" w:sz="0" w:space="0" w:color="auto"/>
        <w:bottom w:val="none" w:sz="0" w:space="0" w:color="auto"/>
        <w:right w:val="none" w:sz="0" w:space="0" w:color="auto"/>
      </w:divBdr>
    </w:div>
    <w:div w:id="669211498">
      <w:bodyDiv w:val="1"/>
      <w:marLeft w:val="0"/>
      <w:marRight w:val="0"/>
      <w:marTop w:val="0"/>
      <w:marBottom w:val="0"/>
      <w:divBdr>
        <w:top w:val="none" w:sz="0" w:space="0" w:color="auto"/>
        <w:left w:val="none" w:sz="0" w:space="0" w:color="auto"/>
        <w:bottom w:val="none" w:sz="0" w:space="0" w:color="auto"/>
        <w:right w:val="none" w:sz="0" w:space="0" w:color="auto"/>
      </w:divBdr>
    </w:div>
    <w:div w:id="669217678">
      <w:bodyDiv w:val="1"/>
      <w:marLeft w:val="0"/>
      <w:marRight w:val="0"/>
      <w:marTop w:val="0"/>
      <w:marBottom w:val="0"/>
      <w:divBdr>
        <w:top w:val="none" w:sz="0" w:space="0" w:color="auto"/>
        <w:left w:val="none" w:sz="0" w:space="0" w:color="auto"/>
        <w:bottom w:val="none" w:sz="0" w:space="0" w:color="auto"/>
        <w:right w:val="none" w:sz="0" w:space="0" w:color="auto"/>
      </w:divBdr>
    </w:div>
    <w:div w:id="671841034">
      <w:bodyDiv w:val="1"/>
      <w:marLeft w:val="0"/>
      <w:marRight w:val="0"/>
      <w:marTop w:val="0"/>
      <w:marBottom w:val="0"/>
      <w:divBdr>
        <w:top w:val="none" w:sz="0" w:space="0" w:color="auto"/>
        <w:left w:val="none" w:sz="0" w:space="0" w:color="auto"/>
        <w:bottom w:val="none" w:sz="0" w:space="0" w:color="auto"/>
        <w:right w:val="none" w:sz="0" w:space="0" w:color="auto"/>
      </w:divBdr>
    </w:div>
    <w:div w:id="676152092">
      <w:bodyDiv w:val="1"/>
      <w:marLeft w:val="0"/>
      <w:marRight w:val="0"/>
      <w:marTop w:val="0"/>
      <w:marBottom w:val="0"/>
      <w:divBdr>
        <w:top w:val="none" w:sz="0" w:space="0" w:color="auto"/>
        <w:left w:val="none" w:sz="0" w:space="0" w:color="auto"/>
        <w:bottom w:val="none" w:sz="0" w:space="0" w:color="auto"/>
        <w:right w:val="none" w:sz="0" w:space="0" w:color="auto"/>
      </w:divBdr>
    </w:div>
    <w:div w:id="677586677">
      <w:bodyDiv w:val="1"/>
      <w:marLeft w:val="0"/>
      <w:marRight w:val="0"/>
      <w:marTop w:val="0"/>
      <w:marBottom w:val="0"/>
      <w:divBdr>
        <w:top w:val="none" w:sz="0" w:space="0" w:color="auto"/>
        <w:left w:val="none" w:sz="0" w:space="0" w:color="auto"/>
        <w:bottom w:val="none" w:sz="0" w:space="0" w:color="auto"/>
        <w:right w:val="none" w:sz="0" w:space="0" w:color="auto"/>
      </w:divBdr>
    </w:div>
    <w:div w:id="677804467">
      <w:bodyDiv w:val="1"/>
      <w:marLeft w:val="0"/>
      <w:marRight w:val="0"/>
      <w:marTop w:val="0"/>
      <w:marBottom w:val="0"/>
      <w:divBdr>
        <w:top w:val="none" w:sz="0" w:space="0" w:color="auto"/>
        <w:left w:val="none" w:sz="0" w:space="0" w:color="auto"/>
        <w:bottom w:val="none" w:sz="0" w:space="0" w:color="auto"/>
        <w:right w:val="none" w:sz="0" w:space="0" w:color="auto"/>
      </w:divBdr>
    </w:div>
    <w:div w:id="679089964">
      <w:bodyDiv w:val="1"/>
      <w:marLeft w:val="0"/>
      <w:marRight w:val="0"/>
      <w:marTop w:val="0"/>
      <w:marBottom w:val="0"/>
      <w:divBdr>
        <w:top w:val="none" w:sz="0" w:space="0" w:color="auto"/>
        <w:left w:val="none" w:sz="0" w:space="0" w:color="auto"/>
        <w:bottom w:val="none" w:sz="0" w:space="0" w:color="auto"/>
        <w:right w:val="none" w:sz="0" w:space="0" w:color="auto"/>
      </w:divBdr>
    </w:div>
    <w:div w:id="679358080">
      <w:bodyDiv w:val="1"/>
      <w:marLeft w:val="0"/>
      <w:marRight w:val="0"/>
      <w:marTop w:val="0"/>
      <w:marBottom w:val="0"/>
      <w:divBdr>
        <w:top w:val="none" w:sz="0" w:space="0" w:color="auto"/>
        <w:left w:val="none" w:sz="0" w:space="0" w:color="auto"/>
        <w:bottom w:val="none" w:sz="0" w:space="0" w:color="auto"/>
        <w:right w:val="none" w:sz="0" w:space="0" w:color="auto"/>
      </w:divBdr>
    </w:div>
    <w:div w:id="680087785">
      <w:bodyDiv w:val="1"/>
      <w:marLeft w:val="0"/>
      <w:marRight w:val="0"/>
      <w:marTop w:val="0"/>
      <w:marBottom w:val="0"/>
      <w:divBdr>
        <w:top w:val="none" w:sz="0" w:space="0" w:color="auto"/>
        <w:left w:val="none" w:sz="0" w:space="0" w:color="auto"/>
        <w:bottom w:val="none" w:sz="0" w:space="0" w:color="auto"/>
        <w:right w:val="none" w:sz="0" w:space="0" w:color="auto"/>
      </w:divBdr>
    </w:div>
    <w:div w:id="680395112">
      <w:bodyDiv w:val="1"/>
      <w:marLeft w:val="0"/>
      <w:marRight w:val="0"/>
      <w:marTop w:val="0"/>
      <w:marBottom w:val="0"/>
      <w:divBdr>
        <w:top w:val="none" w:sz="0" w:space="0" w:color="auto"/>
        <w:left w:val="none" w:sz="0" w:space="0" w:color="auto"/>
        <w:bottom w:val="none" w:sz="0" w:space="0" w:color="auto"/>
        <w:right w:val="none" w:sz="0" w:space="0" w:color="auto"/>
      </w:divBdr>
    </w:div>
    <w:div w:id="681123087">
      <w:bodyDiv w:val="1"/>
      <w:marLeft w:val="0"/>
      <w:marRight w:val="0"/>
      <w:marTop w:val="0"/>
      <w:marBottom w:val="0"/>
      <w:divBdr>
        <w:top w:val="none" w:sz="0" w:space="0" w:color="auto"/>
        <w:left w:val="none" w:sz="0" w:space="0" w:color="auto"/>
        <w:bottom w:val="none" w:sz="0" w:space="0" w:color="auto"/>
        <w:right w:val="none" w:sz="0" w:space="0" w:color="auto"/>
      </w:divBdr>
    </w:div>
    <w:div w:id="682585634">
      <w:bodyDiv w:val="1"/>
      <w:marLeft w:val="0"/>
      <w:marRight w:val="0"/>
      <w:marTop w:val="0"/>
      <w:marBottom w:val="0"/>
      <w:divBdr>
        <w:top w:val="none" w:sz="0" w:space="0" w:color="auto"/>
        <w:left w:val="none" w:sz="0" w:space="0" w:color="auto"/>
        <w:bottom w:val="none" w:sz="0" w:space="0" w:color="auto"/>
        <w:right w:val="none" w:sz="0" w:space="0" w:color="auto"/>
      </w:divBdr>
    </w:div>
    <w:div w:id="682704126">
      <w:bodyDiv w:val="1"/>
      <w:marLeft w:val="0"/>
      <w:marRight w:val="0"/>
      <w:marTop w:val="0"/>
      <w:marBottom w:val="0"/>
      <w:divBdr>
        <w:top w:val="none" w:sz="0" w:space="0" w:color="auto"/>
        <w:left w:val="none" w:sz="0" w:space="0" w:color="auto"/>
        <w:bottom w:val="none" w:sz="0" w:space="0" w:color="auto"/>
        <w:right w:val="none" w:sz="0" w:space="0" w:color="auto"/>
      </w:divBdr>
    </w:div>
    <w:div w:id="682778114">
      <w:bodyDiv w:val="1"/>
      <w:marLeft w:val="0"/>
      <w:marRight w:val="0"/>
      <w:marTop w:val="0"/>
      <w:marBottom w:val="0"/>
      <w:divBdr>
        <w:top w:val="none" w:sz="0" w:space="0" w:color="auto"/>
        <w:left w:val="none" w:sz="0" w:space="0" w:color="auto"/>
        <w:bottom w:val="none" w:sz="0" w:space="0" w:color="auto"/>
        <w:right w:val="none" w:sz="0" w:space="0" w:color="auto"/>
      </w:divBdr>
    </w:div>
    <w:div w:id="684358650">
      <w:bodyDiv w:val="1"/>
      <w:marLeft w:val="0"/>
      <w:marRight w:val="0"/>
      <w:marTop w:val="0"/>
      <w:marBottom w:val="0"/>
      <w:divBdr>
        <w:top w:val="none" w:sz="0" w:space="0" w:color="auto"/>
        <w:left w:val="none" w:sz="0" w:space="0" w:color="auto"/>
        <w:bottom w:val="none" w:sz="0" w:space="0" w:color="auto"/>
        <w:right w:val="none" w:sz="0" w:space="0" w:color="auto"/>
      </w:divBdr>
    </w:div>
    <w:div w:id="684359193">
      <w:bodyDiv w:val="1"/>
      <w:marLeft w:val="0"/>
      <w:marRight w:val="0"/>
      <w:marTop w:val="0"/>
      <w:marBottom w:val="0"/>
      <w:divBdr>
        <w:top w:val="none" w:sz="0" w:space="0" w:color="auto"/>
        <w:left w:val="none" w:sz="0" w:space="0" w:color="auto"/>
        <w:bottom w:val="none" w:sz="0" w:space="0" w:color="auto"/>
        <w:right w:val="none" w:sz="0" w:space="0" w:color="auto"/>
      </w:divBdr>
    </w:div>
    <w:div w:id="685206393">
      <w:bodyDiv w:val="1"/>
      <w:marLeft w:val="0"/>
      <w:marRight w:val="0"/>
      <w:marTop w:val="0"/>
      <w:marBottom w:val="0"/>
      <w:divBdr>
        <w:top w:val="none" w:sz="0" w:space="0" w:color="auto"/>
        <w:left w:val="none" w:sz="0" w:space="0" w:color="auto"/>
        <w:bottom w:val="none" w:sz="0" w:space="0" w:color="auto"/>
        <w:right w:val="none" w:sz="0" w:space="0" w:color="auto"/>
      </w:divBdr>
    </w:div>
    <w:div w:id="688025344">
      <w:bodyDiv w:val="1"/>
      <w:marLeft w:val="0"/>
      <w:marRight w:val="0"/>
      <w:marTop w:val="0"/>
      <w:marBottom w:val="0"/>
      <w:divBdr>
        <w:top w:val="none" w:sz="0" w:space="0" w:color="auto"/>
        <w:left w:val="none" w:sz="0" w:space="0" w:color="auto"/>
        <w:bottom w:val="none" w:sz="0" w:space="0" w:color="auto"/>
        <w:right w:val="none" w:sz="0" w:space="0" w:color="auto"/>
      </w:divBdr>
    </w:div>
    <w:div w:id="688528328">
      <w:bodyDiv w:val="1"/>
      <w:marLeft w:val="0"/>
      <w:marRight w:val="0"/>
      <w:marTop w:val="0"/>
      <w:marBottom w:val="0"/>
      <w:divBdr>
        <w:top w:val="none" w:sz="0" w:space="0" w:color="auto"/>
        <w:left w:val="none" w:sz="0" w:space="0" w:color="auto"/>
        <w:bottom w:val="none" w:sz="0" w:space="0" w:color="auto"/>
        <w:right w:val="none" w:sz="0" w:space="0" w:color="auto"/>
      </w:divBdr>
    </w:div>
    <w:div w:id="692071556">
      <w:bodyDiv w:val="1"/>
      <w:marLeft w:val="0"/>
      <w:marRight w:val="0"/>
      <w:marTop w:val="0"/>
      <w:marBottom w:val="0"/>
      <w:divBdr>
        <w:top w:val="none" w:sz="0" w:space="0" w:color="auto"/>
        <w:left w:val="none" w:sz="0" w:space="0" w:color="auto"/>
        <w:bottom w:val="none" w:sz="0" w:space="0" w:color="auto"/>
        <w:right w:val="none" w:sz="0" w:space="0" w:color="auto"/>
      </w:divBdr>
    </w:div>
    <w:div w:id="692995846">
      <w:bodyDiv w:val="1"/>
      <w:marLeft w:val="0"/>
      <w:marRight w:val="0"/>
      <w:marTop w:val="0"/>
      <w:marBottom w:val="0"/>
      <w:divBdr>
        <w:top w:val="none" w:sz="0" w:space="0" w:color="auto"/>
        <w:left w:val="none" w:sz="0" w:space="0" w:color="auto"/>
        <w:bottom w:val="none" w:sz="0" w:space="0" w:color="auto"/>
        <w:right w:val="none" w:sz="0" w:space="0" w:color="auto"/>
      </w:divBdr>
    </w:div>
    <w:div w:id="695154963">
      <w:bodyDiv w:val="1"/>
      <w:marLeft w:val="0"/>
      <w:marRight w:val="0"/>
      <w:marTop w:val="0"/>
      <w:marBottom w:val="0"/>
      <w:divBdr>
        <w:top w:val="none" w:sz="0" w:space="0" w:color="auto"/>
        <w:left w:val="none" w:sz="0" w:space="0" w:color="auto"/>
        <w:bottom w:val="none" w:sz="0" w:space="0" w:color="auto"/>
        <w:right w:val="none" w:sz="0" w:space="0" w:color="auto"/>
      </w:divBdr>
    </w:div>
    <w:div w:id="695739000">
      <w:bodyDiv w:val="1"/>
      <w:marLeft w:val="0"/>
      <w:marRight w:val="0"/>
      <w:marTop w:val="0"/>
      <w:marBottom w:val="0"/>
      <w:divBdr>
        <w:top w:val="none" w:sz="0" w:space="0" w:color="auto"/>
        <w:left w:val="none" w:sz="0" w:space="0" w:color="auto"/>
        <w:bottom w:val="none" w:sz="0" w:space="0" w:color="auto"/>
        <w:right w:val="none" w:sz="0" w:space="0" w:color="auto"/>
      </w:divBdr>
    </w:div>
    <w:div w:id="697118179">
      <w:bodyDiv w:val="1"/>
      <w:marLeft w:val="0"/>
      <w:marRight w:val="0"/>
      <w:marTop w:val="0"/>
      <w:marBottom w:val="0"/>
      <w:divBdr>
        <w:top w:val="none" w:sz="0" w:space="0" w:color="auto"/>
        <w:left w:val="none" w:sz="0" w:space="0" w:color="auto"/>
        <w:bottom w:val="none" w:sz="0" w:space="0" w:color="auto"/>
        <w:right w:val="none" w:sz="0" w:space="0" w:color="auto"/>
      </w:divBdr>
    </w:div>
    <w:div w:id="697774632">
      <w:bodyDiv w:val="1"/>
      <w:marLeft w:val="0"/>
      <w:marRight w:val="0"/>
      <w:marTop w:val="0"/>
      <w:marBottom w:val="0"/>
      <w:divBdr>
        <w:top w:val="none" w:sz="0" w:space="0" w:color="auto"/>
        <w:left w:val="none" w:sz="0" w:space="0" w:color="auto"/>
        <w:bottom w:val="none" w:sz="0" w:space="0" w:color="auto"/>
        <w:right w:val="none" w:sz="0" w:space="0" w:color="auto"/>
      </w:divBdr>
    </w:div>
    <w:div w:id="697895260">
      <w:bodyDiv w:val="1"/>
      <w:marLeft w:val="0"/>
      <w:marRight w:val="0"/>
      <w:marTop w:val="0"/>
      <w:marBottom w:val="0"/>
      <w:divBdr>
        <w:top w:val="none" w:sz="0" w:space="0" w:color="auto"/>
        <w:left w:val="none" w:sz="0" w:space="0" w:color="auto"/>
        <w:bottom w:val="none" w:sz="0" w:space="0" w:color="auto"/>
        <w:right w:val="none" w:sz="0" w:space="0" w:color="auto"/>
      </w:divBdr>
    </w:div>
    <w:div w:id="698552184">
      <w:bodyDiv w:val="1"/>
      <w:marLeft w:val="0"/>
      <w:marRight w:val="0"/>
      <w:marTop w:val="0"/>
      <w:marBottom w:val="0"/>
      <w:divBdr>
        <w:top w:val="none" w:sz="0" w:space="0" w:color="auto"/>
        <w:left w:val="none" w:sz="0" w:space="0" w:color="auto"/>
        <w:bottom w:val="none" w:sz="0" w:space="0" w:color="auto"/>
        <w:right w:val="none" w:sz="0" w:space="0" w:color="auto"/>
      </w:divBdr>
    </w:div>
    <w:div w:id="699086215">
      <w:bodyDiv w:val="1"/>
      <w:marLeft w:val="0"/>
      <w:marRight w:val="0"/>
      <w:marTop w:val="0"/>
      <w:marBottom w:val="0"/>
      <w:divBdr>
        <w:top w:val="none" w:sz="0" w:space="0" w:color="auto"/>
        <w:left w:val="none" w:sz="0" w:space="0" w:color="auto"/>
        <w:bottom w:val="none" w:sz="0" w:space="0" w:color="auto"/>
        <w:right w:val="none" w:sz="0" w:space="0" w:color="auto"/>
      </w:divBdr>
    </w:div>
    <w:div w:id="699235127">
      <w:bodyDiv w:val="1"/>
      <w:marLeft w:val="0"/>
      <w:marRight w:val="0"/>
      <w:marTop w:val="0"/>
      <w:marBottom w:val="0"/>
      <w:divBdr>
        <w:top w:val="none" w:sz="0" w:space="0" w:color="auto"/>
        <w:left w:val="none" w:sz="0" w:space="0" w:color="auto"/>
        <w:bottom w:val="none" w:sz="0" w:space="0" w:color="auto"/>
        <w:right w:val="none" w:sz="0" w:space="0" w:color="auto"/>
      </w:divBdr>
    </w:div>
    <w:div w:id="700085717">
      <w:bodyDiv w:val="1"/>
      <w:marLeft w:val="0"/>
      <w:marRight w:val="0"/>
      <w:marTop w:val="0"/>
      <w:marBottom w:val="0"/>
      <w:divBdr>
        <w:top w:val="none" w:sz="0" w:space="0" w:color="auto"/>
        <w:left w:val="none" w:sz="0" w:space="0" w:color="auto"/>
        <w:bottom w:val="none" w:sz="0" w:space="0" w:color="auto"/>
        <w:right w:val="none" w:sz="0" w:space="0" w:color="auto"/>
      </w:divBdr>
    </w:div>
    <w:div w:id="701134022">
      <w:bodyDiv w:val="1"/>
      <w:marLeft w:val="0"/>
      <w:marRight w:val="0"/>
      <w:marTop w:val="0"/>
      <w:marBottom w:val="0"/>
      <w:divBdr>
        <w:top w:val="none" w:sz="0" w:space="0" w:color="auto"/>
        <w:left w:val="none" w:sz="0" w:space="0" w:color="auto"/>
        <w:bottom w:val="none" w:sz="0" w:space="0" w:color="auto"/>
        <w:right w:val="none" w:sz="0" w:space="0" w:color="auto"/>
      </w:divBdr>
    </w:div>
    <w:div w:id="701786174">
      <w:bodyDiv w:val="1"/>
      <w:marLeft w:val="0"/>
      <w:marRight w:val="0"/>
      <w:marTop w:val="0"/>
      <w:marBottom w:val="0"/>
      <w:divBdr>
        <w:top w:val="none" w:sz="0" w:space="0" w:color="auto"/>
        <w:left w:val="none" w:sz="0" w:space="0" w:color="auto"/>
        <w:bottom w:val="none" w:sz="0" w:space="0" w:color="auto"/>
        <w:right w:val="none" w:sz="0" w:space="0" w:color="auto"/>
      </w:divBdr>
    </w:div>
    <w:div w:id="702902692">
      <w:bodyDiv w:val="1"/>
      <w:marLeft w:val="0"/>
      <w:marRight w:val="0"/>
      <w:marTop w:val="0"/>
      <w:marBottom w:val="0"/>
      <w:divBdr>
        <w:top w:val="none" w:sz="0" w:space="0" w:color="auto"/>
        <w:left w:val="none" w:sz="0" w:space="0" w:color="auto"/>
        <w:bottom w:val="none" w:sz="0" w:space="0" w:color="auto"/>
        <w:right w:val="none" w:sz="0" w:space="0" w:color="auto"/>
      </w:divBdr>
    </w:div>
    <w:div w:id="703867906">
      <w:bodyDiv w:val="1"/>
      <w:marLeft w:val="0"/>
      <w:marRight w:val="0"/>
      <w:marTop w:val="0"/>
      <w:marBottom w:val="0"/>
      <w:divBdr>
        <w:top w:val="none" w:sz="0" w:space="0" w:color="auto"/>
        <w:left w:val="none" w:sz="0" w:space="0" w:color="auto"/>
        <w:bottom w:val="none" w:sz="0" w:space="0" w:color="auto"/>
        <w:right w:val="none" w:sz="0" w:space="0" w:color="auto"/>
      </w:divBdr>
    </w:div>
    <w:div w:id="704446901">
      <w:bodyDiv w:val="1"/>
      <w:marLeft w:val="0"/>
      <w:marRight w:val="0"/>
      <w:marTop w:val="0"/>
      <w:marBottom w:val="0"/>
      <w:divBdr>
        <w:top w:val="none" w:sz="0" w:space="0" w:color="auto"/>
        <w:left w:val="none" w:sz="0" w:space="0" w:color="auto"/>
        <w:bottom w:val="none" w:sz="0" w:space="0" w:color="auto"/>
        <w:right w:val="none" w:sz="0" w:space="0" w:color="auto"/>
      </w:divBdr>
    </w:div>
    <w:div w:id="704598093">
      <w:bodyDiv w:val="1"/>
      <w:marLeft w:val="0"/>
      <w:marRight w:val="0"/>
      <w:marTop w:val="0"/>
      <w:marBottom w:val="0"/>
      <w:divBdr>
        <w:top w:val="none" w:sz="0" w:space="0" w:color="auto"/>
        <w:left w:val="none" w:sz="0" w:space="0" w:color="auto"/>
        <w:bottom w:val="none" w:sz="0" w:space="0" w:color="auto"/>
        <w:right w:val="none" w:sz="0" w:space="0" w:color="auto"/>
      </w:divBdr>
    </w:div>
    <w:div w:id="705066037">
      <w:bodyDiv w:val="1"/>
      <w:marLeft w:val="0"/>
      <w:marRight w:val="0"/>
      <w:marTop w:val="0"/>
      <w:marBottom w:val="0"/>
      <w:divBdr>
        <w:top w:val="none" w:sz="0" w:space="0" w:color="auto"/>
        <w:left w:val="none" w:sz="0" w:space="0" w:color="auto"/>
        <w:bottom w:val="none" w:sz="0" w:space="0" w:color="auto"/>
        <w:right w:val="none" w:sz="0" w:space="0" w:color="auto"/>
      </w:divBdr>
    </w:div>
    <w:div w:id="705957535">
      <w:bodyDiv w:val="1"/>
      <w:marLeft w:val="0"/>
      <w:marRight w:val="0"/>
      <w:marTop w:val="0"/>
      <w:marBottom w:val="0"/>
      <w:divBdr>
        <w:top w:val="none" w:sz="0" w:space="0" w:color="auto"/>
        <w:left w:val="none" w:sz="0" w:space="0" w:color="auto"/>
        <w:bottom w:val="none" w:sz="0" w:space="0" w:color="auto"/>
        <w:right w:val="none" w:sz="0" w:space="0" w:color="auto"/>
      </w:divBdr>
    </w:div>
    <w:div w:id="705981400">
      <w:bodyDiv w:val="1"/>
      <w:marLeft w:val="0"/>
      <w:marRight w:val="0"/>
      <w:marTop w:val="0"/>
      <w:marBottom w:val="0"/>
      <w:divBdr>
        <w:top w:val="none" w:sz="0" w:space="0" w:color="auto"/>
        <w:left w:val="none" w:sz="0" w:space="0" w:color="auto"/>
        <w:bottom w:val="none" w:sz="0" w:space="0" w:color="auto"/>
        <w:right w:val="none" w:sz="0" w:space="0" w:color="auto"/>
      </w:divBdr>
    </w:div>
    <w:div w:id="706029898">
      <w:bodyDiv w:val="1"/>
      <w:marLeft w:val="0"/>
      <w:marRight w:val="0"/>
      <w:marTop w:val="0"/>
      <w:marBottom w:val="0"/>
      <w:divBdr>
        <w:top w:val="none" w:sz="0" w:space="0" w:color="auto"/>
        <w:left w:val="none" w:sz="0" w:space="0" w:color="auto"/>
        <w:bottom w:val="none" w:sz="0" w:space="0" w:color="auto"/>
        <w:right w:val="none" w:sz="0" w:space="0" w:color="auto"/>
      </w:divBdr>
    </w:div>
    <w:div w:id="707993617">
      <w:bodyDiv w:val="1"/>
      <w:marLeft w:val="0"/>
      <w:marRight w:val="0"/>
      <w:marTop w:val="0"/>
      <w:marBottom w:val="0"/>
      <w:divBdr>
        <w:top w:val="none" w:sz="0" w:space="0" w:color="auto"/>
        <w:left w:val="none" w:sz="0" w:space="0" w:color="auto"/>
        <w:bottom w:val="none" w:sz="0" w:space="0" w:color="auto"/>
        <w:right w:val="none" w:sz="0" w:space="0" w:color="auto"/>
      </w:divBdr>
    </w:div>
    <w:div w:id="708725507">
      <w:bodyDiv w:val="1"/>
      <w:marLeft w:val="0"/>
      <w:marRight w:val="0"/>
      <w:marTop w:val="0"/>
      <w:marBottom w:val="0"/>
      <w:divBdr>
        <w:top w:val="none" w:sz="0" w:space="0" w:color="auto"/>
        <w:left w:val="none" w:sz="0" w:space="0" w:color="auto"/>
        <w:bottom w:val="none" w:sz="0" w:space="0" w:color="auto"/>
        <w:right w:val="none" w:sz="0" w:space="0" w:color="auto"/>
      </w:divBdr>
    </w:div>
    <w:div w:id="708919035">
      <w:bodyDiv w:val="1"/>
      <w:marLeft w:val="0"/>
      <w:marRight w:val="0"/>
      <w:marTop w:val="0"/>
      <w:marBottom w:val="0"/>
      <w:divBdr>
        <w:top w:val="none" w:sz="0" w:space="0" w:color="auto"/>
        <w:left w:val="none" w:sz="0" w:space="0" w:color="auto"/>
        <w:bottom w:val="none" w:sz="0" w:space="0" w:color="auto"/>
        <w:right w:val="none" w:sz="0" w:space="0" w:color="auto"/>
      </w:divBdr>
    </w:div>
    <w:div w:id="709451552">
      <w:bodyDiv w:val="1"/>
      <w:marLeft w:val="0"/>
      <w:marRight w:val="0"/>
      <w:marTop w:val="0"/>
      <w:marBottom w:val="0"/>
      <w:divBdr>
        <w:top w:val="none" w:sz="0" w:space="0" w:color="auto"/>
        <w:left w:val="none" w:sz="0" w:space="0" w:color="auto"/>
        <w:bottom w:val="none" w:sz="0" w:space="0" w:color="auto"/>
        <w:right w:val="none" w:sz="0" w:space="0" w:color="auto"/>
      </w:divBdr>
    </w:div>
    <w:div w:id="710307357">
      <w:bodyDiv w:val="1"/>
      <w:marLeft w:val="0"/>
      <w:marRight w:val="0"/>
      <w:marTop w:val="0"/>
      <w:marBottom w:val="0"/>
      <w:divBdr>
        <w:top w:val="none" w:sz="0" w:space="0" w:color="auto"/>
        <w:left w:val="none" w:sz="0" w:space="0" w:color="auto"/>
        <w:bottom w:val="none" w:sz="0" w:space="0" w:color="auto"/>
        <w:right w:val="none" w:sz="0" w:space="0" w:color="auto"/>
      </w:divBdr>
    </w:div>
    <w:div w:id="711274201">
      <w:bodyDiv w:val="1"/>
      <w:marLeft w:val="0"/>
      <w:marRight w:val="0"/>
      <w:marTop w:val="0"/>
      <w:marBottom w:val="0"/>
      <w:divBdr>
        <w:top w:val="none" w:sz="0" w:space="0" w:color="auto"/>
        <w:left w:val="none" w:sz="0" w:space="0" w:color="auto"/>
        <w:bottom w:val="none" w:sz="0" w:space="0" w:color="auto"/>
        <w:right w:val="none" w:sz="0" w:space="0" w:color="auto"/>
      </w:divBdr>
    </w:div>
    <w:div w:id="711660598">
      <w:bodyDiv w:val="1"/>
      <w:marLeft w:val="0"/>
      <w:marRight w:val="0"/>
      <w:marTop w:val="0"/>
      <w:marBottom w:val="0"/>
      <w:divBdr>
        <w:top w:val="none" w:sz="0" w:space="0" w:color="auto"/>
        <w:left w:val="none" w:sz="0" w:space="0" w:color="auto"/>
        <w:bottom w:val="none" w:sz="0" w:space="0" w:color="auto"/>
        <w:right w:val="none" w:sz="0" w:space="0" w:color="auto"/>
      </w:divBdr>
    </w:div>
    <w:div w:id="712536574">
      <w:bodyDiv w:val="1"/>
      <w:marLeft w:val="0"/>
      <w:marRight w:val="0"/>
      <w:marTop w:val="0"/>
      <w:marBottom w:val="0"/>
      <w:divBdr>
        <w:top w:val="none" w:sz="0" w:space="0" w:color="auto"/>
        <w:left w:val="none" w:sz="0" w:space="0" w:color="auto"/>
        <w:bottom w:val="none" w:sz="0" w:space="0" w:color="auto"/>
        <w:right w:val="none" w:sz="0" w:space="0" w:color="auto"/>
      </w:divBdr>
    </w:div>
    <w:div w:id="713038929">
      <w:bodyDiv w:val="1"/>
      <w:marLeft w:val="0"/>
      <w:marRight w:val="0"/>
      <w:marTop w:val="0"/>
      <w:marBottom w:val="0"/>
      <w:divBdr>
        <w:top w:val="none" w:sz="0" w:space="0" w:color="auto"/>
        <w:left w:val="none" w:sz="0" w:space="0" w:color="auto"/>
        <w:bottom w:val="none" w:sz="0" w:space="0" w:color="auto"/>
        <w:right w:val="none" w:sz="0" w:space="0" w:color="auto"/>
      </w:divBdr>
    </w:div>
    <w:div w:id="715550609">
      <w:bodyDiv w:val="1"/>
      <w:marLeft w:val="0"/>
      <w:marRight w:val="0"/>
      <w:marTop w:val="0"/>
      <w:marBottom w:val="0"/>
      <w:divBdr>
        <w:top w:val="none" w:sz="0" w:space="0" w:color="auto"/>
        <w:left w:val="none" w:sz="0" w:space="0" w:color="auto"/>
        <w:bottom w:val="none" w:sz="0" w:space="0" w:color="auto"/>
        <w:right w:val="none" w:sz="0" w:space="0" w:color="auto"/>
      </w:divBdr>
    </w:div>
    <w:div w:id="717123439">
      <w:bodyDiv w:val="1"/>
      <w:marLeft w:val="0"/>
      <w:marRight w:val="0"/>
      <w:marTop w:val="0"/>
      <w:marBottom w:val="0"/>
      <w:divBdr>
        <w:top w:val="none" w:sz="0" w:space="0" w:color="auto"/>
        <w:left w:val="none" w:sz="0" w:space="0" w:color="auto"/>
        <w:bottom w:val="none" w:sz="0" w:space="0" w:color="auto"/>
        <w:right w:val="none" w:sz="0" w:space="0" w:color="auto"/>
      </w:divBdr>
    </w:div>
    <w:div w:id="718937335">
      <w:bodyDiv w:val="1"/>
      <w:marLeft w:val="0"/>
      <w:marRight w:val="0"/>
      <w:marTop w:val="0"/>
      <w:marBottom w:val="0"/>
      <w:divBdr>
        <w:top w:val="none" w:sz="0" w:space="0" w:color="auto"/>
        <w:left w:val="none" w:sz="0" w:space="0" w:color="auto"/>
        <w:bottom w:val="none" w:sz="0" w:space="0" w:color="auto"/>
        <w:right w:val="none" w:sz="0" w:space="0" w:color="auto"/>
      </w:divBdr>
    </w:div>
    <w:div w:id="719479495">
      <w:bodyDiv w:val="1"/>
      <w:marLeft w:val="0"/>
      <w:marRight w:val="0"/>
      <w:marTop w:val="0"/>
      <w:marBottom w:val="0"/>
      <w:divBdr>
        <w:top w:val="none" w:sz="0" w:space="0" w:color="auto"/>
        <w:left w:val="none" w:sz="0" w:space="0" w:color="auto"/>
        <w:bottom w:val="none" w:sz="0" w:space="0" w:color="auto"/>
        <w:right w:val="none" w:sz="0" w:space="0" w:color="auto"/>
      </w:divBdr>
    </w:div>
    <w:div w:id="719479518">
      <w:bodyDiv w:val="1"/>
      <w:marLeft w:val="0"/>
      <w:marRight w:val="0"/>
      <w:marTop w:val="0"/>
      <w:marBottom w:val="0"/>
      <w:divBdr>
        <w:top w:val="none" w:sz="0" w:space="0" w:color="auto"/>
        <w:left w:val="none" w:sz="0" w:space="0" w:color="auto"/>
        <w:bottom w:val="none" w:sz="0" w:space="0" w:color="auto"/>
        <w:right w:val="none" w:sz="0" w:space="0" w:color="auto"/>
      </w:divBdr>
    </w:div>
    <w:div w:id="720010341">
      <w:bodyDiv w:val="1"/>
      <w:marLeft w:val="0"/>
      <w:marRight w:val="0"/>
      <w:marTop w:val="0"/>
      <w:marBottom w:val="0"/>
      <w:divBdr>
        <w:top w:val="none" w:sz="0" w:space="0" w:color="auto"/>
        <w:left w:val="none" w:sz="0" w:space="0" w:color="auto"/>
        <w:bottom w:val="none" w:sz="0" w:space="0" w:color="auto"/>
        <w:right w:val="none" w:sz="0" w:space="0" w:color="auto"/>
      </w:divBdr>
    </w:div>
    <w:div w:id="720137212">
      <w:bodyDiv w:val="1"/>
      <w:marLeft w:val="0"/>
      <w:marRight w:val="0"/>
      <w:marTop w:val="0"/>
      <w:marBottom w:val="0"/>
      <w:divBdr>
        <w:top w:val="none" w:sz="0" w:space="0" w:color="auto"/>
        <w:left w:val="none" w:sz="0" w:space="0" w:color="auto"/>
        <w:bottom w:val="none" w:sz="0" w:space="0" w:color="auto"/>
        <w:right w:val="none" w:sz="0" w:space="0" w:color="auto"/>
      </w:divBdr>
    </w:div>
    <w:div w:id="720518984">
      <w:bodyDiv w:val="1"/>
      <w:marLeft w:val="0"/>
      <w:marRight w:val="0"/>
      <w:marTop w:val="0"/>
      <w:marBottom w:val="0"/>
      <w:divBdr>
        <w:top w:val="none" w:sz="0" w:space="0" w:color="auto"/>
        <w:left w:val="none" w:sz="0" w:space="0" w:color="auto"/>
        <w:bottom w:val="none" w:sz="0" w:space="0" w:color="auto"/>
        <w:right w:val="none" w:sz="0" w:space="0" w:color="auto"/>
      </w:divBdr>
    </w:div>
    <w:div w:id="721949358">
      <w:bodyDiv w:val="1"/>
      <w:marLeft w:val="0"/>
      <w:marRight w:val="0"/>
      <w:marTop w:val="0"/>
      <w:marBottom w:val="0"/>
      <w:divBdr>
        <w:top w:val="none" w:sz="0" w:space="0" w:color="auto"/>
        <w:left w:val="none" w:sz="0" w:space="0" w:color="auto"/>
        <w:bottom w:val="none" w:sz="0" w:space="0" w:color="auto"/>
        <w:right w:val="none" w:sz="0" w:space="0" w:color="auto"/>
      </w:divBdr>
    </w:div>
    <w:div w:id="722489974">
      <w:bodyDiv w:val="1"/>
      <w:marLeft w:val="0"/>
      <w:marRight w:val="0"/>
      <w:marTop w:val="0"/>
      <w:marBottom w:val="0"/>
      <w:divBdr>
        <w:top w:val="none" w:sz="0" w:space="0" w:color="auto"/>
        <w:left w:val="none" w:sz="0" w:space="0" w:color="auto"/>
        <w:bottom w:val="none" w:sz="0" w:space="0" w:color="auto"/>
        <w:right w:val="none" w:sz="0" w:space="0" w:color="auto"/>
      </w:divBdr>
    </w:div>
    <w:div w:id="726605603">
      <w:bodyDiv w:val="1"/>
      <w:marLeft w:val="0"/>
      <w:marRight w:val="0"/>
      <w:marTop w:val="0"/>
      <w:marBottom w:val="0"/>
      <w:divBdr>
        <w:top w:val="none" w:sz="0" w:space="0" w:color="auto"/>
        <w:left w:val="none" w:sz="0" w:space="0" w:color="auto"/>
        <w:bottom w:val="none" w:sz="0" w:space="0" w:color="auto"/>
        <w:right w:val="none" w:sz="0" w:space="0" w:color="auto"/>
      </w:divBdr>
    </w:div>
    <w:div w:id="727611852">
      <w:bodyDiv w:val="1"/>
      <w:marLeft w:val="0"/>
      <w:marRight w:val="0"/>
      <w:marTop w:val="0"/>
      <w:marBottom w:val="0"/>
      <w:divBdr>
        <w:top w:val="none" w:sz="0" w:space="0" w:color="auto"/>
        <w:left w:val="none" w:sz="0" w:space="0" w:color="auto"/>
        <w:bottom w:val="none" w:sz="0" w:space="0" w:color="auto"/>
        <w:right w:val="none" w:sz="0" w:space="0" w:color="auto"/>
      </w:divBdr>
    </w:div>
    <w:div w:id="728236630">
      <w:bodyDiv w:val="1"/>
      <w:marLeft w:val="0"/>
      <w:marRight w:val="0"/>
      <w:marTop w:val="0"/>
      <w:marBottom w:val="0"/>
      <w:divBdr>
        <w:top w:val="none" w:sz="0" w:space="0" w:color="auto"/>
        <w:left w:val="none" w:sz="0" w:space="0" w:color="auto"/>
        <w:bottom w:val="none" w:sz="0" w:space="0" w:color="auto"/>
        <w:right w:val="none" w:sz="0" w:space="0" w:color="auto"/>
      </w:divBdr>
    </w:div>
    <w:div w:id="728647062">
      <w:bodyDiv w:val="1"/>
      <w:marLeft w:val="0"/>
      <w:marRight w:val="0"/>
      <w:marTop w:val="0"/>
      <w:marBottom w:val="0"/>
      <w:divBdr>
        <w:top w:val="none" w:sz="0" w:space="0" w:color="auto"/>
        <w:left w:val="none" w:sz="0" w:space="0" w:color="auto"/>
        <w:bottom w:val="none" w:sz="0" w:space="0" w:color="auto"/>
        <w:right w:val="none" w:sz="0" w:space="0" w:color="auto"/>
      </w:divBdr>
    </w:div>
    <w:div w:id="730541295">
      <w:bodyDiv w:val="1"/>
      <w:marLeft w:val="0"/>
      <w:marRight w:val="0"/>
      <w:marTop w:val="0"/>
      <w:marBottom w:val="0"/>
      <w:divBdr>
        <w:top w:val="none" w:sz="0" w:space="0" w:color="auto"/>
        <w:left w:val="none" w:sz="0" w:space="0" w:color="auto"/>
        <w:bottom w:val="none" w:sz="0" w:space="0" w:color="auto"/>
        <w:right w:val="none" w:sz="0" w:space="0" w:color="auto"/>
      </w:divBdr>
    </w:div>
    <w:div w:id="730616314">
      <w:bodyDiv w:val="1"/>
      <w:marLeft w:val="0"/>
      <w:marRight w:val="0"/>
      <w:marTop w:val="0"/>
      <w:marBottom w:val="0"/>
      <w:divBdr>
        <w:top w:val="none" w:sz="0" w:space="0" w:color="auto"/>
        <w:left w:val="none" w:sz="0" w:space="0" w:color="auto"/>
        <w:bottom w:val="none" w:sz="0" w:space="0" w:color="auto"/>
        <w:right w:val="none" w:sz="0" w:space="0" w:color="auto"/>
      </w:divBdr>
    </w:div>
    <w:div w:id="730730668">
      <w:bodyDiv w:val="1"/>
      <w:marLeft w:val="0"/>
      <w:marRight w:val="0"/>
      <w:marTop w:val="0"/>
      <w:marBottom w:val="0"/>
      <w:divBdr>
        <w:top w:val="none" w:sz="0" w:space="0" w:color="auto"/>
        <w:left w:val="none" w:sz="0" w:space="0" w:color="auto"/>
        <w:bottom w:val="none" w:sz="0" w:space="0" w:color="auto"/>
        <w:right w:val="none" w:sz="0" w:space="0" w:color="auto"/>
      </w:divBdr>
    </w:div>
    <w:div w:id="731737791">
      <w:bodyDiv w:val="1"/>
      <w:marLeft w:val="0"/>
      <w:marRight w:val="0"/>
      <w:marTop w:val="0"/>
      <w:marBottom w:val="0"/>
      <w:divBdr>
        <w:top w:val="none" w:sz="0" w:space="0" w:color="auto"/>
        <w:left w:val="none" w:sz="0" w:space="0" w:color="auto"/>
        <w:bottom w:val="none" w:sz="0" w:space="0" w:color="auto"/>
        <w:right w:val="none" w:sz="0" w:space="0" w:color="auto"/>
      </w:divBdr>
    </w:div>
    <w:div w:id="732503523">
      <w:bodyDiv w:val="1"/>
      <w:marLeft w:val="0"/>
      <w:marRight w:val="0"/>
      <w:marTop w:val="0"/>
      <w:marBottom w:val="0"/>
      <w:divBdr>
        <w:top w:val="none" w:sz="0" w:space="0" w:color="auto"/>
        <w:left w:val="none" w:sz="0" w:space="0" w:color="auto"/>
        <w:bottom w:val="none" w:sz="0" w:space="0" w:color="auto"/>
        <w:right w:val="none" w:sz="0" w:space="0" w:color="auto"/>
      </w:divBdr>
    </w:div>
    <w:div w:id="732508931">
      <w:bodyDiv w:val="1"/>
      <w:marLeft w:val="0"/>
      <w:marRight w:val="0"/>
      <w:marTop w:val="0"/>
      <w:marBottom w:val="0"/>
      <w:divBdr>
        <w:top w:val="none" w:sz="0" w:space="0" w:color="auto"/>
        <w:left w:val="none" w:sz="0" w:space="0" w:color="auto"/>
        <w:bottom w:val="none" w:sz="0" w:space="0" w:color="auto"/>
        <w:right w:val="none" w:sz="0" w:space="0" w:color="auto"/>
      </w:divBdr>
    </w:div>
    <w:div w:id="732587571">
      <w:bodyDiv w:val="1"/>
      <w:marLeft w:val="0"/>
      <w:marRight w:val="0"/>
      <w:marTop w:val="0"/>
      <w:marBottom w:val="0"/>
      <w:divBdr>
        <w:top w:val="none" w:sz="0" w:space="0" w:color="auto"/>
        <w:left w:val="none" w:sz="0" w:space="0" w:color="auto"/>
        <w:bottom w:val="none" w:sz="0" w:space="0" w:color="auto"/>
        <w:right w:val="none" w:sz="0" w:space="0" w:color="auto"/>
      </w:divBdr>
    </w:div>
    <w:div w:id="733939010">
      <w:bodyDiv w:val="1"/>
      <w:marLeft w:val="0"/>
      <w:marRight w:val="0"/>
      <w:marTop w:val="0"/>
      <w:marBottom w:val="0"/>
      <w:divBdr>
        <w:top w:val="none" w:sz="0" w:space="0" w:color="auto"/>
        <w:left w:val="none" w:sz="0" w:space="0" w:color="auto"/>
        <w:bottom w:val="none" w:sz="0" w:space="0" w:color="auto"/>
        <w:right w:val="none" w:sz="0" w:space="0" w:color="auto"/>
      </w:divBdr>
    </w:div>
    <w:div w:id="734279811">
      <w:bodyDiv w:val="1"/>
      <w:marLeft w:val="0"/>
      <w:marRight w:val="0"/>
      <w:marTop w:val="0"/>
      <w:marBottom w:val="0"/>
      <w:divBdr>
        <w:top w:val="none" w:sz="0" w:space="0" w:color="auto"/>
        <w:left w:val="none" w:sz="0" w:space="0" w:color="auto"/>
        <w:bottom w:val="none" w:sz="0" w:space="0" w:color="auto"/>
        <w:right w:val="none" w:sz="0" w:space="0" w:color="auto"/>
      </w:divBdr>
    </w:div>
    <w:div w:id="734549458">
      <w:bodyDiv w:val="1"/>
      <w:marLeft w:val="0"/>
      <w:marRight w:val="0"/>
      <w:marTop w:val="0"/>
      <w:marBottom w:val="0"/>
      <w:divBdr>
        <w:top w:val="none" w:sz="0" w:space="0" w:color="auto"/>
        <w:left w:val="none" w:sz="0" w:space="0" w:color="auto"/>
        <w:bottom w:val="none" w:sz="0" w:space="0" w:color="auto"/>
        <w:right w:val="none" w:sz="0" w:space="0" w:color="auto"/>
      </w:divBdr>
    </w:div>
    <w:div w:id="735082835">
      <w:bodyDiv w:val="1"/>
      <w:marLeft w:val="0"/>
      <w:marRight w:val="0"/>
      <w:marTop w:val="0"/>
      <w:marBottom w:val="0"/>
      <w:divBdr>
        <w:top w:val="none" w:sz="0" w:space="0" w:color="auto"/>
        <w:left w:val="none" w:sz="0" w:space="0" w:color="auto"/>
        <w:bottom w:val="none" w:sz="0" w:space="0" w:color="auto"/>
        <w:right w:val="none" w:sz="0" w:space="0" w:color="auto"/>
      </w:divBdr>
    </w:div>
    <w:div w:id="735125740">
      <w:bodyDiv w:val="1"/>
      <w:marLeft w:val="0"/>
      <w:marRight w:val="0"/>
      <w:marTop w:val="0"/>
      <w:marBottom w:val="0"/>
      <w:divBdr>
        <w:top w:val="none" w:sz="0" w:space="0" w:color="auto"/>
        <w:left w:val="none" w:sz="0" w:space="0" w:color="auto"/>
        <w:bottom w:val="none" w:sz="0" w:space="0" w:color="auto"/>
        <w:right w:val="none" w:sz="0" w:space="0" w:color="auto"/>
      </w:divBdr>
    </w:div>
    <w:div w:id="737019037">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38140471">
      <w:bodyDiv w:val="1"/>
      <w:marLeft w:val="0"/>
      <w:marRight w:val="0"/>
      <w:marTop w:val="0"/>
      <w:marBottom w:val="0"/>
      <w:divBdr>
        <w:top w:val="none" w:sz="0" w:space="0" w:color="auto"/>
        <w:left w:val="none" w:sz="0" w:space="0" w:color="auto"/>
        <w:bottom w:val="none" w:sz="0" w:space="0" w:color="auto"/>
        <w:right w:val="none" w:sz="0" w:space="0" w:color="auto"/>
      </w:divBdr>
    </w:div>
    <w:div w:id="738334531">
      <w:bodyDiv w:val="1"/>
      <w:marLeft w:val="0"/>
      <w:marRight w:val="0"/>
      <w:marTop w:val="0"/>
      <w:marBottom w:val="0"/>
      <w:divBdr>
        <w:top w:val="none" w:sz="0" w:space="0" w:color="auto"/>
        <w:left w:val="none" w:sz="0" w:space="0" w:color="auto"/>
        <w:bottom w:val="none" w:sz="0" w:space="0" w:color="auto"/>
        <w:right w:val="none" w:sz="0" w:space="0" w:color="auto"/>
      </w:divBdr>
    </w:div>
    <w:div w:id="738484159">
      <w:bodyDiv w:val="1"/>
      <w:marLeft w:val="0"/>
      <w:marRight w:val="0"/>
      <w:marTop w:val="0"/>
      <w:marBottom w:val="0"/>
      <w:divBdr>
        <w:top w:val="none" w:sz="0" w:space="0" w:color="auto"/>
        <w:left w:val="none" w:sz="0" w:space="0" w:color="auto"/>
        <w:bottom w:val="none" w:sz="0" w:space="0" w:color="auto"/>
        <w:right w:val="none" w:sz="0" w:space="0" w:color="auto"/>
      </w:divBdr>
    </w:div>
    <w:div w:id="738749411">
      <w:bodyDiv w:val="1"/>
      <w:marLeft w:val="0"/>
      <w:marRight w:val="0"/>
      <w:marTop w:val="0"/>
      <w:marBottom w:val="0"/>
      <w:divBdr>
        <w:top w:val="none" w:sz="0" w:space="0" w:color="auto"/>
        <w:left w:val="none" w:sz="0" w:space="0" w:color="auto"/>
        <w:bottom w:val="none" w:sz="0" w:space="0" w:color="auto"/>
        <w:right w:val="none" w:sz="0" w:space="0" w:color="auto"/>
      </w:divBdr>
    </w:div>
    <w:div w:id="740177096">
      <w:bodyDiv w:val="1"/>
      <w:marLeft w:val="0"/>
      <w:marRight w:val="0"/>
      <w:marTop w:val="0"/>
      <w:marBottom w:val="0"/>
      <w:divBdr>
        <w:top w:val="none" w:sz="0" w:space="0" w:color="auto"/>
        <w:left w:val="none" w:sz="0" w:space="0" w:color="auto"/>
        <w:bottom w:val="none" w:sz="0" w:space="0" w:color="auto"/>
        <w:right w:val="none" w:sz="0" w:space="0" w:color="auto"/>
      </w:divBdr>
    </w:div>
    <w:div w:id="740296304">
      <w:bodyDiv w:val="1"/>
      <w:marLeft w:val="0"/>
      <w:marRight w:val="0"/>
      <w:marTop w:val="0"/>
      <w:marBottom w:val="0"/>
      <w:divBdr>
        <w:top w:val="none" w:sz="0" w:space="0" w:color="auto"/>
        <w:left w:val="none" w:sz="0" w:space="0" w:color="auto"/>
        <w:bottom w:val="none" w:sz="0" w:space="0" w:color="auto"/>
        <w:right w:val="none" w:sz="0" w:space="0" w:color="auto"/>
      </w:divBdr>
    </w:div>
    <w:div w:id="743722394">
      <w:bodyDiv w:val="1"/>
      <w:marLeft w:val="0"/>
      <w:marRight w:val="0"/>
      <w:marTop w:val="0"/>
      <w:marBottom w:val="0"/>
      <w:divBdr>
        <w:top w:val="none" w:sz="0" w:space="0" w:color="auto"/>
        <w:left w:val="none" w:sz="0" w:space="0" w:color="auto"/>
        <w:bottom w:val="none" w:sz="0" w:space="0" w:color="auto"/>
        <w:right w:val="none" w:sz="0" w:space="0" w:color="auto"/>
      </w:divBdr>
    </w:div>
    <w:div w:id="744302578">
      <w:bodyDiv w:val="1"/>
      <w:marLeft w:val="0"/>
      <w:marRight w:val="0"/>
      <w:marTop w:val="0"/>
      <w:marBottom w:val="0"/>
      <w:divBdr>
        <w:top w:val="none" w:sz="0" w:space="0" w:color="auto"/>
        <w:left w:val="none" w:sz="0" w:space="0" w:color="auto"/>
        <w:bottom w:val="none" w:sz="0" w:space="0" w:color="auto"/>
        <w:right w:val="none" w:sz="0" w:space="0" w:color="auto"/>
      </w:divBdr>
    </w:div>
    <w:div w:id="744379395">
      <w:bodyDiv w:val="1"/>
      <w:marLeft w:val="0"/>
      <w:marRight w:val="0"/>
      <w:marTop w:val="0"/>
      <w:marBottom w:val="0"/>
      <w:divBdr>
        <w:top w:val="none" w:sz="0" w:space="0" w:color="auto"/>
        <w:left w:val="none" w:sz="0" w:space="0" w:color="auto"/>
        <w:bottom w:val="none" w:sz="0" w:space="0" w:color="auto"/>
        <w:right w:val="none" w:sz="0" w:space="0" w:color="auto"/>
      </w:divBdr>
    </w:div>
    <w:div w:id="745155571">
      <w:bodyDiv w:val="1"/>
      <w:marLeft w:val="0"/>
      <w:marRight w:val="0"/>
      <w:marTop w:val="0"/>
      <w:marBottom w:val="0"/>
      <w:divBdr>
        <w:top w:val="none" w:sz="0" w:space="0" w:color="auto"/>
        <w:left w:val="none" w:sz="0" w:space="0" w:color="auto"/>
        <w:bottom w:val="none" w:sz="0" w:space="0" w:color="auto"/>
        <w:right w:val="none" w:sz="0" w:space="0" w:color="auto"/>
      </w:divBdr>
    </w:div>
    <w:div w:id="746196855">
      <w:bodyDiv w:val="1"/>
      <w:marLeft w:val="0"/>
      <w:marRight w:val="0"/>
      <w:marTop w:val="0"/>
      <w:marBottom w:val="0"/>
      <w:divBdr>
        <w:top w:val="none" w:sz="0" w:space="0" w:color="auto"/>
        <w:left w:val="none" w:sz="0" w:space="0" w:color="auto"/>
        <w:bottom w:val="none" w:sz="0" w:space="0" w:color="auto"/>
        <w:right w:val="none" w:sz="0" w:space="0" w:color="auto"/>
      </w:divBdr>
    </w:div>
    <w:div w:id="748310971">
      <w:bodyDiv w:val="1"/>
      <w:marLeft w:val="0"/>
      <w:marRight w:val="0"/>
      <w:marTop w:val="0"/>
      <w:marBottom w:val="0"/>
      <w:divBdr>
        <w:top w:val="none" w:sz="0" w:space="0" w:color="auto"/>
        <w:left w:val="none" w:sz="0" w:space="0" w:color="auto"/>
        <w:bottom w:val="none" w:sz="0" w:space="0" w:color="auto"/>
        <w:right w:val="none" w:sz="0" w:space="0" w:color="auto"/>
      </w:divBdr>
    </w:div>
    <w:div w:id="749543865">
      <w:bodyDiv w:val="1"/>
      <w:marLeft w:val="0"/>
      <w:marRight w:val="0"/>
      <w:marTop w:val="0"/>
      <w:marBottom w:val="0"/>
      <w:divBdr>
        <w:top w:val="none" w:sz="0" w:space="0" w:color="auto"/>
        <w:left w:val="none" w:sz="0" w:space="0" w:color="auto"/>
        <w:bottom w:val="none" w:sz="0" w:space="0" w:color="auto"/>
        <w:right w:val="none" w:sz="0" w:space="0" w:color="auto"/>
      </w:divBdr>
    </w:div>
    <w:div w:id="751776772">
      <w:bodyDiv w:val="1"/>
      <w:marLeft w:val="0"/>
      <w:marRight w:val="0"/>
      <w:marTop w:val="0"/>
      <w:marBottom w:val="0"/>
      <w:divBdr>
        <w:top w:val="none" w:sz="0" w:space="0" w:color="auto"/>
        <w:left w:val="none" w:sz="0" w:space="0" w:color="auto"/>
        <w:bottom w:val="none" w:sz="0" w:space="0" w:color="auto"/>
        <w:right w:val="none" w:sz="0" w:space="0" w:color="auto"/>
      </w:divBdr>
    </w:div>
    <w:div w:id="752052044">
      <w:bodyDiv w:val="1"/>
      <w:marLeft w:val="0"/>
      <w:marRight w:val="0"/>
      <w:marTop w:val="0"/>
      <w:marBottom w:val="0"/>
      <w:divBdr>
        <w:top w:val="none" w:sz="0" w:space="0" w:color="auto"/>
        <w:left w:val="none" w:sz="0" w:space="0" w:color="auto"/>
        <w:bottom w:val="none" w:sz="0" w:space="0" w:color="auto"/>
        <w:right w:val="none" w:sz="0" w:space="0" w:color="auto"/>
      </w:divBdr>
    </w:div>
    <w:div w:id="753934842">
      <w:bodyDiv w:val="1"/>
      <w:marLeft w:val="0"/>
      <w:marRight w:val="0"/>
      <w:marTop w:val="0"/>
      <w:marBottom w:val="0"/>
      <w:divBdr>
        <w:top w:val="none" w:sz="0" w:space="0" w:color="auto"/>
        <w:left w:val="none" w:sz="0" w:space="0" w:color="auto"/>
        <w:bottom w:val="none" w:sz="0" w:space="0" w:color="auto"/>
        <w:right w:val="none" w:sz="0" w:space="0" w:color="auto"/>
      </w:divBdr>
    </w:div>
    <w:div w:id="754011027">
      <w:bodyDiv w:val="1"/>
      <w:marLeft w:val="0"/>
      <w:marRight w:val="0"/>
      <w:marTop w:val="0"/>
      <w:marBottom w:val="0"/>
      <w:divBdr>
        <w:top w:val="none" w:sz="0" w:space="0" w:color="auto"/>
        <w:left w:val="none" w:sz="0" w:space="0" w:color="auto"/>
        <w:bottom w:val="none" w:sz="0" w:space="0" w:color="auto"/>
        <w:right w:val="none" w:sz="0" w:space="0" w:color="auto"/>
      </w:divBdr>
    </w:div>
    <w:div w:id="757597975">
      <w:bodyDiv w:val="1"/>
      <w:marLeft w:val="0"/>
      <w:marRight w:val="0"/>
      <w:marTop w:val="0"/>
      <w:marBottom w:val="0"/>
      <w:divBdr>
        <w:top w:val="none" w:sz="0" w:space="0" w:color="auto"/>
        <w:left w:val="none" w:sz="0" w:space="0" w:color="auto"/>
        <w:bottom w:val="none" w:sz="0" w:space="0" w:color="auto"/>
        <w:right w:val="none" w:sz="0" w:space="0" w:color="auto"/>
      </w:divBdr>
    </w:div>
    <w:div w:id="760679233">
      <w:bodyDiv w:val="1"/>
      <w:marLeft w:val="0"/>
      <w:marRight w:val="0"/>
      <w:marTop w:val="0"/>
      <w:marBottom w:val="0"/>
      <w:divBdr>
        <w:top w:val="none" w:sz="0" w:space="0" w:color="auto"/>
        <w:left w:val="none" w:sz="0" w:space="0" w:color="auto"/>
        <w:bottom w:val="none" w:sz="0" w:space="0" w:color="auto"/>
        <w:right w:val="none" w:sz="0" w:space="0" w:color="auto"/>
      </w:divBdr>
    </w:div>
    <w:div w:id="761492401">
      <w:bodyDiv w:val="1"/>
      <w:marLeft w:val="0"/>
      <w:marRight w:val="0"/>
      <w:marTop w:val="0"/>
      <w:marBottom w:val="0"/>
      <w:divBdr>
        <w:top w:val="none" w:sz="0" w:space="0" w:color="auto"/>
        <w:left w:val="none" w:sz="0" w:space="0" w:color="auto"/>
        <w:bottom w:val="none" w:sz="0" w:space="0" w:color="auto"/>
        <w:right w:val="none" w:sz="0" w:space="0" w:color="auto"/>
      </w:divBdr>
    </w:div>
    <w:div w:id="764227657">
      <w:bodyDiv w:val="1"/>
      <w:marLeft w:val="0"/>
      <w:marRight w:val="0"/>
      <w:marTop w:val="0"/>
      <w:marBottom w:val="0"/>
      <w:divBdr>
        <w:top w:val="none" w:sz="0" w:space="0" w:color="auto"/>
        <w:left w:val="none" w:sz="0" w:space="0" w:color="auto"/>
        <w:bottom w:val="none" w:sz="0" w:space="0" w:color="auto"/>
        <w:right w:val="none" w:sz="0" w:space="0" w:color="auto"/>
      </w:divBdr>
    </w:div>
    <w:div w:id="766076130">
      <w:bodyDiv w:val="1"/>
      <w:marLeft w:val="0"/>
      <w:marRight w:val="0"/>
      <w:marTop w:val="0"/>
      <w:marBottom w:val="0"/>
      <w:divBdr>
        <w:top w:val="none" w:sz="0" w:space="0" w:color="auto"/>
        <w:left w:val="none" w:sz="0" w:space="0" w:color="auto"/>
        <w:bottom w:val="none" w:sz="0" w:space="0" w:color="auto"/>
        <w:right w:val="none" w:sz="0" w:space="0" w:color="auto"/>
      </w:divBdr>
    </w:div>
    <w:div w:id="767118303">
      <w:bodyDiv w:val="1"/>
      <w:marLeft w:val="0"/>
      <w:marRight w:val="0"/>
      <w:marTop w:val="0"/>
      <w:marBottom w:val="0"/>
      <w:divBdr>
        <w:top w:val="none" w:sz="0" w:space="0" w:color="auto"/>
        <w:left w:val="none" w:sz="0" w:space="0" w:color="auto"/>
        <w:bottom w:val="none" w:sz="0" w:space="0" w:color="auto"/>
        <w:right w:val="none" w:sz="0" w:space="0" w:color="auto"/>
      </w:divBdr>
    </w:div>
    <w:div w:id="767383765">
      <w:bodyDiv w:val="1"/>
      <w:marLeft w:val="0"/>
      <w:marRight w:val="0"/>
      <w:marTop w:val="0"/>
      <w:marBottom w:val="0"/>
      <w:divBdr>
        <w:top w:val="none" w:sz="0" w:space="0" w:color="auto"/>
        <w:left w:val="none" w:sz="0" w:space="0" w:color="auto"/>
        <w:bottom w:val="none" w:sz="0" w:space="0" w:color="auto"/>
        <w:right w:val="none" w:sz="0" w:space="0" w:color="auto"/>
      </w:divBdr>
    </w:div>
    <w:div w:id="767888346">
      <w:bodyDiv w:val="1"/>
      <w:marLeft w:val="0"/>
      <w:marRight w:val="0"/>
      <w:marTop w:val="0"/>
      <w:marBottom w:val="0"/>
      <w:divBdr>
        <w:top w:val="none" w:sz="0" w:space="0" w:color="auto"/>
        <w:left w:val="none" w:sz="0" w:space="0" w:color="auto"/>
        <w:bottom w:val="none" w:sz="0" w:space="0" w:color="auto"/>
        <w:right w:val="none" w:sz="0" w:space="0" w:color="auto"/>
      </w:divBdr>
    </w:div>
    <w:div w:id="767972160">
      <w:bodyDiv w:val="1"/>
      <w:marLeft w:val="0"/>
      <w:marRight w:val="0"/>
      <w:marTop w:val="0"/>
      <w:marBottom w:val="0"/>
      <w:divBdr>
        <w:top w:val="none" w:sz="0" w:space="0" w:color="auto"/>
        <w:left w:val="none" w:sz="0" w:space="0" w:color="auto"/>
        <w:bottom w:val="none" w:sz="0" w:space="0" w:color="auto"/>
        <w:right w:val="none" w:sz="0" w:space="0" w:color="auto"/>
      </w:divBdr>
    </w:div>
    <w:div w:id="768239848">
      <w:bodyDiv w:val="1"/>
      <w:marLeft w:val="0"/>
      <w:marRight w:val="0"/>
      <w:marTop w:val="0"/>
      <w:marBottom w:val="0"/>
      <w:divBdr>
        <w:top w:val="none" w:sz="0" w:space="0" w:color="auto"/>
        <w:left w:val="none" w:sz="0" w:space="0" w:color="auto"/>
        <w:bottom w:val="none" w:sz="0" w:space="0" w:color="auto"/>
        <w:right w:val="none" w:sz="0" w:space="0" w:color="auto"/>
      </w:divBdr>
    </w:div>
    <w:div w:id="768308642">
      <w:bodyDiv w:val="1"/>
      <w:marLeft w:val="0"/>
      <w:marRight w:val="0"/>
      <w:marTop w:val="0"/>
      <w:marBottom w:val="0"/>
      <w:divBdr>
        <w:top w:val="none" w:sz="0" w:space="0" w:color="auto"/>
        <w:left w:val="none" w:sz="0" w:space="0" w:color="auto"/>
        <w:bottom w:val="none" w:sz="0" w:space="0" w:color="auto"/>
        <w:right w:val="none" w:sz="0" w:space="0" w:color="auto"/>
      </w:divBdr>
    </w:div>
    <w:div w:id="769740692">
      <w:bodyDiv w:val="1"/>
      <w:marLeft w:val="0"/>
      <w:marRight w:val="0"/>
      <w:marTop w:val="0"/>
      <w:marBottom w:val="0"/>
      <w:divBdr>
        <w:top w:val="none" w:sz="0" w:space="0" w:color="auto"/>
        <w:left w:val="none" w:sz="0" w:space="0" w:color="auto"/>
        <w:bottom w:val="none" w:sz="0" w:space="0" w:color="auto"/>
        <w:right w:val="none" w:sz="0" w:space="0" w:color="auto"/>
      </w:divBdr>
    </w:div>
    <w:div w:id="770394281">
      <w:bodyDiv w:val="1"/>
      <w:marLeft w:val="0"/>
      <w:marRight w:val="0"/>
      <w:marTop w:val="0"/>
      <w:marBottom w:val="0"/>
      <w:divBdr>
        <w:top w:val="none" w:sz="0" w:space="0" w:color="auto"/>
        <w:left w:val="none" w:sz="0" w:space="0" w:color="auto"/>
        <w:bottom w:val="none" w:sz="0" w:space="0" w:color="auto"/>
        <w:right w:val="none" w:sz="0" w:space="0" w:color="auto"/>
      </w:divBdr>
    </w:div>
    <w:div w:id="770468483">
      <w:bodyDiv w:val="1"/>
      <w:marLeft w:val="0"/>
      <w:marRight w:val="0"/>
      <w:marTop w:val="0"/>
      <w:marBottom w:val="0"/>
      <w:divBdr>
        <w:top w:val="none" w:sz="0" w:space="0" w:color="auto"/>
        <w:left w:val="none" w:sz="0" w:space="0" w:color="auto"/>
        <w:bottom w:val="none" w:sz="0" w:space="0" w:color="auto"/>
        <w:right w:val="none" w:sz="0" w:space="0" w:color="auto"/>
      </w:divBdr>
    </w:div>
    <w:div w:id="771511047">
      <w:bodyDiv w:val="1"/>
      <w:marLeft w:val="0"/>
      <w:marRight w:val="0"/>
      <w:marTop w:val="0"/>
      <w:marBottom w:val="0"/>
      <w:divBdr>
        <w:top w:val="none" w:sz="0" w:space="0" w:color="auto"/>
        <w:left w:val="none" w:sz="0" w:space="0" w:color="auto"/>
        <w:bottom w:val="none" w:sz="0" w:space="0" w:color="auto"/>
        <w:right w:val="none" w:sz="0" w:space="0" w:color="auto"/>
      </w:divBdr>
    </w:div>
    <w:div w:id="772019538">
      <w:bodyDiv w:val="1"/>
      <w:marLeft w:val="0"/>
      <w:marRight w:val="0"/>
      <w:marTop w:val="0"/>
      <w:marBottom w:val="0"/>
      <w:divBdr>
        <w:top w:val="none" w:sz="0" w:space="0" w:color="auto"/>
        <w:left w:val="none" w:sz="0" w:space="0" w:color="auto"/>
        <w:bottom w:val="none" w:sz="0" w:space="0" w:color="auto"/>
        <w:right w:val="none" w:sz="0" w:space="0" w:color="auto"/>
      </w:divBdr>
    </w:div>
    <w:div w:id="772021358">
      <w:bodyDiv w:val="1"/>
      <w:marLeft w:val="0"/>
      <w:marRight w:val="0"/>
      <w:marTop w:val="0"/>
      <w:marBottom w:val="0"/>
      <w:divBdr>
        <w:top w:val="none" w:sz="0" w:space="0" w:color="auto"/>
        <w:left w:val="none" w:sz="0" w:space="0" w:color="auto"/>
        <w:bottom w:val="none" w:sz="0" w:space="0" w:color="auto"/>
        <w:right w:val="none" w:sz="0" w:space="0" w:color="auto"/>
      </w:divBdr>
    </w:div>
    <w:div w:id="772088789">
      <w:bodyDiv w:val="1"/>
      <w:marLeft w:val="0"/>
      <w:marRight w:val="0"/>
      <w:marTop w:val="0"/>
      <w:marBottom w:val="0"/>
      <w:divBdr>
        <w:top w:val="none" w:sz="0" w:space="0" w:color="auto"/>
        <w:left w:val="none" w:sz="0" w:space="0" w:color="auto"/>
        <w:bottom w:val="none" w:sz="0" w:space="0" w:color="auto"/>
        <w:right w:val="none" w:sz="0" w:space="0" w:color="auto"/>
      </w:divBdr>
    </w:div>
    <w:div w:id="773868666">
      <w:bodyDiv w:val="1"/>
      <w:marLeft w:val="0"/>
      <w:marRight w:val="0"/>
      <w:marTop w:val="0"/>
      <w:marBottom w:val="0"/>
      <w:divBdr>
        <w:top w:val="none" w:sz="0" w:space="0" w:color="auto"/>
        <w:left w:val="none" w:sz="0" w:space="0" w:color="auto"/>
        <w:bottom w:val="none" w:sz="0" w:space="0" w:color="auto"/>
        <w:right w:val="none" w:sz="0" w:space="0" w:color="auto"/>
      </w:divBdr>
    </w:div>
    <w:div w:id="774637122">
      <w:bodyDiv w:val="1"/>
      <w:marLeft w:val="0"/>
      <w:marRight w:val="0"/>
      <w:marTop w:val="0"/>
      <w:marBottom w:val="0"/>
      <w:divBdr>
        <w:top w:val="none" w:sz="0" w:space="0" w:color="auto"/>
        <w:left w:val="none" w:sz="0" w:space="0" w:color="auto"/>
        <w:bottom w:val="none" w:sz="0" w:space="0" w:color="auto"/>
        <w:right w:val="none" w:sz="0" w:space="0" w:color="auto"/>
      </w:divBdr>
    </w:div>
    <w:div w:id="775103230">
      <w:bodyDiv w:val="1"/>
      <w:marLeft w:val="0"/>
      <w:marRight w:val="0"/>
      <w:marTop w:val="0"/>
      <w:marBottom w:val="0"/>
      <w:divBdr>
        <w:top w:val="none" w:sz="0" w:space="0" w:color="auto"/>
        <w:left w:val="none" w:sz="0" w:space="0" w:color="auto"/>
        <w:bottom w:val="none" w:sz="0" w:space="0" w:color="auto"/>
        <w:right w:val="none" w:sz="0" w:space="0" w:color="auto"/>
      </w:divBdr>
    </w:div>
    <w:div w:id="777068294">
      <w:bodyDiv w:val="1"/>
      <w:marLeft w:val="0"/>
      <w:marRight w:val="0"/>
      <w:marTop w:val="0"/>
      <w:marBottom w:val="0"/>
      <w:divBdr>
        <w:top w:val="none" w:sz="0" w:space="0" w:color="auto"/>
        <w:left w:val="none" w:sz="0" w:space="0" w:color="auto"/>
        <w:bottom w:val="none" w:sz="0" w:space="0" w:color="auto"/>
        <w:right w:val="none" w:sz="0" w:space="0" w:color="auto"/>
      </w:divBdr>
    </w:div>
    <w:div w:id="777216037">
      <w:bodyDiv w:val="1"/>
      <w:marLeft w:val="0"/>
      <w:marRight w:val="0"/>
      <w:marTop w:val="0"/>
      <w:marBottom w:val="0"/>
      <w:divBdr>
        <w:top w:val="none" w:sz="0" w:space="0" w:color="auto"/>
        <w:left w:val="none" w:sz="0" w:space="0" w:color="auto"/>
        <w:bottom w:val="none" w:sz="0" w:space="0" w:color="auto"/>
        <w:right w:val="none" w:sz="0" w:space="0" w:color="auto"/>
      </w:divBdr>
    </w:div>
    <w:div w:id="778180357">
      <w:bodyDiv w:val="1"/>
      <w:marLeft w:val="0"/>
      <w:marRight w:val="0"/>
      <w:marTop w:val="0"/>
      <w:marBottom w:val="0"/>
      <w:divBdr>
        <w:top w:val="none" w:sz="0" w:space="0" w:color="auto"/>
        <w:left w:val="none" w:sz="0" w:space="0" w:color="auto"/>
        <w:bottom w:val="none" w:sz="0" w:space="0" w:color="auto"/>
        <w:right w:val="none" w:sz="0" w:space="0" w:color="auto"/>
      </w:divBdr>
    </w:div>
    <w:div w:id="782965669">
      <w:bodyDiv w:val="1"/>
      <w:marLeft w:val="0"/>
      <w:marRight w:val="0"/>
      <w:marTop w:val="0"/>
      <w:marBottom w:val="0"/>
      <w:divBdr>
        <w:top w:val="none" w:sz="0" w:space="0" w:color="auto"/>
        <w:left w:val="none" w:sz="0" w:space="0" w:color="auto"/>
        <w:bottom w:val="none" w:sz="0" w:space="0" w:color="auto"/>
        <w:right w:val="none" w:sz="0" w:space="0" w:color="auto"/>
      </w:divBdr>
    </w:div>
    <w:div w:id="783770982">
      <w:bodyDiv w:val="1"/>
      <w:marLeft w:val="0"/>
      <w:marRight w:val="0"/>
      <w:marTop w:val="0"/>
      <w:marBottom w:val="0"/>
      <w:divBdr>
        <w:top w:val="none" w:sz="0" w:space="0" w:color="auto"/>
        <w:left w:val="none" w:sz="0" w:space="0" w:color="auto"/>
        <w:bottom w:val="none" w:sz="0" w:space="0" w:color="auto"/>
        <w:right w:val="none" w:sz="0" w:space="0" w:color="auto"/>
      </w:divBdr>
    </w:div>
    <w:div w:id="784034710">
      <w:bodyDiv w:val="1"/>
      <w:marLeft w:val="0"/>
      <w:marRight w:val="0"/>
      <w:marTop w:val="0"/>
      <w:marBottom w:val="0"/>
      <w:divBdr>
        <w:top w:val="none" w:sz="0" w:space="0" w:color="auto"/>
        <w:left w:val="none" w:sz="0" w:space="0" w:color="auto"/>
        <w:bottom w:val="none" w:sz="0" w:space="0" w:color="auto"/>
        <w:right w:val="none" w:sz="0" w:space="0" w:color="auto"/>
      </w:divBdr>
    </w:div>
    <w:div w:id="784083885">
      <w:bodyDiv w:val="1"/>
      <w:marLeft w:val="0"/>
      <w:marRight w:val="0"/>
      <w:marTop w:val="0"/>
      <w:marBottom w:val="0"/>
      <w:divBdr>
        <w:top w:val="none" w:sz="0" w:space="0" w:color="auto"/>
        <w:left w:val="none" w:sz="0" w:space="0" w:color="auto"/>
        <w:bottom w:val="none" w:sz="0" w:space="0" w:color="auto"/>
        <w:right w:val="none" w:sz="0" w:space="0" w:color="auto"/>
      </w:divBdr>
    </w:div>
    <w:div w:id="784546606">
      <w:bodyDiv w:val="1"/>
      <w:marLeft w:val="0"/>
      <w:marRight w:val="0"/>
      <w:marTop w:val="0"/>
      <w:marBottom w:val="0"/>
      <w:divBdr>
        <w:top w:val="none" w:sz="0" w:space="0" w:color="auto"/>
        <w:left w:val="none" w:sz="0" w:space="0" w:color="auto"/>
        <w:bottom w:val="none" w:sz="0" w:space="0" w:color="auto"/>
        <w:right w:val="none" w:sz="0" w:space="0" w:color="auto"/>
      </w:divBdr>
    </w:div>
    <w:div w:id="785152551">
      <w:bodyDiv w:val="1"/>
      <w:marLeft w:val="0"/>
      <w:marRight w:val="0"/>
      <w:marTop w:val="0"/>
      <w:marBottom w:val="0"/>
      <w:divBdr>
        <w:top w:val="none" w:sz="0" w:space="0" w:color="auto"/>
        <w:left w:val="none" w:sz="0" w:space="0" w:color="auto"/>
        <w:bottom w:val="none" w:sz="0" w:space="0" w:color="auto"/>
        <w:right w:val="none" w:sz="0" w:space="0" w:color="auto"/>
      </w:divBdr>
    </w:div>
    <w:div w:id="785537273">
      <w:bodyDiv w:val="1"/>
      <w:marLeft w:val="0"/>
      <w:marRight w:val="0"/>
      <w:marTop w:val="0"/>
      <w:marBottom w:val="0"/>
      <w:divBdr>
        <w:top w:val="none" w:sz="0" w:space="0" w:color="auto"/>
        <w:left w:val="none" w:sz="0" w:space="0" w:color="auto"/>
        <w:bottom w:val="none" w:sz="0" w:space="0" w:color="auto"/>
        <w:right w:val="none" w:sz="0" w:space="0" w:color="auto"/>
      </w:divBdr>
    </w:div>
    <w:div w:id="785932303">
      <w:bodyDiv w:val="1"/>
      <w:marLeft w:val="0"/>
      <w:marRight w:val="0"/>
      <w:marTop w:val="0"/>
      <w:marBottom w:val="0"/>
      <w:divBdr>
        <w:top w:val="none" w:sz="0" w:space="0" w:color="auto"/>
        <w:left w:val="none" w:sz="0" w:space="0" w:color="auto"/>
        <w:bottom w:val="none" w:sz="0" w:space="0" w:color="auto"/>
        <w:right w:val="none" w:sz="0" w:space="0" w:color="auto"/>
      </w:divBdr>
    </w:div>
    <w:div w:id="786119860">
      <w:bodyDiv w:val="1"/>
      <w:marLeft w:val="0"/>
      <w:marRight w:val="0"/>
      <w:marTop w:val="0"/>
      <w:marBottom w:val="0"/>
      <w:divBdr>
        <w:top w:val="none" w:sz="0" w:space="0" w:color="auto"/>
        <w:left w:val="none" w:sz="0" w:space="0" w:color="auto"/>
        <w:bottom w:val="none" w:sz="0" w:space="0" w:color="auto"/>
        <w:right w:val="none" w:sz="0" w:space="0" w:color="auto"/>
      </w:divBdr>
    </w:div>
    <w:div w:id="786970334">
      <w:bodyDiv w:val="1"/>
      <w:marLeft w:val="0"/>
      <w:marRight w:val="0"/>
      <w:marTop w:val="0"/>
      <w:marBottom w:val="0"/>
      <w:divBdr>
        <w:top w:val="none" w:sz="0" w:space="0" w:color="auto"/>
        <w:left w:val="none" w:sz="0" w:space="0" w:color="auto"/>
        <w:bottom w:val="none" w:sz="0" w:space="0" w:color="auto"/>
        <w:right w:val="none" w:sz="0" w:space="0" w:color="auto"/>
      </w:divBdr>
    </w:div>
    <w:div w:id="788819231">
      <w:bodyDiv w:val="1"/>
      <w:marLeft w:val="0"/>
      <w:marRight w:val="0"/>
      <w:marTop w:val="0"/>
      <w:marBottom w:val="0"/>
      <w:divBdr>
        <w:top w:val="none" w:sz="0" w:space="0" w:color="auto"/>
        <w:left w:val="none" w:sz="0" w:space="0" w:color="auto"/>
        <w:bottom w:val="none" w:sz="0" w:space="0" w:color="auto"/>
        <w:right w:val="none" w:sz="0" w:space="0" w:color="auto"/>
      </w:divBdr>
    </w:div>
    <w:div w:id="789250974">
      <w:bodyDiv w:val="1"/>
      <w:marLeft w:val="0"/>
      <w:marRight w:val="0"/>
      <w:marTop w:val="0"/>
      <w:marBottom w:val="0"/>
      <w:divBdr>
        <w:top w:val="none" w:sz="0" w:space="0" w:color="auto"/>
        <w:left w:val="none" w:sz="0" w:space="0" w:color="auto"/>
        <w:bottom w:val="none" w:sz="0" w:space="0" w:color="auto"/>
        <w:right w:val="none" w:sz="0" w:space="0" w:color="auto"/>
      </w:divBdr>
    </w:div>
    <w:div w:id="790854905">
      <w:bodyDiv w:val="1"/>
      <w:marLeft w:val="0"/>
      <w:marRight w:val="0"/>
      <w:marTop w:val="0"/>
      <w:marBottom w:val="0"/>
      <w:divBdr>
        <w:top w:val="none" w:sz="0" w:space="0" w:color="auto"/>
        <w:left w:val="none" w:sz="0" w:space="0" w:color="auto"/>
        <w:bottom w:val="none" w:sz="0" w:space="0" w:color="auto"/>
        <w:right w:val="none" w:sz="0" w:space="0" w:color="auto"/>
      </w:divBdr>
    </w:div>
    <w:div w:id="791090282">
      <w:bodyDiv w:val="1"/>
      <w:marLeft w:val="0"/>
      <w:marRight w:val="0"/>
      <w:marTop w:val="0"/>
      <w:marBottom w:val="0"/>
      <w:divBdr>
        <w:top w:val="none" w:sz="0" w:space="0" w:color="auto"/>
        <w:left w:val="none" w:sz="0" w:space="0" w:color="auto"/>
        <w:bottom w:val="none" w:sz="0" w:space="0" w:color="auto"/>
        <w:right w:val="none" w:sz="0" w:space="0" w:color="auto"/>
      </w:divBdr>
    </w:div>
    <w:div w:id="792137632">
      <w:bodyDiv w:val="1"/>
      <w:marLeft w:val="0"/>
      <w:marRight w:val="0"/>
      <w:marTop w:val="0"/>
      <w:marBottom w:val="0"/>
      <w:divBdr>
        <w:top w:val="none" w:sz="0" w:space="0" w:color="auto"/>
        <w:left w:val="none" w:sz="0" w:space="0" w:color="auto"/>
        <w:bottom w:val="none" w:sz="0" w:space="0" w:color="auto"/>
        <w:right w:val="none" w:sz="0" w:space="0" w:color="auto"/>
      </w:divBdr>
    </w:div>
    <w:div w:id="792748671">
      <w:bodyDiv w:val="1"/>
      <w:marLeft w:val="0"/>
      <w:marRight w:val="0"/>
      <w:marTop w:val="0"/>
      <w:marBottom w:val="0"/>
      <w:divBdr>
        <w:top w:val="none" w:sz="0" w:space="0" w:color="auto"/>
        <w:left w:val="none" w:sz="0" w:space="0" w:color="auto"/>
        <w:bottom w:val="none" w:sz="0" w:space="0" w:color="auto"/>
        <w:right w:val="none" w:sz="0" w:space="0" w:color="auto"/>
      </w:divBdr>
    </w:div>
    <w:div w:id="793062449">
      <w:bodyDiv w:val="1"/>
      <w:marLeft w:val="0"/>
      <w:marRight w:val="0"/>
      <w:marTop w:val="0"/>
      <w:marBottom w:val="0"/>
      <w:divBdr>
        <w:top w:val="none" w:sz="0" w:space="0" w:color="auto"/>
        <w:left w:val="none" w:sz="0" w:space="0" w:color="auto"/>
        <w:bottom w:val="none" w:sz="0" w:space="0" w:color="auto"/>
        <w:right w:val="none" w:sz="0" w:space="0" w:color="auto"/>
      </w:divBdr>
    </w:div>
    <w:div w:id="794641981">
      <w:bodyDiv w:val="1"/>
      <w:marLeft w:val="0"/>
      <w:marRight w:val="0"/>
      <w:marTop w:val="0"/>
      <w:marBottom w:val="0"/>
      <w:divBdr>
        <w:top w:val="none" w:sz="0" w:space="0" w:color="auto"/>
        <w:left w:val="none" w:sz="0" w:space="0" w:color="auto"/>
        <w:bottom w:val="none" w:sz="0" w:space="0" w:color="auto"/>
        <w:right w:val="none" w:sz="0" w:space="0" w:color="auto"/>
      </w:divBdr>
    </w:div>
    <w:div w:id="797529839">
      <w:bodyDiv w:val="1"/>
      <w:marLeft w:val="0"/>
      <w:marRight w:val="0"/>
      <w:marTop w:val="0"/>
      <w:marBottom w:val="0"/>
      <w:divBdr>
        <w:top w:val="none" w:sz="0" w:space="0" w:color="auto"/>
        <w:left w:val="none" w:sz="0" w:space="0" w:color="auto"/>
        <w:bottom w:val="none" w:sz="0" w:space="0" w:color="auto"/>
        <w:right w:val="none" w:sz="0" w:space="0" w:color="auto"/>
      </w:divBdr>
    </w:div>
    <w:div w:id="799147929">
      <w:bodyDiv w:val="1"/>
      <w:marLeft w:val="0"/>
      <w:marRight w:val="0"/>
      <w:marTop w:val="0"/>
      <w:marBottom w:val="0"/>
      <w:divBdr>
        <w:top w:val="none" w:sz="0" w:space="0" w:color="auto"/>
        <w:left w:val="none" w:sz="0" w:space="0" w:color="auto"/>
        <w:bottom w:val="none" w:sz="0" w:space="0" w:color="auto"/>
        <w:right w:val="none" w:sz="0" w:space="0" w:color="auto"/>
      </w:divBdr>
    </w:div>
    <w:div w:id="800654690">
      <w:bodyDiv w:val="1"/>
      <w:marLeft w:val="0"/>
      <w:marRight w:val="0"/>
      <w:marTop w:val="0"/>
      <w:marBottom w:val="0"/>
      <w:divBdr>
        <w:top w:val="none" w:sz="0" w:space="0" w:color="auto"/>
        <w:left w:val="none" w:sz="0" w:space="0" w:color="auto"/>
        <w:bottom w:val="none" w:sz="0" w:space="0" w:color="auto"/>
        <w:right w:val="none" w:sz="0" w:space="0" w:color="auto"/>
      </w:divBdr>
    </w:div>
    <w:div w:id="800805199">
      <w:bodyDiv w:val="1"/>
      <w:marLeft w:val="0"/>
      <w:marRight w:val="0"/>
      <w:marTop w:val="0"/>
      <w:marBottom w:val="0"/>
      <w:divBdr>
        <w:top w:val="none" w:sz="0" w:space="0" w:color="auto"/>
        <w:left w:val="none" w:sz="0" w:space="0" w:color="auto"/>
        <w:bottom w:val="none" w:sz="0" w:space="0" w:color="auto"/>
        <w:right w:val="none" w:sz="0" w:space="0" w:color="auto"/>
      </w:divBdr>
    </w:div>
    <w:div w:id="802425088">
      <w:bodyDiv w:val="1"/>
      <w:marLeft w:val="0"/>
      <w:marRight w:val="0"/>
      <w:marTop w:val="0"/>
      <w:marBottom w:val="0"/>
      <w:divBdr>
        <w:top w:val="none" w:sz="0" w:space="0" w:color="auto"/>
        <w:left w:val="none" w:sz="0" w:space="0" w:color="auto"/>
        <w:bottom w:val="none" w:sz="0" w:space="0" w:color="auto"/>
        <w:right w:val="none" w:sz="0" w:space="0" w:color="auto"/>
      </w:divBdr>
    </w:div>
    <w:div w:id="802847581">
      <w:bodyDiv w:val="1"/>
      <w:marLeft w:val="0"/>
      <w:marRight w:val="0"/>
      <w:marTop w:val="0"/>
      <w:marBottom w:val="0"/>
      <w:divBdr>
        <w:top w:val="none" w:sz="0" w:space="0" w:color="auto"/>
        <w:left w:val="none" w:sz="0" w:space="0" w:color="auto"/>
        <w:bottom w:val="none" w:sz="0" w:space="0" w:color="auto"/>
        <w:right w:val="none" w:sz="0" w:space="0" w:color="auto"/>
      </w:divBdr>
    </w:div>
    <w:div w:id="802892799">
      <w:bodyDiv w:val="1"/>
      <w:marLeft w:val="0"/>
      <w:marRight w:val="0"/>
      <w:marTop w:val="0"/>
      <w:marBottom w:val="0"/>
      <w:divBdr>
        <w:top w:val="none" w:sz="0" w:space="0" w:color="auto"/>
        <w:left w:val="none" w:sz="0" w:space="0" w:color="auto"/>
        <w:bottom w:val="none" w:sz="0" w:space="0" w:color="auto"/>
        <w:right w:val="none" w:sz="0" w:space="0" w:color="auto"/>
      </w:divBdr>
    </w:div>
    <w:div w:id="804156719">
      <w:bodyDiv w:val="1"/>
      <w:marLeft w:val="0"/>
      <w:marRight w:val="0"/>
      <w:marTop w:val="0"/>
      <w:marBottom w:val="0"/>
      <w:divBdr>
        <w:top w:val="none" w:sz="0" w:space="0" w:color="auto"/>
        <w:left w:val="none" w:sz="0" w:space="0" w:color="auto"/>
        <w:bottom w:val="none" w:sz="0" w:space="0" w:color="auto"/>
        <w:right w:val="none" w:sz="0" w:space="0" w:color="auto"/>
      </w:divBdr>
    </w:div>
    <w:div w:id="805706972">
      <w:bodyDiv w:val="1"/>
      <w:marLeft w:val="0"/>
      <w:marRight w:val="0"/>
      <w:marTop w:val="0"/>
      <w:marBottom w:val="0"/>
      <w:divBdr>
        <w:top w:val="none" w:sz="0" w:space="0" w:color="auto"/>
        <w:left w:val="none" w:sz="0" w:space="0" w:color="auto"/>
        <w:bottom w:val="none" w:sz="0" w:space="0" w:color="auto"/>
        <w:right w:val="none" w:sz="0" w:space="0" w:color="auto"/>
      </w:divBdr>
    </w:div>
    <w:div w:id="806238444">
      <w:bodyDiv w:val="1"/>
      <w:marLeft w:val="0"/>
      <w:marRight w:val="0"/>
      <w:marTop w:val="0"/>
      <w:marBottom w:val="0"/>
      <w:divBdr>
        <w:top w:val="none" w:sz="0" w:space="0" w:color="auto"/>
        <w:left w:val="none" w:sz="0" w:space="0" w:color="auto"/>
        <w:bottom w:val="none" w:sz="0" w:space="0" w:color="auto"/>
        <w:right w:val="none" w:sz="0" w:space="0" w:color="auto"/>
      </w:divBdr>
    </w:div>
    <w:div w:id="806240825">
      <w:bodyDiv w:val="1"/>
      <w:marLeft w:val="0"/>
      <w:marRight w:val="0"/>
      <w:marTop w:val="0"/>
      <w:marBottom w:val="0"/>
      <w:divBdr>
        <w:top w:val="none" w:sz="0" w:space="0" w:color="auto"/>
        <w:left w:val="none" w:sz="0" w:space="0" w:color="auto"/>
        <w:bottom w:val="none" w:sz="0" w:space="0" w:color="auto"/>
        <w:right w:val="none" w:sz="0" w:space="0" w:color="auto"/>
      </w:divBdr>
    </w:div>
    <w:div w:id="808672051">
      <w:bodyDiv w:val="1"/>
      <w:marLeft w:val="0"/>
      <w:marRight w:val="0"/>
      <w:marTop w:val="0"/>
      <w:marBottom w:val="0"/>
      <w:divBdr>
        <w:top w:val="none" w:sz="0" w:space="0" w:color="auto"/>
        <w:left w:val="none" w:sz="0" w:space="0" w:color="auto"/>
        <w:bottom w:val="none" w:sz="0" w:space="0" w:color="auto"/>
        <w:right w:val="none" w:sz="0" w:space="0" w:color="auto"/>
      </w:divBdr>
    </w:div>
    <w:div w:id="809976316">
      <w:bodyDiv w:val="1"/>
      <w:marLeft w:val="0"/>
      <w:marRight w:val="0"/>
      <w:marTop w:val="0"/>
      <w:marBottom w:val="0"/>
      <w:divBdr>
        <w:top w:val="none" w:sz="0" w:space="0" w:color="auto"/>
        <w:left w:val="none" w:sz="0" w:space="0" w:color="auto"/>
        <w:bottom w:val="none" w:sz="0" w:space="0" w:color="auto"/>
        <w:right w:val="none" w:sz="0" w:space="0" w:color="auto"/>
      </w:divBdr>
    </w:div>
    <w:div w:id="810752559">
      <w:bodyDiv w:val="1"/>
      <w:marLeft w:val="0"/>
      <w:marRight w:val="0"/>
      <w:marTop w:val="0"/>
      <w:marBottom w:val="0"/>
      <w:divBdr>
        <w:top w:val="none" w:sz="0" w:space="0" w:color="auto"/>
        <w:left w:val="none" w:sz="0" w:space="0" w:color="auto"/>
        <w:bottom w:val="none" w:sz="0" w:space="0" w:color="auto"/>
        <w:right w:val="none" w:sz="0" w:space="0" w:color="auto"/>
      </w:divBdr>
    </w:div>
    <w:div w:id="811022102">
      <w:bodyDiv w:val="1"/>
      <w:marLeft w:val="0"/>
      <w:marRight w:val="0"/>
      <w:marTop w:val="0"/>
      <w:marBottom w:val="0"/>
      <w:divBdr>
        <w:top w:val="none" w:sz="0" w:space="0" w:color="auto"/>
        <w:left w:val="none" w:sz="0" w:space="0" w:color="auto"/>
        <w:bottom w:val="none" w:sz="0" w:space="0" w:color="auto"/>
        <w:right w:val="none" w:sz="0" w:space="0" w:color="auto"/>
      </w:divBdr>
    </w:div>
    <w:div w:id="812868258">
      <w:bodyDiv w:val="1"/>
      <w:marLeft w:val="0"/>
      <w:marRight w:val="0"/>
      <w:marTop w:val="0"/>
      <w:marBottom w:val="0"/>
      <w:divBdr>
        <w:top w:val="none" w:sz="0" w:space="0" w:color="auto"/>
        <w:left w:val="none" w:sz="0" w:space="0" w:color="auto"/>
        <w:bottom w:val="none" w:sz="0" w:space="0" w:color="auto"/>
        <w:right w:val="none" w:sz="0" w:space="0" w:color="auto"/>
      </w:divBdr>
    </w:div>
    <w:div w:id="813714705">
      <w:bodyDiv w:val="1"/>
      <w:marLeft w:val="0"/>
      <w:marRight w:val="0"/>
      <w:marTop w:val="0"/>
      <w:marBottom w:val="0"/>
      <w:divBdr>
        <w:top w:val="none" w:sz="0" w:space="0" w:color="auto"/>
        <w:left w:val="none" w:sz="0" w:space="0" w:color="auto"/>
        <w:bottom w:val="none" w:sz="0" w:space="0" w:color="auto"/>
        <w:right w:val="none" w:sz="0" w:space="0" w:color="auto"/>
      </w:divBdr>
    </w:div>
    <w:div w:id="814878220">
      <w:bodyDiv w:val="1"/>
      <w:marLeft w:val="0"/>
      <w:marRight w:val="0"/>
      <w:marTop w:val="0"/>
      <w:marBottom w:val="0"/>
      <w:divBdr>
        <w:top w:val="none" w:sz="0" w:space="0" w:color="auto"/>
        <w:left w:val="none" w:sz="0" w:space="0" w:color="auto"/>
        <w:bottom w:val="none" w:sz="0" w:space="0" w:color="auto"/>
        <w:right w:val="none" w:sz="0" w:space="0" w:color="auto"/>
      </w:divBdr>
    </w:div>
    <w:div w:id="815026989">
      <w:bodyDiv w:val="1"/>
      <w:marLeft w:val="0"/>
      <w:marRight w:val="0"/>
      <w:marTop w:val="0"/>
      <w:marBottom w:val="0"/>
      <w:divBdr>
        <w:top w:val="none" w:sz="0" w:space="0" w:color="auto"/>
        <w:left w:val="none" w:sz="0" w:space="0" w:color="auto"/>
        <w:bottom w:val="none" w:sz="0" w:space="0" w:color="auto"/>
        <w:right w:val="none" w:sz="0" w:space="0" w:color="auto"/>
      </w:divBdr>
    </w:div>
    <w:div w:id="815683217">
      <w:bodyDiv w:val="1"/>
      <w:marLeft w:val="0"/>
      <w:marRight w:val="0"/>
      <w:marTop w:val="0"/>
      <w:marBottom w:val="0"/>
      <w:divBdr>
        <w:top w:val="none" w:sz="0" w:space="0" w:color="auto"/>
        <w:left w:val="none" w:sz="0" w:space="0" w:color="auto"/>
        <w:bottom w:val="none" w:sz="0" w:space="0" w:color="auto"/>
        <w:right w:val="none" w:sz="0" w:space="0" w:color="auto"/>
      </w:divBdr>
    </w:div>
    <w:div w:id="815758492">
      <w:bodyDiv w:val="1"/>
      <w:marLeft w:val="0"/>
      <w:marRight w:val="0"/>
      <w:marTop w:val="0"/>
      <w:marBottom w:val="0"/>
      <w:divBdr>
        <w:top w:val="none" w:sz="0" w:space="0" w:color="auto"/>
        <w:left w:val="none" w:sz="0" w:space="0" w:color="auto"/>
        <w:bottom w:val="none" w:sz="0" w:space="0" w:color="auto"/>
        <w:right w:val="none" w:sz="0" w:space="0" w:color="auto"/>
      </w:divBdr>
    </w:div>
    <w:div w:id="815879272">
      <w:bodyDiv w:val="1"/>
      <w:marLeft w:val="0"/>
      <w:marRight w:val="0"/>
      <w:marTop w:val="0"/>
      <w:marBottom w:val="0"/>
      <w:divBdr>
        <w:top w:val="none" w:sz="0" w:space="0" w:color="auto"/>
        <w:left w:val="none" w:sz="0" w:space="0" w:color="auto"/>
        <w:bottom w:val="none" w:sz="0" w:space="0" w:color="auto"/>
        <w:right w:val="none" w:sz="0" w:space="0" w:color="auto"/>
      </w:divBdr>
    </w:div>
    <w:div w:id="816922986">
      <w:bodyDiv w:val="1"/>
      <w:marLeft w:val="0"/>
      <w:marRight w:val="0"/>
      <w:marTop w:val="0"/>
      <w:marBottom w:val="0"/>
      <w:divBdr>
        <w:top w:val="none" w:sz="0" w:space="0" w:color="auto"/>
        <w:left w:val="none" w:sz="0" w:space="0" w:color="auto"/>
        <w:bottom w:val="none" w:sz="0" w:space="0" w:color="auto"/>
        <w:right w:val="none" w:sz="0" w:space="0" w:color="auto"/>
      </w:divBdr>
    </w:div>
    <w:div w:id="817842337">
      <w:bodyDiv w:val="1"/>
      <w:marLeft w:val="0"/>
      <w:marRight w:val="0"/>
      <w:marTop w:val="0"/>
      <w:marBottom w:val="0"/>
      <w:divBdr>
        <w:top w:val="none" w:sz="0" w:space="0" w:color="auto"/>
        <w:left w:val="none" w:sz="0" w:space="0" w:color="auto"/>
        <w:bottom w:val="none" w:sz="0" w:space="0" w:color="auto"/>
        <w:right w:val="none" w:sz="0" w:space="0" w:color="auto"/>
      </w:divBdr>
    </w:div>
    <w:div w:id="820081160">
      <w:bodyDiv w:val="1"/>
      <w:marLeft w:val="0"/>
      <w:marRight w:val="0"/>
      <w:marTop w:val="0"/>
      <w:marBottom w:val="0"/>
      <w:divBdr>
        <w:top w:val="none" w:sz="0" w:space="0" w:color="auto"/>
        <w:left w:val="none" w:sz="0" w:space="0" w:color="auto"/>
        <w:bottom w:val="none" w:sz="0" w:space="0" w:color="auto"/>
        <w:right w:val="none" w:sz="0" w:space="0" w:color="auto"/>
      </w:divBdr>
    </w:div>
    <w:div w:id="820199920">
      <w:bodyDiv w:val="1"/>
      <w:marLeft w:val="0"/>
      <w:marRight w:val="0"/>
      <w:marTop w:val="0"/>
      <w:marBottom w:val="0"/>
      <w:divBdr>
        <w:top w:val="none" w:sz="0" w:space="0" w:color="auto"/>
        <w:left w:val="none" w:sz="0" w:space="0" w:color="auto"/>
        <w:bottom w:val="none" w:sz="0" w:space="0" w:color="auto"/>
        <w:right w:val="none" w:sz="0" w:space="0" w:color="auto"/>
      </w:divBdr>
    </w:div>
    <w:div w:id="820773174">
      <w:bodyDiv w:val="1"/>
      <w:marLeft w:val="0"/>
      <w:marRight w:val="0"/>
      <w:marTop w:val="0"/>
      <w:marBottom w:val="0"/>
      <w:divBdr>
        <w:top w:val="none" w:sz="0" w:space="0" w:color="auto"/>
        <w:left w:val="none" w:sz="0" w:space="0" w:color="auto"/>
        <w:bottom w:val="none" w:sz="0" w:space="0" w:color="auto"/>
        <w:right w:val="none" w:sz="0" w:space="0" w:color="auto"/>
      </w:divBdr>
    </w:div>
    <w:div w:id="821191735">
      <w:bodyDiv w:val="1"/>
      <w:marLeft w:val="0"/>
      <w:marRight w:val="0"/>
      <w:marTop w:val="0"/>
      <w:marBottom w:val="0"/>
      <w:divBdr>
        <w:top w:val="none" w:sz="0" w:space="0" w:color="auto"/>
        <w:left w:val="none" w:sz="0" w:space="0" w:color="auto"/>
        <w:bottom w:val="none" w:sz="0" w:space="0" w:color="auto"/>
        <w:right w:val="none" w:sz="0" w:space="0" w:color="auto"/>
      </w:divBdr>
    </w:div>
    <w:div w:id="821431330">
      <w:bodyDiv w:val="1"/>
      <w:marLeft w:val="0"/>
      <w:marRight w:val="0"/>
      <w:marTop w:val="0"/>
      <w:marBottom w:val="0"/>
      <w:divBdr>
        <w:top w:val="none" w:sz="0" w:space="0" w:color="auto"/>
        <w:left w:val="none" w:sz="0" w:space="0" w:color="auto"/>
        <w:bottom w:val="none" w:sz="0" w:space="0" w:color="auto"/>
        <w:right w:val="none" w:sz="0" w:space="0" w:color="auto"/>
      </w:divBdr>
    </w:div>
    <w:div w:id="823014585">
      <w:bodyDiv w:val="1"/>
      <w:marLeft w:val="0"/>
      <w:marRight w:val="0"/>
      <w:marTop w:val="0"/>
      <w:marBottom w:val="0"/>
      <w:divBdr>
        <w:top w:val="none" w:sz="0" w:space="0" w:color="auto"/>
        <w:left w:val="none" w:sz="0" w:space="0" w:color="auto"/>
        <w:bottom w:val="none" w:sz="0" w:space="0" w:color="auto"/>
        <w:right w:val="none" w:sz="0" w:space="0" w:color="auto"/>
      </w:divBdr>
    </w:div>
    <w:div w:id="823275589">
      <w:bodyDiv w:val="1"/>
      <w:marLeft w:val="0"/>
      <w:marRight w:val="0"/>
      <w:marTop w:val="0"/>
      <w:marBottom w:val="0"/>
      <w:divBdr>
        <w:top w:val="none" w:sz="0" w:space="0" w:color="auto"/>
        <w:left w:val="none" w:sz="0" w:space="0" w:color="auto"/>
        <w:bottom w:val="none" w:sz="0" w:space="0" w:color="auto"/>
        <w:right w:val="none" w:sz="0" w:space="0" w:color="auto"/>
      </w:divBdr>
    </w:div>
    <w:div w:id="823476799">
      <w:bodyDiv w:val="1"/>
      <w:marLeft w:val="0"/>
      <w:marRight w:val="0"/>
      <w:marTop w:val="0"/>
      <w:marBottom w:val="0"/>
      <w:divBdr>
        <w:top w:val="none" w:sz="0" w:space="0" w:color="auto"/>
        <w:left w:val="none" w:sz="0" w:space="0" w:color="auto"/>
        <w:bottom w:val="none" w:sz="0" w:space="0" w:color="auto"/>
        <w:right w:val="none" w:sz="0" w:space="0" w:color="auto"/>
      </w:divBdr>
    </w:div>
    <w:div w:id="824248472">
      <w:bodyDiv w:val="1"/>
      <w:marLeft w:val="0"/>
      <w:marRight w:val="0"/>
      <w:marTop w:val="0"/>
      <w:marBottom w:val="0"/>
      <w:divBdr>
        <w:top w:val="none" w:sz="0" w:space="0" w:color="auto"/>
        <w:left w:val="none" w:sz="0" w:space="0" w:color="auto"/>
        <w:bottom w:val="none" w:sz="0" w:space="0" w:color="auto"/>
        <w:right w:val="none" w:sz="0" w:space="0" w:color="auto"/>
      </w:divBdr>
    </w:div>
    <w:div w:id="826434127">
      <w:bodyDiv w:val="1"/>
      <w:marLeft w:val="0"/>
      <w:marRight w:val="0"/>
      <w:marTop w:val="0"/>
      <w:marBottom w:val="0"/>
      <w:divBdr>
        <w:top w:val="none" w:sz="0" w:space="0" w:color="auto"/>
        <w:left w:val="none" w:sz="0" w:space="0" w:color="auto"/>
        <w:bottom w:val="none" w:sz="0" w:space="0" w:color="auto"/>
        <w:right w:val="none" w:sz="0" w:space="0" w:color="auto"/>
      </w:divBdr>
    </w:div>
    <w:div w:id="827744966">
      <w:bodyDiv w:val="1"/>
      <w:marLeft w:val="0"/>
      <w:marRight w:val="0"/>
      <w:marTop w:val="0"/>
      <w:marBottom w:val="0"/>
      <w:divBdr>
        <w:top w:val="none" w:sz="0" w:space="0" w:color="auto"/>
        <w:left w:val="none" w:sz="0" w:space="0" w:color="auto"/>
        <w:bottom w:val="none" w:sz="0" w:space="0" w:color="auto"/>
        <w:right w:val="none" w:sz="0" w:space="0" w:color="auto"/>
      </w:divBdr>
    </w:div>
    <w:div w:id="827943683">
      <w:bodyDiv w:val="1"/>
      <w:marLeft w:val="0"/>
      <w:marRight w:val="0"/>
      <w:marTop w:val="0"/>
      <w:marBottom w:val="0"/>
      <w:divBdr>
        <w:top w:val="none" w:sz="0" w:space="0" w:color="auto"/>
        <w:left w:val="none" w:sz="0" w:space="0" w:color="auto"/>
        <w:bottom w:val="none" w:sz="0" w:space="0" w:color="auto"/>
        <w:right w:val="none" w:sz="0" w:space="0" w:color="auto"/>
      </w:divBdr>
    </w:div>
    <w:div w:id="829638594">
      <w:bodyDiv w:val="1"/>
      <w:marLeft w:val="0"/>
      <w:marRight w:val="0"/>
      <w:marTop w:val="0"/>
      <w:marBottom w:val="0"/>
      <w:divBdr>
        <w:top w:val="none" w:sz="0" w:space="0" w:color="auto"/>
        <w:left w:val="none" w:sz="0" w:space="0" w:color="auto"/>
        <w:bottom w:val="none" w:sz="0" w:space="0" w:color="auto"/>
        <w:right w:val="none" w:sz="0" w:space="0" w:color="auto"/>
      </w:divBdr>
    </w:div>
    <w:div w:id="829709268">
      <w:bodyDiv w:val="1"/>
      <w:marLeft w:val="0"/>
      <w:marRight w:val="0"/>
      <w:marTop w:val="0"/>
      <w:marBottom w:val="0"/>
      <w:divBdr>
        <w:top w:val="none" w:sz="0" w:space="0" w:color="auto"/>
        <w:left w:val="none" w:sz="0" w:space="0" w:color="auto"/>
        <w:bottom w:val="none" w:sz="0" w:space="0" w:color="auto"/>
        <w:right w:val="none" w:sz="0" w:space="0" w:color="auto"/>
      </w:divBdr>
    </w:div>
    <w:div w:id="831212675">
      <w:bodyDiv w:val="1"/>
      <w:marLeft w:val="0"/>
      <w:marRight w:val="0"/>
      <w:marTop w:val="0"/>
      <w:marBottom w:val="0"/>
      <w:divBdr>
        <w:top w:val="none" w:sz="0" w:space="0" w:color="auto"/>
        <w:left w:val="none" w:sz="0" w:space="0" w:color="auto"/>
        <w:bottom w:val="none" w:sz="0" w:space="0" w:color="auto"/>
        <w:right w:val="none" w:sz="0" w:space="0" w:color="auto"/>
      </w:divBdr>
    </w:div>
    <w:div w:id="834489179">
      <w:bodyDiv w:val="1"/>
      <w:marLeft w:val="0"/>
      <w:marRight w:val="0"/>
      <w:marTop w:val="0"/>
      <w:marBottom w:val="0"/>
      <w:divBdr>
        <w:top w:val="none" w:sz="0" w:space="0" w:color="auto"/>
        <w:left w:val="none" w:sz="0" w:space="0" w:color="auto"/>
        <w:bottom w:val="none" w:sz="0" w:space="0" w:color="auto"/>
        <w:right w:val="none" w:sz="0" w:space="0" w:color="auto"/>
      </w:divBdr>
    </w:div>
    <w:div w:id="834564543">
      <w:bodyDiv w:val="1"/>
      <w:marLeft w:val="0"/>
      <w:marRight w:val="0"/>
      <w:marTop w:val="0"/>
      <w:marBottom w:val="0"/>
      <w:divBdr>
        <w:top w:val="none" w:sz="0" w:space="0" w:color="auto"/>
        <w:left w:val="none" w:sz="0" w:space="0" w:color="auto"/>
        <w:bottom w:val="none" w:sz="0" w:space="0" w:color="auto"/>
        <w:right w:val="none" w:sz="0" w:space="0" w:color="auto"/>
      </w:divBdr>
    </w:div>
    <w:div w:id="836116140">
      <w:bodyDiv w:val="1"/>
      <w:marLeft w:val="0"/>
      <w:marRight w:val="0"/>
      <w:marTop w:val="0"/>
      <w:marBottom w:val="0"/>
      <w:divBdr>
        <w:top w:val="none" w:sz="0" w:space="0" w:color="auto"/>
        <w:left w:val="none" w:sz="0" w:space="0" w:color="auto"/>
        <w:bottom w:val="none" w:sz="0" w:space="0" w:color="auto"/>
        <w:right w:val="none" w:sz="0" w:space="0" w:color="auto"/>
      </w:divBdr>
    </w:div>
    <w:div w:id="839198424">
      <w:bodyDiv w:val="1"/>
      <w:marLeft w:val="0"/>
      <w:marRight w:val="0"/>
      <w:marTop w:val="0"/>
      <w:marBottom w:val="0"/>
      <w:divBdr>
        <w:top w:val="none" w:sz="0" w:space="0" w:color="auto"/>
        <w:left w:val="none" w:sz="0" w:space="0" w:color="auto"/>
        <w:bottom w:val="none" w:sz="0" w:space="0" w:color="auto"/>
        <w:right w:val="none" w:sz="0" w:space="0" w:color="auto"/>
      </w:divBdr>
    </w:div>
    <w:div w:id="840000487">
      <w:bodyDiv w:val="1"/>
      <w:marLeft w:val="0"/>
      <w:marRight w:val="0"/>
      <w:marTop w:val="0"/>
      <w:marBottom w:val="0"/>
      <w:divBdr>
        <w:top w:val="none" w:sz="0" w:space="0" w:color="auto"/>
        <w:left w:val="none" w:sz="0" w:space="0" w:color="auto"/>
        <w:bottom w:val="none" w:sz="0" w:space="0" w:color="auto"/>
        <w:right w:val="none" w:sz="0" w:space="0" w:color="auto"/>
      </w:divBdr>
    </w:div>
    <w:div w:id="840973395">
      <w:bodyDiv w:val="1"/>
      <w:marLeft w:val="0"/>
      <w:marRight w:val="0"/>
      <w:marTop w:val="0"/>
      <w:marBottom w:val="0"/>
      <w:divBdr>
        <w:top w:val="none" w:sz="0" w:space="0" w:color="auto"/>
        <w:left w:val="none" w:sz="0" w:space="0" w:color="auto"/>
        <w:bottom w:val="none" w:sz="0" w:space="0" w:color="auto"/>
        <w:right w:val="none" w:sz="0" w:space="0" w:color="auto"/>
      </w:divBdr>
    </w:div>
    <w:div w:id="841356836">
      <w:bodyDiv w:val="1"/>
      <w:marLeft w:val="0"/>
      <w:marRight w:val="0"/>
      <w:marTop w:val="0"/>
      <w:marBottom w:val="0"/>
      <w:divBdr>
        <w:top w:val="none" w:sz="0" w:space="0" w:color="auto"/>
        <w:left w:val="none" w:sz="0" w:space="0" w:color="auto"/>
        <w:bottom w:val="none" w:sz="0" w:space="0" w:color="auto"/>
        <w:right w:val="none" w:sz="0" w:space="0" w:color="auto"/>
      </w:divBdr>
    </w:div>
    <w:div w:id="842937718">
      <w:bodyDiv w:val="1"/>
      <w:marLeft w:val="0"/>
      <w:marRight w:val="0"/>
      <w:marTop w:val="0"/>
      <w:marBottom w:val="0"/>
      <w:divBdr>
        <w:top w:val="none" w:sz="0" w:space="0" w:color="auto"/>
        <w:left w:val="none" w:sz="0" w:space="0" w:color="auto"/>
        <w:bottom w:val="none" w:sz="0" w:space="0" w:color="auto"/>
        <w:right w:val="none" w:sz="0" w:space="0" w:color="auto"/>
      </w:divBdr>
    </w:div>
    <w:div w:id="843204845">
      <w:bodyDiv w:val="1"/>
      <w:marLeft w:val="0"/>
      <w:marRight w:val="0"/>
      <w:marTop w:val="0"/>
      <w:marBottom w:val="0"/>
      <w:divBdr>
        <w:top w:val="none" w:sz="0" w:space="0" w:color="auto"/>
        <w:left w:val="none" w:sz="0" w:space="0" w:color="auto"/>
        <w:bottom w:val="none" w:sz="0" w:space="0" w:color="auto"/>
        <w:right w:val="none" w:sz="0" w:space="0" w:color="auto"/>
      </w:divBdr>
    </w:div>
    <w:div w:id="843785172">
      <w:bodyDiv w:val="1"/>
      <w:marLeft w:val="0"/>
      <w:marRight w:val="0"/>
      <w:marTop w:val="0"/>
      <w:marBottom w:val="0"/>
      <w:divBdr>
        <w:top w:val="none" w:sz="0" w:space="0" w:color="auto"/>
        <w:left w:val="none" w:sz="0" w:space="0" w:color="auto"/>
        <w:bottom w:val="none" w:sz="0" w:space="0" w:color="auto"/>
        <w:right w:val="none" w:sz="0" w:space="0" w:color="auto"/>
      </w:divBdr>
    </w:div>
    <w:div w:id="843863600">
      <w:bodyDiv w:val="1"/>
      <w:marLeft w:val="0"/>
      <w:marRight w:val="0"/>
      <w:marTop w:val="0"/>
      <w:marBottom w:val="0"/>
      <w:divBdr>
        <w:top w:val="none" w:sz="0" w:space="0" w:color="auto"/>
        <w:left w:val="none" w:sz="0" w:space="0" w:color="auto"/>
        <w:bottom w:val="none" w:sz="0" w:space="0" w:color="auto"/>
        <w:right w:val="none" w:sz="0" w:space="0" w:color="auto"/>
      </w:divBdr>
    </w:div>
    <w:div w:id="848327659">
      <w:bodyDiv w:val="1"/>
      <w:marLeft w:val="0"/>
      <w:marRight w:val="0"/>
      <w:marTop w:val="0"/>
      <w:marBottom w:val="0"/>
      <w:divBdr>
        <w:top w:val="none" w:sz="0" w:space="0" w:color="auto"/>
        <w:left w:val="none" w:sz="0" w:space="0" w:color="auto"/>
        <w:bottom w:val="none" w:sz="0" w:space="0" w:color="auto"/>
        <w:right w:val="none" w:sz="0" w:space="0" w:color="auto"/>
      </w:divBdr>
    </w:div>
    <w:div w:id="849831646">
      <w:bodyDiv w:val="1"/>
      <w:marLeft w:val="0"/>
      <w:marRight w:val="0"/>
      <w:marTop w:val="0"/>
      <w:marBottom w:val="0"/>
      <w:divBdr>
        <w:top w:val="none" w:sz="0" w:space="0" w:color="auto"/>
        <w:left w:val="none" w:sz="0" w:space="0" w:color="auto"/>
        <w:bottom w:val="none" w:sz="0" w:space="0" w:color="auto"/>
        <w:right w:val="none" w:sz="0" w:space="0" w:color="auto"/>
      </w:divBdr>
    </w:div>
    <w:div w:id="852570350">
      <w:bodyDiv w:val="1"/>
      <w:marLeft w:val="0"/>
      <w:marRight w:val="0"/>
      <w:marTop w:val="0"/>
      <w:marBottom w:val="0"/>
      <w:divBdr>
        <w:top w:val="none" w:sz="0" w:space="0" w:color="auto"/>
        <w:left w:val="none" w:sz="0" w:space="0" w:color="auto"/>
        <w:bottom w:val="none" w:sz="0" w:space="0" w:color="auto"/>
        <w:right w:val="none" w:sz="0" w:space="0" w:color="auto"/>
      </w:divBdr>
    </w:div>
    <w:div w:id="853110053">
      <w:bodyDiv w:val="1"/>
      <w:marLeft w:val="0"/>
      <w:marRight w:val="0"/>
      <w:marTop w:val="0"/>
      <w:marBottom w:val="0"/>
      <w:divBdr>
        <w:top w:val="none" w:sz="0" w:space="0" w:color="auto"/>
        <w:left w:val="none" w:sz="0" w:space="0" w:color="auto"/>
        <w:bottom w:val="none" w:sz="0" w:space="0" w:color="auto"/>
        <w:right w:val="none" w:sz="0" w:space="0" w:color="auto"/>
      </w:divBdr>
    </w:div>
    <w:div w:id="853497871">
      <w:bodyDiv w:val="1"/>
      <w:marLeft w:val="0"/>
      <w:marRight w:val="0"/>
      <w:marTop w:val="0"/>
      <w:marBottom w:val="0"/>
      <w:divBdr>
        <w:top w:val="none" w:sz="0" w:space="0" w:color="auto"/>
        <w:left w:val="none" w:sz="0" w:space="0" w:color="auto"/>
        <w:bottom w:val="none" w:sz="0" w:space="0" w:color="auto"/>
        <w:right w:val="none" w:sz="0" w:space="0" w:color="auto"/>
      </w:divBdr>
    </w:div>
    <w:div w:id="855114923">
      <w:bodyDiv w:val="1"/>
      <w:marLeft w:val="0"/>
      <w:marRight w:val="0"/>
      <w:marTop w:val="0"/>
      <w:marBottom w:val="0"/>
      <w:divBdr>
        <w:top w:val="none" w:sz="0" w:space="0" w:color="auto"/>
        <w:left w:val="none" w:sz="0" w:space="0" w:color="auto"/>
        <w:bottom w:val="none" w:sz="0" w:space="0" w:color="auto"/>
        <w:right w:val="none" w:sz="0" w:space="0" w:color="auto"/>
      </w:divBdr>
    </w:div>
    <w:div w:id="855920853">
      <w:bodyDiv w:val="1"/>
      <w:marLeft w:val="0"/>
      <w:marRight w:val="0"/>
      <w:marTop w:val="0"/>
      <w:marBottom w:val="0"/>
      <w:divBdr>
        <w:top w:val="none" w:sz="0" w:space="0" w:color="auto"/>
        <w:left w:val="none" w:sz="0" w:space="0" w:color="auto"/>
        <w:bottom w:val="none" w:sz="0" w:space="0" w:color="auto"/>
        <w:right w:val="none" w:sz="0" w:space="0" w:color="auto"/>
      </w:divBdr>
    </w:div>
    <w:div w:id="856967692">
      <w:bodyDiv w:val="1"/>
      <w:marLeft w:val="0"/>
      <w:marRight w:val="0"/>
      <w:marTop w:val="0"/>
      <w:marBottom w:val="0"/>
      <w:divBdr>
        <w:top w:val="none" w:sz="0" w:space="0" w:color="auto"/>
        <w:left w:val="none" w:sz="0" w:space="0" w:color="auto"/>
        <w:bottom w:val="none" w:sz="0" w:space="0" w:color="auto"/>
        <w:right w:val="none" w:sz="0" w:space="0" w:color="auto"/>
      </w:divBdr>
    </w:div>
    <w:div w:id="857424086">
      <w:bodyDiv w:val="1"/>
      <w:marLeft w:val="0"/>
      <w:marRight w:val="0"/>
      <w:marTop w:val="0"/>
      <w:marBottom w:val="0"/>
      <w:divBdr>
        <w:top w:val="none" w:sz="0" w:space="0" w:color="auto"/>
        <w:left w:val="none" w:sz="0" w:space="0" w:color="auto"/>
        <w:bottom w:val="none" w:sz="0" w:space="0" w:color="auto"/>
        <w:right w:val="none" w:sz="0" w:space="0" w:color="auto"/>
      </w:divBdr>
    </w:div>
    <w:div w:id="858008404">
      <w:bodyDiv w:val="1"/>
      <w:marLeft w:val="0"/>
      <w:marRight w:val="0"/>
      <w:marTop w:val="0"/>
      <w:marBottom w:val="0"/>
      <w:divBdr>
        <w:top w:val="none" w:sz="0" w:space="0" w:color="auto"/>
        <w:left w:val="none" w:sz="0" w:space="0" w:color="auto"/>
        <w:bottom w:val="none" w:sz="0" w:space="0" w:color="auto"/>
        <w:right w:val="none" w:sz="0" w:space="0" w:color="auto"/>
      </w:divBdr>
    </w:div>
    <w:div w:id="860164104">
      <w:bodyDiv w:val="1"/>
      <w:marLeft w:val="0"/>
      <w:marRight w:val="0"/>
      <w:marTop w:val="0"/>
      <w:marBottom w:val="0"/>
      <w:divBdr>
        <w:top w:val="none" w:sz="0" w:space="0" w:color="auto"/>
        <w:left w:val="none" w:sz="0" w:space="0" w:color="auto"/>
        <w:bottom w:val="none" w:sz="0" w:space="0" w:color="auto"/>
        <w:right w:val="none" w:sz="0" w:space="0" w:color="auto"/>
      </w:divBdr>
    </w:div>
    <w:div w:id="860440020">
      <w:bodyDiv w:val="1"/>
      <w:marLeft w:val="0"/>
      <w:marRight w:val="0"/>
      <w:marTop w:val="0"/>
      <w:marBottom w:val="0"/>
      <w:divBdr>
        <w:top w:val="none" w:sz="0" w:space="0" w:color="auto"/>
        <w:left w:val="none" w:sz="0" w:space="0" w:color="auto"/>
        <w:bottom w:val="none" w:sz="0" w:space="0" w:color="auto"/>
        <w:right w:val="none" w:sz="0" w:space="0" w:color="auto"/>
      </w:divBdr>
    </w:div>
    <w:div w:id="861627830">
      <w:bodyDiv w:val="1"/>
      <w:marLeft w:val="0"/>
      <w:marRight w:val="0"/>
      <w:marTop w:val="0"/>
      <w:marBottom w:val="0"/>
      <w:divBdr>
        <w:top w:val="none" w:sz="0" w:space="0" w:color="auto"/>
        <w:left w:val="none" w:sz="0" w:space="0" w:color="auto"/>
        <w:bottom w:val="none" w:sz="0" w:space="0" w:color="auto"/>
        <w:right w:val="none" w:sz="0" w:space="0" w:color="auto"/>
      </w:divBdr>
    </w:div>
    <w:div w:id="863054680">
      <w:bodyDiv w:val="1"/>
      <w:marLeft w:val="0"/>
      <w:marRight w:val="0"/>
      <w:marTop w:val="0"/>
      <w:marBottom w:val="0"/>
      <w:divBdr>
        <w:top w:val="none" w:sz="0" w:space="0" w:color="auto"/>
        <w:left w:val="none" w:sz="0" w:space="0" w:color="auto"/>
        <w:bottom w:val="none" w:sz="0" w:space="0" w:color="auto"/>
        <w:right w:val="none" w:sz="0" w:space="0" w:color="auto"/>
      </w:divBdr>
    </w:div>
    <w:div w:id="863399589">
      <w:bodyDiv w:val="1"/>
      <w:marLeft w:val="0"/>
      <w:marRight w:val="0"/>
      <w:marTop w:val="0"/>
      <w:marBottom w:val="0"/>
      <w:divBdr>
        <w:top w:val="none" w:sz="0" w:space="0" w:color="auto"/>
        <w:left w:val="none" w:sz="0" w:space="0" w:color="auto"/>
        <w:bottom w:val="none" w:sz="0" w:space="0" w:color="auto"/>
        <w:right w:val="none" w:sz="0" w:space="0" w:color="auto"/>
      </w:divBdr>
    </w:div>
    <w:div w:id="864439759">
      <w:bodyDiv w:val="1"/>
      <w:marLeft w:val="0"/>
      <w:marRight w:val="0"/>
      <w:marTop w:val="0"/>
      <w:marBottom w:val="0"/>
      <w:divBdr>
        <w:top w:val="none" w:sz="0" w:space="0" w:color="auto"/>
        <w:left w:val="none" w:sz="0" w:space="0" w:color="auto"/>
        <w:bottom w:val="none" w:sz="0" w:space="0" w:color="auto"/>
        <w:right w:val="none" w:sz="0" w:space="0" w:color="auto"/>
      </w:divBdr>
    </w:div>
    <w:div w:id="865368826">
      <w:bodyDiv w:val="1"/>
      <w:marLeft w:val="0"/>
      <w:marRight w:val="0"/>
      <w:marTop w:val="0"/>
      <w:marBottom w:val="0"/>
      <w:divBdr>
        <w:top w:val="none" w:sz="0" w:space="0" w:color="auto"/>
        <w:left w:val="none" w:sz="0" w:space="0" w:color="auto"/>
        <w:bottom w:val="none" w:sz="0" w:space="0" w:color="auto"/>
        <w:right w:val="none" w:sz="0" w:space="0" w:color="auto"/>
      </w:divBdr>
    </w:div>
    <w:div w:id="866991501">
      <w:bodyDiv w:val="1"/>
      <w:marLeft w:val="0"/>
      <w:marRight w:val="0"/>
      <w:marTop w:val="0"/>
      <w:marBottom w:val="0"/>
      <w:divBdr>
        <w:top w:val="none" w:sz="0" w:space="0" w:color="auto"/>
        <w:left w:val="none" w:sz="0" w:space="0" w:color="auto"/>
        <w:bottom w:val="none" w:sz="0" w:space="0" w:color="auto"/>
        <w:right w:val="none" w:sz="0" w:space="0" w:color="auto"/>
      </w:divBdr>
    </w:div>
    <w:div w:id="867789743">
      <w:bodyDiv w:val="1"/>
      <w:marLeft w:val="0"/>
      <w:marRight w:val="0"/>
      <w:marTop w:val="0"/>
      <w:marBottom w:val="0"/>
      <w:divBdr>
        <w:top w:val="none" w:sz="0" w:space="0" w:color="auto"/>
        <w:left w:val="none" w:sz="0" w:space="0" w:color="auto"/>
        <w:bottom w:val="none" w:sz="0" w:space="0" w:color="auto"/>
        <w:right w:val="none" w:sz="0" w:space="0" w:color="auto"/>
      </w:divBdr>
    </w:div>
    <w:div w:id="868178059">
      <w:bodyDiv w:val="1"/>
      <w:marLeft w:val="0"/>
      <w:marRight w:val="0"/>
      <w:marTop w:val="0"/>
      <w:marBottom w:val="0"/>
      <w:divBdr>
        <w:top w:val="none" w:sz="0" w:space="0" w:color="auto"/>
        <w:left w:val="none" w:sz="0" w:space="0" w:color="auto"/>
        <w:bottom w:val="none" w:sz="0" w:space="0" w:color="auto"/>
        <w:right w:val="none" w:sz="0" w:space="0" w:color="auto"/>
      </w:divBdr>
    </w:div>
    <w:div w:id="869608355">
      <w:bodyDiv w:val="1"/>
      <w:marLeft w:val="0"/>
      <w:marRight w:val="0"/>
      <w:marTop w:val="0"/>
      <w:marBottom w:val="0"/>
      <w:divBdr>
        <w:top w:val="none" w:sz="0" w:space="0" w:color="auto"/>
        <w:left w:val="none" w:sz="0" w:space="0" w:color="auto"/>
        <w:bottom w:val="none" w:sz="0" w:space="0" w:color="auto"/>
        <w:right w:val="none" w:sz="0" w:space="0" w:color="auto"/>
      </w:divBdr>
    </w:div>
    <w:div w:id="869610598">
      <w:bodyDiv w:val="1"/>
      <w:marLeft w:val="0"/>
      <w:marRight w:val="0"/>
      <w:marTop w:val="0"/>
      <w:marBottom w:val="0"/>
      <w:divBdr>
        <w:top w:val="none" w:sz="0" w:space="0" w:color="auto"/>
        <w:left w:val="none" w:sz="0" w:space="0" w:color="auto"/>
        <w:bottom w:val="none" w:sz="0" w:space="0" w:color="auto"/>
        <w:right w:val="none" w:sz="0" w:space="0" w:color="auto"/>
      </w:divBdr>
    </w:div>
    <w:div w:id="871260501">
      <w:bodyDiv w:val="1"/>
      <w:marLeft w:val="0"/>
      <w:marRight w:val="0"/>
      <w:marTop w:val="0"/>
      <w:marBottom w:val="0"/>
      <w:divBdr>
        <w:top w:val="none" w:sz="0" w:space="0" w:color="auto"/>
        <w:left w:val="none" w:sz="0" w:space="0" w:color="auto"/>
        <w:bottom w:val="none" w:sz="0" w:space="0" w:color="auto"/>
        <w:right w:val="none" w:sz="0" w:space="0" w:color="auto"/>
      </w:divBdr>
    </w:div>
    <w:div w:id="872813812">
      <w:bodyDiv w:val="1"/>
      <w:marLeft w:val="0"/>
      <w:marRight w:val="0"/>
      <w:marTop w:val="0"/>
      <w:marBottom w:val="0"/>
      <w:divBdr>
        <w:top w:val="none" w:sz="0" w:space="0" w:color="auto"/>
        <w:left w:val="none" w:sz="0" w:space="0" w:color="auto"/>
        <w:bottom w:val="none" w:sz="0" w:space="0" w:color="auto"/>
        <w:right w:val="none" w:sz="0" w:space="0" w:color="auto"/>
      </w:divBdr>
    </w:div>
    <w:div w:id="874733602">
      <w:bodyDiv w:val="1"/>
      <w:marLeft w:val="0"/>
      <w:marRight w:val="0"/>
      <w:marTop w:val="0"/>
      <w:marBottom w:val="0"/>
      <w:divBdr>
        <w:top w:val="none" w:sz="0" w:space="0" w:color="auto"/>
        <w:left w:val="none" w:sz="0" w:space="0" w:color="auto"/>
        <w:bottom w:val="none" w:sz="0" w:space="0" w:color="auto"/>
        <w:right w:val="none" w:sz="0" w:space="0" w:color="auto"/>
      </w:divBdr>
    </w:div>
    <w:div w:id="874736092">
      <w:bodyDiv w:val="1"/>
      <w:marLeft w:val="0"/>
      <w:marRight w:val="0"/>
      <w:marTop w:val="0"/>
      <w:marBottom w:val="0"/>
      <w:divBdr>
        <w:top w:val="none" w:sz="0" w:space="0" w:color="auto"/>
        <w:left w:val="none" w:sz="0" w:space="0" w:color="auto"/>
        <w:bottom w:val="none" w:sz="0" w:space="0" w:color="auto"/>
        <w:right w:val="none" w:sz="0" w:space="0" w:color="auto"/>
      </w:divBdr>
    </w:div>
    <w:div w:id="880019326">
      <w:bodyDiv w:val="1"/>
      <w:marLeft w:val="0"/>
      <w:marRight w:val="0"/>
      <w:marTop w:val="0"/>
      <w:marBottom w:val="0"/>
      <w:divBdr>
        <w:top w:val="none" w:sz="0" w:space="0" w:color="auto"/>
        <w:left w:val="none" w:sz="0" w:space="0" w:color="auto"/>
        <w:bottom w:val="none" w:sz="0" w:space="0" w:color="auto"/>
        <w:right w:val="none" w:sz="0" w:space="0" w:color="auto"/>
      </w:divBdr>
    </w:div>
    <w:div w:id="881097598">
      <w:bodyDiv w:val="1"/>
      <w:marLeft w:val="0"/>
      <w:marRight w:val="0"/>
      <w:marTop w:val="0"/>
      <w:marBottom w:val="0"/>
      <w:divBdr>
        <w:top w:val="none" w:sz="0" w:space="0" w:color="auto"/>
        <w:left w:val="none" w:sz="0" w:space="0" w:color="auto"/>
        <w:bottom w:val="none" w:sz="0" w:space="0" w:color="auto"/>
        <w:right w:val="none" w:sz="0" w:space="0" w:color="auto"/>
      </w:divBdr>
    </w:div>
    <w:div w:id="882795072">
      <w:bodyDiv w:val="1"/>
      <w:marLeft w:val="0"/>
      <w:marRight w:val="0"/>
      <w:marTop w:val="0"/>
      <w:marBottom w:val="0"/>
      <w:divBdr>
        <w:top w:val="none" w:sz="0" w:space="0" w:color="auto"/>
        <w:left w:val="none" w:sz="0" w:space="0" w:color="auto"/>
        <w:bottom w:val="none" w:sz="0" w:space="0" w:color="auto"/>
        <w:right w:val="none" w:sz="0" w:space="0" w:color="auto"/>
      </w:divBdr>
    </w:div>
    <w:div w:id="883979287">
      <w:bodyDiv w:val="1"/>
      <w:marLeft w:val="0"/>
      <w:marRight w:val="0"/>
      <w:marTop w:val="0"/>
      <w:marBottom w:val="0"/>
      <w:divBdr>
        <w:top w:val="none" w:sz="0" w:space="0" w:color="auto"/>
        <w:left w:val="none" w:sz="0" w:space="0" w:color="auto"/>
        <w:bottom w:val="none" w:sz="0" w:space="0" w:color="auto"/>
        <w:right w:val="none" w:sz="0" w:space="0" w:color="auto"/>
      </w:divBdr>
    </w:div>
    <w:div w:id="884827528">
      <w:bodyDiv w:val="1"/>
      <w:marLeft w:val="0"/>
      <w:marRight w:val="0"/>
      <w:marTop w:val="0"/>
      <w:marBottom w:val="0"/>
      <w:divBdr>
        <w:top w:val="none" w:sz="0" w:space="0" w:color="auto"/>
        <w:left w:val="none" w:sz="0" w:space="0" w:color="auto"/>
        <w:bottom w:val="none" w:sz="0" w:space="0" w:color="auto"/>
        <w:right w:val="none" w:sz="0" w:space="0" w:color="auto"/>
      </w:divBdr>
    </w:div>
    <w:div w:id="887764537">
      <w:bodyDiv w:val="1"/>
      <w:marLeft w:val="0"/>
      <w:marRight w:val="0"/>
      <w:marTop w:val="0"/>
      <w:marBottom w:val="0"/>
      <w:divBdr>
        <w:top w:val="none" w:sz="0" w:space="0" w:color="auto"/>
        <w:left w:val="none" w:sz="0" w:space="0" w:color="auto"/>
        <w:bottom w:val="none" w:sz="0" w:space="0" w:color="auto"/>
        <w:right w:val="none" w:sz="0" w:space="0" w:color="auto"/>
      </w:divBdr>
    </w:div>
    <w:div w:id="887958224">
      <w:bodyDiv w:val="1"/>
      <w:marLeft w:val="0"/>
      <w:marRight w:val="0"/>
      <w:marTop w:val="0"/>
      <w:marBottom w:val="0"/>
      <w:divBdr>
        <w:top w:val="none" w:sz="0" w:space="0" w:color="auto"/>
        <w:left w:val="none" w:sz="0" w:space="0" w:color="auto"/>
        <w:bottom w:val="none" w:sz="0" w:space="0" w:color="auto"/>
        <w:right w:val="none" w:sz="0" w:space="0" w:color="auto"/>
      </w:divBdr>
    </w:div>
    <w:div w:id="889804401">
      <w:bodyDiv w:val="1"/>
      <w:marLeft w:val="0"/>
      <w:marRight w:val="0"/>
      <w:marTop w:val="0"/>
      <w:marBottom w:val="0"/>
      <w:divBdr>
        <w:top w:val="none" w:sz="0" w:space="0" w:color="auto"/>
        <w:left w:val="none" w:sz="0" w:space="0" w:color="auto"/>
        <w:bottom w:val="none" w:sz="0" w:space="0" w:color="auto"/>
        <w:right w:val="none" w:sz="0" w:space="0" w:color="auto"/>
      </w:divBdr>
    </w:div>
    <w:div w:id="892691270">
      <w:bodyDiv w:val="1"/>
      <w:marLeft w:val="0"/>
      <w:marRight w:val="0"/>
      <w:marTop w:val="0"/>
      <w:marBottom w:val="0"/>
      <w:divBdr>
        <w:top w:val="none" w:sz="0" w:space="0" w:color="auto"/>
        <w:left w:val="none" w:sz="0" w:space="0" w:color="auto"/>
        <w:bottom w:val="none" w:sz="0" w:space="0" w:color="auto"/>
        <w:right w:val="none" w:sz="0" w:space="0" w:color="auto"/>
      </w:divBdr>
    </w:div>
    <w:div w:id="895437750">
      <w:bodyDiv w:val="1"/>
      <w:marLeft w:val="0"/>
      <w:marRight w:val="0"/>
      <w:marTop w:val="0"/>
      <w:marBottom w:val="0"/>
      <w:divBdr>
        <w:top w:val="none" w:sz="0" w:space="0" w:color="auto"/>
        <w:left w:val="none" w:sz="0" w:space="0" w:color="auto"/>
        <w:bottom w:val="none" w:sz="0" w:space="0" w:color="auto"/>
        <w:right w:val="none" w:sz="0" w:space="0" w:color="auto"/>
      </w:divBdr>
    </w:div>
    <w:div w:id="895698755">
      <w:bodyDiv w:val="1"/>
      <w:marLeft w:val="0"/>
      <w:marRight w:val="0"/>
      <w:marTop w:val="0"/>
      <w:marBottom w:val="0"/>
      <w:divBdr>
        <w:top w:val="none" w:sz="0" w:space="0" w:color="auto"/>
        <w:left w:val="none" w:sz="0" w:space="0" w:color="auto"/>
        <w:bottom w:val="none" w:sz="0" w:space="0" w:color="auto"/>
        <w:right w:val="none" w:sz="0" w:space="0" w:color="auto"/>
      </w:divBdr>
    </w:div>
    <w:div w:id="895967621">
      <w:bodyDiv w:val="1"/>
      <w:marLeft w:val="0"/>
      <w:marRight w:val="0"/>
      <w:marTop w:val="0"/>
      <w:marBottom w:val="0"/>
      <w:divBdr>
        <w:top w:val="none" w:sz="0" w:space="0" w:color="auto"/>
        <w:left w:val="none" w:sz="0" w:space="0" w:color="auto"/>
        <w:bottom w:val="none" w:sz="0" w:space="0" w:color="auto"/>
        <w:right w:val="none" w:sz="0" w:space="0" w:color="auto"/>
      </w:divBdr>
    </w:div>
    <w:div w:id="897394857">
      <w:bodyDiv w:val="1"/>
      <w:marLeft w:val="0"/>
      <w:marRight w:val="0"/>
      <w:marTop w:val="0"/>
      <w:marBottom w:val="0"/>
      <w:divBdr>
        <w:top w:val="none" w:sz="0" w:space="0" w:color="auto"/>
        <w:left w:val="none" w:sz="0" w:space="0" w:color="auto"/>
        <w:bottom w:val="none" w:sz="0" w:space="0" w:color="auto"/>
        <w:right w:val="none" w:sz="0" w:space="0" w:color="auto"/>
      </w:divBdr>
    </w:div>
    <w:div w:id="897978306">
      <w:bodyDiv w:val="1"/>
      <w:marLeft w:val="0"/>
      <w:marRight w:val="0"/>
      <w:marTop w:val="0"/>
      <w:marBottom w:val="0"/>
      <w:divBdr>
        <w:top w:val="none" w:sz="0" w:space="0" w:color="auto"/>
        <w:left w:val="none" w:sz="0" w:space="0" w:color="auto"/>
        <w:bottom w:val="none" w:sz="0" w:space="0" w:color="auto"/>
        <w:right w:val="none" w:sz="0" w:space="0" w:color="auto"/>
      </w:divBdr>
    </w:div>
    <w:div w:id="899096878">
      <w:bodyDiv w:val="1"/>
      <w:marLeft w:val="0"/>
      <w:marRight w:val="0"/>
      <w:marTop w:val="0"/>
      <w:marBottom w:val="0"/>
      <w:divBdr>
        <w:top w:val="none" w:sz="0" w:space="0" w:color="auto"/>
        <w:left w:val="none" w:sz="0" w:space="0" w:color="auto"/>
        <w:bottom w:val="none" w:sz="0" w:space="0" w:color="auto"/>
        <w:right w:val="none" w:sz="0" w:space="0" w:color="auto"/>
      </w:divBdr>
    </w:div>
    <w:div w:id="899367710">
      <w:bodyDiv w:val="1"/>
      <w:marLeft w:val="0"/>
      <w:marRight w:val="0"/>
      <w:marTop w:val="0"/>
      <w:marBottom w:val="0"/>
      <w:divBdr>
        <w:top w:val="none" w:sz="0" w:space="0" w:color="auto"/>
        <w:left w:val="none" w:sz="0" w:space="0" w:color="auto"/>
        <w:bottom w:val="none" w:sz="0" w:space="0" w:color="auto"/>
        <w:right w:val="none" w:sz="0" w:space="0" w:color="auto"/>
      </w:divBdr>
    </w:div>
    <w:div w:id="899512989">
      <w:bodyDiv w:val="1"/>
      <w:marLeft w:val="0"/>
      <w:marRight w:val="0"/>
      <w:marTop w:val="0"/>
      <w:marBottom w:val="0"/>
      <w:divBdr>
        <w:top w:val="none" w:sz="0" w:space="0" w:color="auto"/>
        <w:left w:val="none" w:sz="0" w:space="0" w:color="auto"/>
        <w:bottom w:val="none" w:sz="0" w:space="0" w:color="auto"/>
        <w:right w:val="none" w:sz="0" w:space="0" w:color="auto"/>
      </w:divBdr>
    </w:div>
    <w:div w:id="900403594">
      <w:bodyDiv w:val="1"/>
      <w:marLeft w:val="0"/>
      <w:marRight w:val="0"/>
      <w:marTop w:val="0"/>
      <w:marBottom w:val="0"/>
      <w:divBdr>
        <w:top w:val="none" w:sz="0" w:space="0" w:color="auto"/>
        <w:left w:val="none" w:sz="0" w:space="0" w:color="auto"/>
        <w:bottom w:val="none" w:sz="0" w:space="0" w:color="auto"/>
        <w:right w:val="none" w:sz="0" w:space="0" w:color="auto"/>
      </w:divBdr>
    </w:div>
    <w:div w:id="901673380">
      <w:bodyDiv w:val="1"/>
      <w:marLeft w:val="0"/>
      <w:marRight w:val="0"/>
      <w:marTop w:val="0"/>
      <w:marBottom w:val="0"/>
      <w:divBdr>
        <w:top w:val="none" w:sz="0" w:space="0" w:color="auto"/>
        <w:left w:val="none" w:sz="0" w:space="0" w:color="auto"/>
        <w:bottom w:val="none" w:sz="0" w:space="0" w:color="auto"/>
        <w:right w:val="none" w:sz="0" w:space="0" w:color="auto"/>
      </w:divBdr>
    </w:div>
    <w:div w:id="901865600">
      <w:bodyDiv w:val="1"/>
      <w:marLeft w:val="0"/>
      <w:marRight w:val="0"/>
      <w:marTop w:val="0"/>
      <w:marBottom w:val="0"/>
      <w:divBdr>
        <w:top w:val="none" w:sz="0" w:space="0" w:color="auto"/>
        <w:left w:val="none" w:sz="0" w:space="0" w:color="auto"/>
        <w:bottom w:val="none" w:sz="0" w:space="0" w:color="auto"/>
        <w:right w:val="none" w:sz="0" w:space="0" w:color="auto"/>
      </w:divBdr>
    </w:div>
    <w:div w:id="901907270">
      <w:bodyDiv w:val="1"/>
      <w:marLeft w:val="0"/>
      <w:marRight w:val="0"/>
      <w:marTop w:val="0"/>
      <w:marBottom w:val="0"/>
      <w:divBdr>
        <w:top w:val="none" w:sz="0" w:space="0" w:color="auto"/>
        <w:left w:val="none" w:sz="0" w:space="0" w:color="auto"/>
        <w:bottom w:val="none" w:sz="0" w:space="0" w:color="auto"/>
        <w:right w:val="none" w:sz="0" w:space="0" w:color="auto"/>
      </w:divBdr>
    </w:div>
    <w:div w:id="901985266">
      <w:bodyDiv w:val="1"/>
      <w:marLeft w:val="0"/>
      <w:marRight w:val="0"/>
      <w:marTop w:val="0"/>
      <w:marBottom w:val="0"/>
      <w:divBdr>
        <w:top w:val="none" w:sz="0" w:space="0" w:color="auto"/>
        <w:left w:val="none" w:sz="0" w:space="0" w:color="auto"/>
        <w:bottom w:val="none" w:sz="0" w:space="0" w:color="auto"/>
        <w:right w:val="none" w:sz="0" w:space="0" w:color="auto"/>
      </w:divBdr>
    </w:div>
    <w:div w:id="903831225">
      <w:bodyDiv w:val="1"/>
      <w:marLeft w:val="0"/>
      <w:marRight w:val="0"/>
      <w:marTop w:val="0"/>
      <w:marBottom w:val="0"/>
      <w:divBdr>
        <w:top w:val="none" w:sz="0" w:space="0" w:color="auto"/>
        <w:left w:val="none" w:sz="0" w:space="0" w:color="auto"/>
        <w:bottom w:val="none" w:sz="0" w:space="0" w:color="auto"/>
        <w:right w:val="none" w:sz="0" w:space="0" w:color="auto"/>
      </w:divBdr>
    </w:div>
    <w:div w:id="905265832">
      <w:bodyDiv w:val="1"/>
      <w:marLeft w:val="0"/>
      <w:marRight w:val="0"/>
      <w:marTop w:val="0"/>
      <w:marBottom w:val="0"/>
      <w:divBdr>
        <w:top w:val="none" w:sz="0" w:space="0" w:color="auto"/>
        <w:left w:val="none" w:sz="0" w:space="0" w:color="auto"/>
        <w:bottom w:val="none" w:sz="0" w:space="0" w:color="auto"/>
        <w:right w:val="none" w:sz="0" w:space="0" w:color="auto"/>
      </w:divBdr>
    </w:div>
    <w:div w:id="906494514">
      <w:bodyDiv w:val="1"/>
      <w:marLeft w:val="0"/>
      <w:marRight w:val="0"/>
      <w:marTop w:val="0"/>
      <w:marBottom w:val="0"/>
      <w:divBdr>
        <w:top w:val="none" w:sz="0" w:space="0" w:color="auto"/>
        <w:left w:val="none" w:sz="0" w:space="0" w:color="auto"/>
        <w:bottom w:val="none" w:sz="0" w:space="0" w:color="auto"/>
        <w:right w:val="none" w:sz="0" w:space="0" w:color="auto"/>
      </w:divBdr>
    </w:div>
    <w:div w:id="907568189">
      <w:bodyDiv w:val="1"/>
      <w:marLeft w:val="0"/>
      <w:marRight w:val="0"/>
      <w:marTop w:val="0"/>
      <w:marBottom w:val="0"/>
      <w:divBdr>
        <w:top w:val="none" w:sz="0" w:space="0" w:color="auto"/>
        <w:left w:val="none" w:sz="0" w:space="0" w:color="auto"/>
        <w:bottom w:val="none" w:sz="0" w:space="0" w:color="auto"/>
        <w:right w:val="none" w:sz="0" w:space="0" w:color="auto"/>
      </w:divBdr>
    </w:div>
    <w:div w:id="908996671">
      <w:bodyDiv w:val="1"/>
      <w:marLeft w:val="0"/>
      <w:marRight w:val="0"/>
      <w:marTop w:val="0"/>
      <w:marBottom w:val="0"/>
      <w:divBdr>
        <w:top w:val="none" w:sz="0" w:space="0" w:color="auto"/>
        <w:left w:val="none" w:sz="0" w:space="0" w:color="auto"/>
        <w:bottom w:val="none" w:sz="0" w:space="0" w:color="auto"/>
        <w:right w:val="none" w:sz="0" w:space="0" w:color="auto"/>
      </w:divBdr>
    </w:div>
    <w:div w:id="910968747">
      <w:bodyDiv w:val="1"/>
      <w:marLeft w:val="0"/>
      <w:marRight w:val="0"/>
      <w:marTop w:val="0"/>
      <w:marBottom w:val="0"/>
      <w:divBdr>
        <w:top w:val="none" w:sz="0" w:space="0" w:color="auto"/>
        <w:left w:val="none" w:sz="0" w:space="0" w:color="auto"/>
        <w:bottom w:val="none" w:sz="0" w:space="0" w:color="auto"/>
        <w:right w:val="none" w:sz="0" w:space="0" w:color="auto"/>
      </w:divBdr>
    </w:div>
    <w:div w:id="911697697">
      <w:bodyDiv w:val="1"/>
      <w:marLeft w:val="0"/>
      <w:marRight w:val="0"/>
      <w:marTop w:val="0"/>
      <w:marBottom w:val="0"/>
      <w:divBdr>
        <w:top w:val="none" w:sz="0" w:space="0" w:color="auto"/>
        <w:left w:val="none" w:sz="0" w:space="0" w:color="auto"/>
        <w:bottom w:val="none" w:sz="0" w:space="0" w:color="auto"/>
        <w:right w:val="none" w:sz="0" w:space="0" w:color="auto"/>
      </w:divBdr>
    </w:div>
    <w:div w:id="913127031">
      <w:bodyDiv w:val="1"/>
      <w:marLeft w:val="0"/>
      <w:marRight w:val="0"/>
      <w:marTop w:val="0"/>
      <w:marBottom w:val="0"/>
      <w:divBdr>
        <w:top w:val="none" w:sz="0" w:space="0" w:color="auto"/>
        <w:left w:val="none" w:sz="0" w:space="0" w:color="auto"/>
        <w:bottom w:val="none" w:sz="0" w:space="0" w:color="auto"/>
        <w:right w:val="none" w:sz="0" w:space="0" w:color="auto"/>
      </w:divBdr>
    </w:div>
    <w:div w:id="913780506">
      <w:bodyDiv w:val="1"/>
      <w:marLeft w:val="0"/>
      <w:marRight w:val="0"/>
      <w:marTop w:val="0"/>
      <w:marBottom w:val="0"/>
      <w:divBdr>
        <w:top w:val="none" w:sz="0" w:space="0" w:color="auto"/>
        <w:left w:val="none" w:sz="0" w:space="0" w:color="auto"/>
        <w:bottom w:val="none" w:sz="0" w:space="0" w:color="auto"/>
        <w:right w:val="none" w:sz="0" w:space="0" w:color="auto"/>
      </w:divBdr>
    </w:div>
    <w:div w:id="914358520">
      <w:bodyDiv w:val="1"/>
      <w:marLeft w:val="0"/>
      <w:marRight w:val="0"/>
      <w:marTop w:val="0"/>
      <w:marBottom w:val="0"/>
      <w:divBdr>
        <w:top w:val="none" w:sz="0" w:space="0" w:color="auto"/>
        <w:left w:val="none" w:sz="0" w:space="0" w:color="auto"/>
        <w:bottom w:val="none" w:sz="0" w:space="0" w:color="auto"/>
        <w:right w:val="none" w:sz="0" w:space="0" w:color="auto"/>
      </w:divBdr>
    </w:div>
    <w:div w:id="915282256">
      <w:bodyDiv w:val="1"/>
      <w:marLeft w:val="0"/>
      <w:marRight w:val="0"/>
      <w:marTop w:val="0"/>
      <w:marBottom w:val="0"/>
      <w:divBdr>
        <w:top w:val="none" w:sz="0" w:space="0" w:color="auto"/>
        <w:left w:val="none" w:sz="0" w:space="0" w:color="auto"/>
        <w:bottom w:val="none" w:sz="0" w:space="0" w:color="auto"/>
        <w:right w:val="none" w:sz="0" w:space="0" w:color="auto"/>
      </w:divBdr>
    </w:div>
    <w:div w:id="915483187">
      <w:bodyDiv w:val="1"/>
      <w:marLeft w:val="0"/>
      <w:marRight w:val="0"/>
      <w:marTop w:val="0"/>
      <w:marBottom w:val="0"/>
      <w:divBdr>
        <w:top w:val="none" w:sz="0" w:space="0" w:color="auto"/>
        <w:left w:val="none" w:sz="0" w:space="0" w:color="auto"/>
        <w:bottom w:val="none" w:sz="0" w:space="0" w:color="auto"/>
        <w:right w:val="none" w:sz="0" w:space="0" w:color="auto"/>
      </w:divBdr>
    </w:div>
    <w:div w:id="915675142">
      <w:bodyDiv w:val="1"/>
      <w:marLeft w:val="0"/>
      <w:marRight w:val="0"/>
      <w:marTop w:val="0"/>
      <w:marBottom w:val="0"/>
      <w:divBdr>
        <w:top w:val="none" w:sz="0" w:space="0" w:color="auto"/>
        <w:left w:val="none" w:sz="0" w:space="0" w:color="auto"/>
        <w:bottom w:val="none" w:sz="0" w:space="0" w:color="auto"/>
        <w:right w:val="none" w:sz="0" w:space="0" w:color="auto"/>
      </w:divBdr>
    </w:div>
    <w:div w:id="916944349">
      <w:bodyDiv w:val="1"/>
      <w:marLeft w:val="0"/>
      <w:marRight w:val="0"/>
      <w:marTop w:val="0"/>
      <w:marBottom w:val="0"/>
      <w:divBdr>
        <w:top w:val="none" w:sz="0" w:space="0" w:color="auto"/>
        <w:left w:val="none" w:sz="0" w:space="0" w:color="auto"/>
        <w:bottom w:val="none" w:sz="0" w:space="0" w:color="auto"/>
        <w:right w:val="none" w:sz="0" w:space="0" w:color="auto"/>
      </w:divBdr>
    </w:div>
    <w:div w:id="917011211">
      <w:bodyDiv w:val="1"/>
      <w:marLeft w:val="0"/>
      <w:marRight w:val="0"/>
      <w:marTop w:val="0"/>
      <w:marBottom w:val="0"/>
      <w:divBdr>
        <w:top w:val="none" w:sz="0" w:space="0" w:color="auto"/>
        <w:left w:val="none" w:sz="0" w:space="0" w:color="auto"/>
        <w:bottom w:val="none" w:sz="0" w:space="0" w:color="auto"/>
        <w:right w:val="none" w:sz="0" w:space="0" w:color="auto"/>
      </w:divBdr>
    </w:div>
    <w:div w:id="919558705">
      <w:bodyDiv w:val="1"/>
      <w:marLeft w:val="0"/>
      <w:marRight w:val="0"/>
      <w:marTop w:val="0"/>
      <w:marBottom w:val="0"/>
      <w:divBdr>
        <w:top w:val="none" w:sz="0" w:space="0" w:color="auto"/>
        <w:left w:val="none" w:sz="0" w:space="0" w:color="auto"/>
        <w:bottom w:val="none" w:sz="0" w:space="0" w:color="auto"/>
        <w:right w:val="none" w:sz="0" w:space="0" w:color="auto"/>
      </w:divBdr>
    </w:div>
    <w:div w:id="919871601">
      <w:bodyDiv w:val="1"/>
      <w:marLeft w:val="0"/>
      <w:marRight w:val="0"/>
      <w:marTop w:val="0"/>
      <w:marBottom w:val="0"/>
      <w:divBdr>
        <w:top w:val="none" w:sz="0" w:space="0" w:color="auto"/>
        <w:left w:val="none" w:sz="0" w:space="0" w:color="auto"/>
        <w:bottom w:val="none" w:sz="0" w:space="0" w:color="auto"/>
        <w:right w:val="none" w:sz="0" w:space="0" w:color="auto"/>
      </w:divBdr>
    </w:div>
    <w:div w:id="920406581">
      <w:bodyDiv w:val="1"/>
      <w:marLeft w:val="0"/>
      <w:marRight w:val="0"/>
      <w:marTop w:val="0"/>
      <w:marBottom w:val="0"/>
      <w:divBdr>
        <w:top w:val="none" w:sz="0" w:space="0" w:color="auto"/>
        <w:left w:val="none" w:sz="0" w:space="0" w:color="auto"/>
        <w:bottom w:val="none" w:sz="0" w:space="0" w:color="auto"/>
        <w:right w:val="none" w:sz="0" w:space="0" w:color="auto"/>
      </w:divBdr>
    </w:div>
    <w:div w:id="921178225">
      <w:bodyDiv w:val="1"/>
      <w:marLeft w:val="0"/>
      <w:marRight w:val="0"/>
      <w:marTop w:val="0"/>
      <w:marBottom w:val="0"/>
      <w:divBdr>
        <w:top w:val="none" w:sz="0" w:space="0" w:color="auto"/>
        <w:left w:val="none" w:sz="0" w:space="0" w:color="auto"/>
        <w:bottom w:val="none" w:sz="0" w:space="0" w:color="auto"/>
        <w:right w:val="none" w:sz="0" w:space="0" w:color="auto"/>
      </w:divBdr>
    </w:div>
    <w:div w:id="922030759">
      <w:bodyDiv w:val="1"/>
      <w:marLeft w:val="0"/>
      <w:marRight w:val="0"/>
      <w:marTop w:val="0"/>
      <w:marBottom w:val="0"/>
      <w:divBdr>
        <w:top w:val="none" w:sz="0" w:space="0" w:color="auto"/>
        <w:left w:val="none" w:sz="0" w:space="0" w:color="auto"/>
        <w:bottom w:val="none" w:sz="0" w:space="0" w:color="auto"/>
        <w:right w:val="none" w:sz="0" w:space="0" w:color="auto"/>
      </w:divBdr>
    </w:div>
    <w:div w:id="923806935">
      <w:bodyDiv w:val="1"/>
      <w:marLeft w:val="0"/>
      <w:marRight w:val="0"/>
      <w:marTop w:val="0"/>
      <w:marBottom w:val="0"/>
      <w:divBdr>
        <w:top w:val="none" w:sz="0" w:space="0" w:color="auto"/>
        <w:left w:val="none" w:sz="0" w:space="0" w:color="auto"/>
        <w:bottom w:val="none" w:sz="0" w:space="0" w:color="auto"/>
        <w:right w:val="none" w:sz="0" w:space="0" w:color="auto"/>
      </w:divBdr>
    </w:div>
    <w:div w:id="923876772">
      <w:bodyDiv w:val="1"/>
      <w:marLeft w:val="0"/>
      <w:marRight w:val="0"/>
      <w:marTop w:val="0"/>
      <w:marBottom w:val="0"/>
      <w:divBdr>
        <w:top w:val="none" w:sz="0" w:space="0" w:color="auto"/>
        <w:left w:val="none" w:sz="0" w:space="0" w:color="auto"/>
        <w:bottom w:val="none" w:sz="0" w:space="0" w:color="auto"/>
        <w:right w:val="none" w:sz="0" w:space="0" w:color="auto"/>
      </w:divBdr>
    </w:div>
    <w:div w:id="923882637">
      <w:bodyDiv w:val="1"/>
      <w:marLeft w:val="0"/>
      <w:marRight w:val="0"/>
      <w:marTop w:val="0"/>
      <w:marBottom w:val="0"/>
      <w:divBdr>
        <w:top w:val="none" w:sz="0" w:space="0" w:color="auto"/>
        <w:left w:val="none" w:sz="0" w:space="0" w:color="auto"/>
        <w:bottom w:val="none" w:sz="0" w:space="0" w:color="auto"/>
        <w:right w:val="none" w:sz="0" w:space="0" w:color="auto"/>
      </w:divBdr>
    </w:div>
    <w:div w:id="925069263">
      <w:bodyDiv w:val="1"/>
      <w:marLeft w:val="0"/>
      <w:marRight w:val="0"/>
      <w:marTop w:val="0"/>
      <w:marBottom w:val="0"/>
      <w:divBdr>
        <w:top w:val="none" w:sz="0" w:space="0" w:color="auto"/>
        <w:left w:val="none" w:sz="0" w:space="0" w:color="auto"/>
        <w:bottom w:val="none" w:sz="0" w:space="0" w:color="auto"/>
        <w:right w:val="none" w:sz="0" w:space="0" w:color="auto"/>
      </w:divBdr>
    </w:div>
    <w:div w:id="926813106">
      <w:bodyDiv w:val="1"/>
      <w:marLeft w:val="0"/>
      <w:marRight w:val="0"/>
      <w:marTop w:val="0"/>
      <w:marBottom w:val="0"/>
      <w:divBdr>
        <w:top w:val="none" w:sz="0" w:space="0" w:color="auto"/>
        <w:left w:val="none" w:sz="0" w:space="0" w:color="auto"/>
        <w:bottom w:val="none" w:sz="0" w:space="0" w:color="auto"/>
        <w:right w:val="none" w:sz="0" w:space="0" w:color="auto"/>
      </w:divBdr>
    </w:div>
    <w:div w:id="927008074">
      <w:bodyDiv w:val="1"/>
      <w:marLeft w:val="0"/>
      <w:marRight w:val="0"/>
      <w:marTop w:val="0"/>
      <w:marBottom w:val="0"/>
      <w:divBdr>
        <w:top w:val="none" w:sz="0" w:space="0" w:color="auto"/>
        <w:left w:val="none" w:sz="0" w:space="0" w:color="auto"/>
        <w:bottom w:val="none" w:sz="0" w:space="0" w:color="auto"/>
        <w:right w:val="none" w:sz="0" w:space="0" w:color="auto"/>
      </w:divBdr>
    </w:div>
    <w:div w:id="928001349">
      <w:bodyDiv w:val="1"/>
      <w:marLeft w:val="0"/>
      <w:marRight w:val="0"/>
      <w:marTop w:val="0"/>
      <w:marBottom w:val="0"/>
      <w:divBdr>
        <w:top w:val="none" w:sz="0" w:space="0" w:color="auto"/>
        <w:left w:val="none" w:sz="0" w:space="0" w:color="auto"/>
        <w:bottom w:val="none" w:sz="0" w:space="0" w:color="auto"/>
        <w:right w:val="none" w:sz="0" w:space="0" w:color="auto"/>
      </w:divBdr>
    </w:div>
    <w:div w:id="928466307">
      <w:bodyDiv w:val="1"/>
      <w:marLeft w:val="0"/>
      <w:marRight w:val="0"/>
      <w:marTop w:val="0"/>
      <w:marBottom w:val="0"/>
      <w:divBdr>
        <w:top w:val="none" w:sz="0" w:space="0" w:color="auto"/>
        <w:left w:val="none" w:sz="0" w:space="0" w:color="auto"/>
        <w:bottom w:val="none" w:sz="0" w:space="0" w:color="auto"/>
        <w:right w:val="none" w:sz="0" w:space="0" w:color="auto"/>
      </w:divBdr>
    </w:div>
    <w:div w:id="930742657">
      <w:bodyDiv w:val="1"/>
      <w:marLeft w:val="0"/>
      <w:marRight w:val="0"/>
      <w:marTop w:val="0"/>
      <w:marBottom w:val="0"/>
      <w:divBdr>
        <w:top w:val="none" w:sz="0" w:space="0" w:color="auto"/>
        <w:left w:val="none" w:sz="0" w:space="0" w:color="auto"/>
        <w:bottom w:val="none" w:sz="0" w:space="0" w:color="auto"/>
        <w:right w:val="none" w:sz="0" w:space="0" w:color="auto"/>
      </w:divBdr>
    </w:div>
    <w:div w:id="932708892">
      <w:bodyDiv w:val="1"/>
      <w:marLeft w:val="0"/>
      <w:marRight w:val="0"/>
      <w:marTop w:val="0"/>
      <w:marBottom w:val="0"/>
      <w:divBdr>
        <w:top w:val="none" w:sz="0" w:space="0" w:color="auto"/>
        <w:left w:val="none" w:sz="0" w:space="0" w:color="auto"/>
        <w:bottom w:val="none" w:sz="0" w:space="0" w:color="auto"/>
        <w:right w:val="none" w:sz="0" w:space="0" w:color="auto"/>
      </w:divBdr>
    </w:div>
    <w:div w:id="932906714">
      <w:bodyDiv w:val="1"/>
      <w:marLeft w:val="0"/>
      <w:marRight w:val="0"/>
      <w:marTop w:val="0"/>
      <w:marBottom w:val="0"/>
      <w:divBdr>
        <w:top w:val="none" w:sz="0" w:space="0" w:color="auto"/>
        <w:left w:val="none" w:sz="0" w:space="0" w:color="auto"/>
        <w:bottom w:val="none" w:sz="0" w:space="0" w:color="auto"/>
        <w:right w:val="none" w:sz="0" w:space="0" w:color="auto"/>
      </w:divBdr>
    </w:div>
    <w:div w:id="933441832">
      <w:bodyDiv w:val="1"/>
      <w:marLeft w:val="0"/>
      <w:marRight w:val="0"/>
      <w:marTop w:val="0"/>
      <w:marBottom w:val="0"/>
      <w:divBdr>
        <w:top w:val="none" w:sz="0" w:space="0" w:color="auto"/>
        <w:left w:val="none" w:sz="0" w:space="0" w:color="auto"/>
        <w:bottom w:val="none" w:sz="0" w:space="0" w:color="auto"/>
        <w:right w:val="none" w:sz="0" w:space="0" w:color="auto"/>
      </w:divBdr>
    </w:div>
    <w:div w:id="934636384">
      <w:bodyDiv w:val="1"/>
      <w:marLeft w:val="0"/>
      <w:marRight w:val="0"/>
      <w:marTop w:val="0"/>
      <w:marBottom w:val="0"/>
      <w:divBdr>
        <w:top w:val="none" w:sz="0" w:space="0" w:color="auto"/>
        <w:left w:val="none" w:sz="0" w:space="0" w:color="auto"/>
        <w:bottom w:val="none" w:sz="0" w:space="0" w:color="auto"/>
        <w:right w:val="none" w:sz="0" w:space="0" w:color="auto"/>
      </w:divBdr>
    </w:div>
    <w:div w:id="935866784">
      <w:bodyDiv w:val="1"/>
      <w:marLeft w:val="0"/>
      <w:marRight w:val="0"/>
      <w:marTop w:val="0"/>
      <w:marBottom w:val="0"/>
      <w:divBdr>
        <w:top w:val="none" w:sz="0" w:space="0" w:color="auto"/>
        <w:left w:val="none" w:sz="0" w:space="0" w:color="auto"/>
        <w:bottom w:val="none" w:sz="0" w:space="0" w:color="auto"/>
        <w:right w:val="none" w:sz="0" w:space="0" w:color="auto"/>
      </w:divBdr>
    </w:div>
    <w:div w:id="936062832">
      <w:bodyDiv w:val="1"/>
      <w:marLeft w:val="0"/>
      <w:marRight w:val="0"/>
      <w:marTop w:val="0"/>
      <w:marBottom w:val="0"/>
      <w:divBdr>
        <w:top w:val="none" w:sz="0" w:space="0" w:color="auto"/>
        <w:left w:val="none" w:sz="0" w:space="0" w:color="auto"/>
        <w:bottom w:val="none" w:sz="0" w:space="0" w:color="auto"/>
        <w:right w:val="none" w:sz="0" w:space="0" w:color="auto"/>
      </w:divBdr>
    </w:div>
    <w:div w:id="936252174">
      <w:bodyDiv w:val="1"/>
      <w:marLeft w:val="0"/>
      <w:marRight w:val="0"/>
      <w:marTop w:val="0"/>
      <w:marBottom w:val="0"/>
      <w:divBdr>
        <w:top w:val="none" w:sz="0" w:space="0" w:color="auto"/>
        <w:left w:val="none" w:sz="0" w:space="0" w:color="auto"/>
        <w:bottom w:val="none" w:sz="0" w:space="0" w:color="auto"/>
        <w:right w:val="none" w:sz="0" w:space="0" w:color="auto"/>
      </w:divBdr>
    </w:div>
    <w:div w:id="938951070">
      <w:bodyDiv w:val="1"/>
      <w:marLeft w:val="0"/>
      <w:marRight w:val="0"/>
      <w:marTop w:val="0"/>
      <w:marBottom w:val="0"/>
      <w:divBdr>
        <w:top w:val="none" w:sz="0" w:space="0" w:color="auto"/>
        <w:left w:val="none" w:sz="0" w:space="0" w:color="auto"/>
        <w:bottom w:val="none" w:sz="0" w:space="0" w:color="auto"/>
        <w:right w:val="none" w:sz="0" w:space="0" w:color="auto"/>
      </w:divBdr>
    </w:div>
    <w:div w:id="941567427">
      <w:bodyDiv w:val="1"/>
      <w:marLeft w:val="0"/>
      <w:marRight w:val="0"/>
      <w:marTop w:val="0"/>
      <w:marBottom w:val="0"/>
      <w:divBdr>
        <w:top w:val="none" w:sz="0" w:space="0" w:color="auto"/>
        <w:left w:val="none" w:sz="0" w:space="0" w:color="auto"/>
        <w:bottom w:val="none" w:sz="0" w:space="0" w:color="auto"/>
        <w:right w:val="none" w:sz="0" w:space="0" w:color="auto"/>
      </w:divBdr>
    </w:div>
    <w:div w:id="941649489">
      <w:bodyDiv w:val="1"/>
      <w:marLeft w:val="0"/>
      <w:marRight w:val="0"/>
      <w:marTop w:val="0"/>
      <w:marBottom w:val="0"/>
      <w:divBdr>
        <w:top w:val="none" w:sz="0" w:space="0" w:color="auto"/>
        <w:left w:val="none" w:sz="0" w:space="0" w:color="auto"/>
        <w:bottom w:val="none" w:sz="0" w:space="0" w:color="auto"/>
        <w:right w:val="none" w:sz="0" w:space="0" w:color="auto"/>
      </w:divBdr>
    </w:div>
    <w:div w:id="941914933">
      <w:bodyDiv w:val="1"/>
      <w:marLeft w:val="0"/>
      <w:marRight w:val="0"/>
      <w:marTop w:val="0"/>
      <w:marBottom w:val="0"/>
      <w:divBdr>
        <w:top w:val="none" w:sz="0" w:space="0" w:color="auto"/>
        <w:left w:val="none" w:sz="0" w:space="0" w:color="auto"/>
        <w:bottom w:val="none" w:sz="0" w:space="0" w:color="auto"/>
        <w:right w:val="none" w:sz="0" w:space="0" w:color="auto"/>
      </w:divBdr>
    </w:div>
    <w:div w:id="942304723">
      <w:bodyDiv w:val="1"/>
      <w:marLeft w:val="0"/>
      <w:marRight w:val="0"/>
      <w:marTop w:val="0"/>
      <w:marBottom w:val="0"/>
      <w:divBdr>
        <w:top w:val="none" w:sz="0" w:space="0" w:color="auto"/>
        <w:left w:val="none" w:sz="0" w:space="0" w:color="auto"/>
        <w:bottom w:val="none" w:sz="0" w:space="0" w:color="auto"/>
        <w:right w:val="none" w:sz="0" w:space="0" w:color="auto"/>
      </w:divBdr>
    </w:div>
    <w:div w:id="942880139">
      <w:bodyDiv w:val="1"/>
      <w:marLeft w:val="0"/>
      <w:marRight w:val="0"/>
      <w:marTop w:val="0"/>
      <w:marBottom w:val="0"/>
      <w:divBdr>
        <w:top w:val="none" w:sz="0" w:space="0" w:color="auto"/>
        <w:left w:val="none" w:sz="0" w:space="0" w:color="auto"/>
        <w:bottom w:val="none" w:sz="0" w:space="0" w:color="auto"/>
        <w:right w:val="none" w:sz="0" w:space="0" w:color="auto"/>
      </w:divBdr>
    </w:div>
    <w:div w:id="943462507">
      <w:bodyDiv w:val="1"/>
      <w:marLeft w:val="0"/>
      <w:marRight w:val="0"/>
      <w:marTop w:val="0"/>
      <w:marBottom w:val="0"/>
      <w:divBdr>
        <w:top w:val="none" w:sz="0" w:space="0" w:color="auto"/>
        <w:left w:val="none" w:sz="0" w:space="0" w:color="auto"/>
        <w:bottom w:val="none" w:sz="0" w:space="0" w:color="auto"/>
        <w:right w:val="none" w:sz="0" w:space="0" w:color="auto"/>
      </w:divBdr>
    </w:div>
    <w:div w:id="943533548">
      <w:bodyDiv w:val="1"/>
      <w:marLeft w:val="0"/>
      <w:marRight w:val="0"/>
      <w:marTop w:val="0"/>
      <w:marBottom w:val="0"/>
      <w:divBdr>
        <w:top w:val="none" w:sz="0" w:space="0" w:color="auto"/>
        <w:left w:val="none" w:sz="0" w:space="0" w:color="auto"/>
        <w:bottom w:val="none" w:sz="0" w:space="0" w:color="auto"/>
        <w:right w:val="none" w:sz="0" w:space="0" w:color="auto"/>
      </w:divBdr>
    </w:div>
    <w:div w:id="944776359">
      <w:bodyDiv w:val="1"/>
      <w:marLeft w:val="0"/>
      <w:marRight w:val="0"/>
      <w:marTop w:val="0"/>
      <w:marBottom w:val="0"/>
      <w:divBdr>
        <w:top w:val="none" w:sz="0" w:space="0" w:color="auto"/>
        <w:left w:val="none" w:sz="0" w:space="0" w:color="auto"/>
        <w:bottom w:val="none" w:sz="0" w:space="0" w:color="auto"/>
        <w:right w:val="none" w:sz="0" w:space="0" w:color="auto"/>
      </w:divBdr>
    </w:div>
    <w:div w:id="946619050">
      <w:bodyDiv w:val="1"/>
      <w:marLeft w:val="0"/>
      <w:marRight w:val="0"/>
      <w:marTop w:val="0"/>
      <w:marBottom w:val="0"/>
      <w:divBdr>
        <w:top w:val="none" w:sz="0" w:space="0" w:color="auto"/>
        <w:left w:val="none" w:sz="0" w:space="0" w:color="auto"/>
        <w:bottom w:val="none" w:sz="0" w:space="0" w:color="auto"/>
        <w:right w:val="none" w:sz="0" w:space="0" w:color="auto"/>
      </w:divBdr>
    </w:div>
    <w:div w:id="947467359">
      <w:bodyDiv w:val="1"/>
      <w:marLeft w:val="0"/>
      <w:marRight w:val="0"/>
      <w:marTop w:val="0"/>
      <w:marBottom w:val="0"/>
      <w:divBdr>
        <w:top w:val="none" w:sz="0" w:space="0" w:color="auto"/>
        <w:left w:val="none" w:sz="0" w:space="0" w:color="auto"/>
        <w:bottom w:val="none" w:sz="0" w:space="0" w:color="auto"/>
        <w:right w:val="none" w:sz="0" w:space="0" w:color="auto"/>
      </w:divBdr>
    </w:div>
    <w:div w:id="952202188">
      <w:bodyDiv w:val="1"/>
      <w:marLeft w:val="0"/>
      <w:marRight w:val="0"/>
      <w:marTop w:val="0"/>
      <w:marBottom w:val="0"/>
      <w:divBdr>
        <w:top w:val="none" w:sz="0" w:space="0" w:color="auto"/>
        <w:left w:val="none" w:sz="0" w:space="0" w:color="auto"/>
        <w:bottom w:val="none" w:sz="0" w:space="0" w:color="auto"/>
        <w:right w:val="none" w:sz="0" w:space="0" w:color="auto"/>
      </w:divBdr>
    </w:div>
    <w:div w:id="952248822">
      <w:bodyDiv w:val="1"/>
      <w:marLeft w:val="0"/>
      <w:marRight w:val="0"/>
      <w:marTop w:val="0"/>
      <w:marBottom w:val="0"/>
      <w:divBdr>
        <w:top w:val="none" w:sz="0" w:space="0" w:color="auto"/>
        <w:left w:val="none" w:sz="0" w:space="0" w:color="auto"/>
        <w:bottom w:val="none" w:sz="0" w:space="0" w:color="auto"/>
        <w:right w:val="none" w:sz="0" w:space="0" w:color="auto"/>
      </w:divBdr>
    </w:div>
    <w:div w:id="955253315">
      <w:bodyDiv w:val="1"/>
      <w:marLeft w:val="0"/>
      <w:marRight w:val="0"/>
      <w:marTop w:val="0"/>
      <w:marBottom w:val="0"/>
      <w:divBdr>
        <w:top w:val="none" w:sz="0" w:space="0" w:color="auto"/>
        <w:left w:val="none" w:sz="0" w:space="0" w:color="auto"/>
        <w:bottom w:val="none" w:sz="0" w:space="0" w:color="auto"/>
        <w:right w:val="none" w:sz="0" w:space="0" w:color="auto"/>
      </w:divBdr>
    </w:div>
    <w:div w:id="956981871">
      <w:bodyDiv w:val="1"/>
      <w:marLeft w:val="0"/>
      <w:marRight w:val="0"/>
      <w:marTop w:val="0"/>
      <w:marBottom w:val="0"/>
      <w:divBdr>
        <w:top w:val="none" w:sz="0" w:space="0" w:color="auto"/>
        <w:left w:val="none" w:sz="0" w:space="0" w:color="auto"/>
        <w:bottom w:val="none" w:sz="0" w:space="0" w:color="auto"/>
        <w:right w:val="none" w:sz="0" w:space="0" w:color="auto"/>
      </w:divBdr>
    </w:div>
    <w:div w:id="959410495">
      <w:bodyDiv w:val="1"/>
      <w:marLeft w:val="0"/>
      <w:marRight w:val="0"/>
      <w:marTop w:val="0"/>
      <w:marBottom w:val="0"/>
      <w:divBdr>
        <w:top w:val="none" w:sz="0" w:space="0" w:color="auto"/>
        <w:left w:val="none" w:sz="0" w:space="0" w:color="auto"/>
        <w:bottom w:val="none" w:sz="0" w:space="0" w:color="auto"/>
        <w:right w:val="none" w:sz="0" w:space="0" w:color="auto"/>
      </w:divBdr>
    </w:div>
    <w:div w:id="959842963">
      <w:bodyDiv w:val="1"/>
      <w:marLeft w:val="0"/>
      <w:marRight w:val="0"/>
      <w:marTop w:val="0"/>
      <w:marBottom w:val="0"/>
      <w:divBdr>
        <w:top w:val="none" w:sz="0" w:space="0" w:color="auto"/>
        <w:left w:val="none" w:sz="0" w:space="0" w:color="auto"/>
        <w:bottom w:val="none" w:sz="0" w:space="0" w:color="auto"/>
        <w:right w:val="none" w:sz="0" w:space="0" w:color="auto"/>
      </w:divBdr>
    </w:div>
    <w:div w:id="960257992">
      <w:bodyDiv w:val="1"/>
      <w:marLeft w:val="0"/>
      <w:marRight w:val="0"/>
      <w:marTop w:val="0"/>
      <w:marBottom w:val="0"/>
      <w:divBdr>
        <w:top w:val="none" w:sz="0" w:space="0" w:color="auto"/>
        <w:left w:val="none" w:sz="0" w:space="0" w:color="auto"/>
        <w:bottom w:val="none" w:sz="0" w:space="0" w:color="auto"/>
        <w:right w:val="none" w:sz="0" w:space="0" w:color="auto"/>
      </w:divBdr>
    </w:div>
    <w:div w:id="962156730">
      <w:bodyDiv w:val="1"/>
      <w:marLeft w:val="0"/>
      <w:marRight w:val="0"/>
      <w:marTop w:val="0"/>
      <w:marBottom w:val="0"/>
      <w:divBdr>
        <w:top w:val="none" w:sz="0" w:space="0" w:color="auto"/>
        <w:left w:val="none" w:sz="0" w:space="0" w:color="auto"/>
        <w:bottom w:val="none" w:sz="0" w:space="0" w:color="auto"/>
        <w:right w:val="none" w:sz="0" w:space="0" w:color="auto"/>
      </w:divBdr>
    </w:div>
    <w:div w:id="962266727">
      <w:bodyDiv w:val="1"/>
      <w:marLeft w:val="0"/>
      <w:marRight w:val="0"/>
      <w:marTop w:val="0"/>
      <w:marBottom w:val="0"/>
      <w:divBdr>
        <w:top w:val="none" w:sz="0" w:space="0" w:color="auto"/>
        <w:left w:val="none" w:sz="0" w:space="0" w:color="auto"/>
        <w:bottom w:val="none" w:sz="0" w:space="0" w:color="auto"/>
        <w:right w:val="none" w:sz="0" w:space="0" w:color="auto"/>
      </w:divBdr>
    </w:div>
    <w:div w:id="962882529">
      <w:bodyDiv w:val="1"/>
      <w:marLeft w:val="0"/>
      <w:marRight w:val="0"/>
      <w:marTop w:val="0"/>
      <w:marBottom w:val="0"/>
      <w:divBdr>
        <w:top w:val="none" w:sz="0" w:space="0" w:color="auto"/>
        <w:left w:val="none" w:sz="0" w:space="0" w:color="auto"/>
        <w:bottom w:val="none" w:sz="0" w:space="0" w:color="auto"/>
        <w:right w:val="none" w:sz="0" w:space="0" w:color="auto"/>
      </w:divBdr>
    </w:div>
    <w:div w:id="962921776">
      <w:bodyDiv w:val="1"/>
      <w:marLeft w:val="0"/>
      <w:marRight w:val="0"/>
      <w:marTop w:val="0"/>
      <w:marBottom w:val="0"/>
      <w:divBdr>
        <w:top w:val="none" w:sz="0" w:space="0" w:color="auto"/>
        <w:left w:val="none" w:sz="0" w:space="0" w:color="auto"/>
        <w:bottom w:val="none" w:sz="0" w:space="0" w:color="auto"/>
        <w:right w:val="none" w:sz="0" w:space="0" w:color="auto"/>
      </w:divBdr>
    </w:div>
    <w:div w:id="964196574">
      <w:bodyDiv w:val="1"/>
      <w:marLeft w:val="0"/>
      <w:marRight w:val="0"/>
      <w:marTop w:val="0"/>
      <w:marBottom w:val="0"/>
      <w:divBdr>
        <w:top w:val="none" w:sz="0" w:space="0" w:color="auto"/>
        <w:left w:val="none" w:sz="0" w:space="0" w:color="auto"/>
        <w:bottom w:val="none" w:sz="0" w:space="0" w:color="auto"/>
        <w:right w:val="none" w:sz="0" w:space="0" w:color="auto"/>
      </w:divBdr>
    </w:div>
    <w:div w:id="964238565">
      <w:bodyDiv w:val="1"/>
      <w:marLeft w:val="0"/>
      <w:marRight w:val="0"/>
      <w:marTop w:val="0"/>
      <w:marBottom w:val="0"/>
      <w:divBdr>
        <w:top w:val="none" w:sz="0" w:space="0" w:color="auto"/>
        <w:left w:val="none" w:sz="0" w:space="0" w:color="auto"/>
        <w:bottom w:val="none" w:sz="0" w:space="0" w:color="auto"/>
        <w:right w:val="none" w:sz="0" w:space="0" w:color="auto"/>
      </w:divBdr>
    </w:div>
    <w:div w:id="965892025">
      <w:bodyDiv w:val="1"/>
      <w:marLeft w:val="0"/>
      <w:marRight w:val="0"/>
      <w:marTop w:val="0"/>
      <w:marBottom w:val="0"/>
      <w:divBdr>
        <w:top w:val="none" w:sz="0" w:space="0" w:color="auto"/>
        <w:left w:val="none" w:sz="0" w:space="0" w:color="auto"/>
        <w:bottom w:val="none" w:sz="0" w:space="0" w:color="auto"/>
        <w:right w:val="none" w:sz="0" w:space="0" w:color="auto"/>
      </w:divBdr>
    </w:div>
    <w:div w:id="966280433">
      <w:bodyDiv w:val="1"/>
      <w:marLeft w:val="0"/>
      <w:marRight w:val="0"/>
      <w:marTop w:val="0"/>
      <w:marBottom w:val="0"/>
      <w:divBdr>
        <w:top w:val="none" w:sz="0" w:space="0" w:color="auto"/>
        <w:left w:val="none" w:sz="0" w:space="0" w:color="auto"/>
        <w:bottom w:val="none" w:sz="0" w:space="0" w:color="auto"/>
        <w:right w:val="none" w:sz="0" w:space="0" w:color="auto"/>
      </w:divBdr>
    </w:div>
    <w:div w:id="967008655">
      <w:bodyDiv w:val="1"/>
      <w:marLeft w:val="0"/>
      <w:marRight w:val="0"/>
      <w:marTop w:val="0"/>
      <w:marBottom w:val="0"/>
      <w:divBdr>
        <w:top w:val="none" w:sz="0" w:space="0" w:color="auto"/>
        <w:left w:val="none" w:sz="0" w:space="0" w:color="auto"/>
        <w:bottom w:val="none" w:sz="0" w:space="0" w:color="auto"/>
        <w:right w:val="none" w:sz="0" w:space="0" w:color="auto"/>
      </w:divBdr>
    </w:div>
    <w:div w:id="967782328">
      <w:bodyDiv w:val="1"/>
      <w:marLeft w:val="0"/>
      <w:marRight w:val="0"/>
      <w:marTop w:val="0"/>
      <w:marBottom w:val="0"/>
      <w:divBdr>
        <w:top w:val="none" w:sz="0" w:space="0" w:color="auto"/>
        <w:left w:val="none" w:sz="0" w:space="0" w:color="auto"/>
        <w:bottom w:val="none" w:sz="0" w:space="0" w:color="auto"/>
        <w:right w:val="none" w:sz="0" w:space="0" w:color="auto"/>
      </w:divBdr>
    </w:div>
    <w:div w:id="968171656">
      <w:bodyDiv w:val="1"/>
      <w:marLeft w:val="0"/>
      <w:marRight w:val="0"/>
      <w:marTop w:val="0"/>
      <w:marBottom w:val="0"/>
      <w:divBdr>
        <w:top w:val="none" w:sz="0" w:space="0" w:color="auto"/>
        <w:left w:val="none" w:sz="0" w:space="0" w:color="auto"/>
        <w:bottom w:val="none" w:sz="0" w:space="0" w:color="auto"/>
        <w:right w:val="none" w:sz="0" w:space="0" w:color="auto"/>
      </w:divBdr>
    </w:div>
    <w:div w:id="969286307">
      <w:bodyDiv w:val="1"/>
      <w:marLeft w:val="0"/>
      <w:marRight w:val="0"/>
      <w:marTop w:val="0"/>
      <w:marBottom w:val="0"/>
      <w:divBdr>
        <w:top w:val="none" w:sz="0" w:space="0" w:color="auto"/>
        <w:left w:val="none" w:sz="0" w:space="0" w:color="auto"/>
        <w:bottom w:val="none" w:sz="0" w:space="0" w:color="auto"/>
        <w:right w:val="none" w:sz="0" w:space="0" w:color="auto"/>
      </w:divBdr>
    </w:div>
    <w:div w:id="971787482">
      <w:bodyDiv w:val="1"/>
      <w:marLeft w:val="0"/>
      <w:marRight w:val="0"/>
      <w:marTop w:val="0"/>
      <w:marBottom w:val="0"/>
      <w:divBdr>
        <w:top w:val="none" w:sz="0" w:space="0" w:color="auto"/>
        <w:left w:val="none" w:sz="0" w:space="0" w:color="auto"/>
        <w:bottom w:val="none" w:sz="0" w:space="0" w:color="auto"/>
        <w:right w:val="none" w:sz="0" w:space="0" w:color="auto"/>
      </w:divBdr>
    </w:div>
    <w:div w:id="972176626">
      <w:bodyDiv w:val="1"/>
      <w:marLeft w:val="0"/>
      <w:marRight w:val="0"/>
      <w:marTop w:val="0"/>
      <w:marBottom w:val="0"/>
      <w:divBdr>
        <w:top w:val="none" w:sz="0" w:space="0" w:color="auto"/>
        <w:left w:val="none" w:sz="0" w:space="0" w:color="auto"/>
        <w:bottom w:val="none" w:sz="0" w:space="0" w:color="auto"/>
        <w:right w:val="none" w:sz="0" w:space="0" w:color="auto"/>
      </w:divBdr>
    </w:div>
    <w:div w:id="972297191">
      <w:bodyDiv w:val="1"/>
      <w:marLeft w:val="0"/>
      <w:marRight w:val="0"/>
      <w:marTop w:val="0"/>
      <w:marBottom w:val="0"/>
      <w:divBdr>
        <w:top w:val="none" w:sz="0" w:space="0" w:color="auto"/>
        <w:left w:val="none" w:sz="0" w:space="0" w:color="auto"/>
        <w:bottom w:val="none" w:sz="0" w:space="0" w:color="auto"/>
        <w:right w:val="none" w:sz="0" w:space="0" w:color="auto"/>
      </w:divBdr>
    </w:div>
    <w:div w:id="972324018">
      <w:bodyDiv w:val="1"/>
      <w:marLeft w:val="0"/>
      <w:marRight w:val="0"/>
      <w:marTop w:val="0"/>
      <w:marBottom w:val="0"/>
      <w:divBdr>
        <w:top w:val="none" w:sz="0" w:space="0" w:color="auto"/>
        <w:left w:val="none" w:sz="0" w:space="0" w:color="auto"/>
        <w:bottom w:val="none" w:sz="0" w:space="0" w:color="auto"/>
        <w:right w:val="none" w:sz="0" w:space="0" w:color="auto"/>
      </w:divBdr>
    </w:div>
    <w:div w:id="973370476">
      <w:bodyDiv w:val="1"/>
      <w:marLeft w:val="0"/>
      <w:marRight w:val="0"/>
      <w:marTop w:val="0"/>
      <w:marBottom w:val="0"/>
      <w:divBdr>
        <w:top w:val="none" w:sz="0" w:space="0" w:color="auto"/>
        <w:left w:val="none" w:sz="0" w:space="0" w:color="auto"/>
        <w:bottom w:val="none" w:sz="0" w:space="0" w:color="auto"/>
        <w:right w:val="none" w:sz="0" w:space="0" w:color="auto"/>
      </w:divBdr>
    </w:div>
    <w:div w:id="974027712">
      <w:bodyDiv w:val="1"/>
      <w:marLeft w:val="0"/>
      <w:marRight w:val="0"/>
      <w:marTop w:val="0"/>
      <w:marBottom w:val="0"/>
      <w:divBdr>
        <w:top w:val="none" w:sz="0" w:space="0" w:color="auto"/>
        <w:left w:val="none" w:sz="0" w:space="0" w:color="auto"/>
        <w:bottom w:val="none" w:sz="0" w:space="0" w:color="auto"/>
        <w:right w:val="none" w:sz="0" w:space="0" w:color="auto"/>
      </w:divBdr>
    </w:div>
    <w:div w:id="975139043">
      <w:bodyDiv w:val="1"/>
      <w:marLeft w:val="0"/>
      <w:marRight w:val="0"/>
      <w:marTop w:val="0"/>
      <w:marBottom w:val="0"/>
      <w:divBdr>
        <w:top w:val="none" w:sz="0" w:space="0" w:color="auto"/>
        <w:left w:val="none" w:sz="0" w:space="0" w:color="auto"/>
        <w:bottom w:val="none" w:sz="0" w:space="0" w:color="auto"/>
        <w:right w:val="none" w:sz="0" w:space="0" w:color="auto"/>
      </w:divBdr>
    </w:div>
    <w:div w:id="976032837">
      <w:bodyDiv w:val="1"/>
      <w:marLeft w:val="0"/>
      <w:marRight w:val="0"/>
      <w:marTop w:val="0"/>
      <w:marBottom w:val="0"/>
      <w:divBdr>
        <w:top w:val="none" w:sz="0" w:space="0" w:color="auto"/>
        <w:left w:val="none" w:sz="0" w:space="0" w:color="auto"/>
        <w:bottom w:val="none" w:sz="0" w:space="0" w:color="auto"/>
        <w:right w:val="none" w:sz="0" w:space="0" w:color="auto"/>
      </w:divBdr>
    </w:div>
    <w:div w:id="976303570">
      <w:bodyDiv w:val="1"/>
      <w:marLeft w:val="0"/>
      <w:marRight w:val="0"/>
      <w:marTop w:val="0"/>
      <w:marBottom w:val="0"/>
      <w:divBdr>
        <w:top w:val="none" w:sz="0" w:space="0" w:color="auto"/>
        <w:left w:val="none" w:sz="0" w:space="0" w:color="auto"/>
        <w:bottom w:val="none" w:sz="0" w:space="0" w:color="auto"/>
        <w:right w:val="none" w:sz="0" w:space="0" w:color="auto"/>
      </w:divBdr>
    </w:div>
    <w:div w:id="977106221">
      <w:bodyDiv w:val="1"/>
      <w:marLeft w:val="0"/>
      <w:marRight w:val="0"/>
      <w:marTop w:val="0"/>
      <w:marBottom w:val="0"/>
      <w:divBdr>
        <w:top w:val="none" w:sz="0" w:space="0" w:color="auto"/>
        <w:left w:val="none" w:sz="0" w:space="0" w:color="auto"/>
        <w:bottom w:val="none" w:sz="0" w:space="0" w:color="auto"/>
        <w:right w:val="none" w:sz="0" w:space="0" w:color="auto"/>
      </w:divBdr>
    </w:div>
    <w:div w:id="978994970">
      <w:bodyDiv w:val="1"/>
      <w:marLeft w:val="0"/>
      <w:marRight w:val="0"/>
      <w:marTop w:val="0"/>
      <w:marBottom w:val="0"/>
      <w:divBdr>
        <w:top w:val="none" w:sz="0" w:space="0" w:color="auto"/>
        <w:left w:val="none" w:sz="0" w:space="0" w:color="auto"/>
        <w:bottom w:val="none" w:sz="0" w:space="0" w:color="auto"/>
        <w:right w:val="none" w:sz="0" w:space="0" w:color="auto"/>
      </w:divBdr>
    </w:div>
    <w:div w:id="980426102">
      <w:bodyDiv w:val="1"/>
      <w:marLeft w:val="0"/>
      <w:marRight w:val="0"/>
      <w:marTop w:val="0"/>
      <w:marBottom w:val="0"/>
      <w:divBdr>
        <w:top w:val="none" w:sz="0" w:space="0" w:color="auto"/>
        <w:left w:val="none" w:sz="0" w:space="0" w:color="auto"/>
        <w:bottom w:val="none" w:sz="0" w:space="0" w:color="auto"/>
        <w:right w:val="none" w:sz="0" w:space="0" w:color="auto"/>
      </w:divBdr>
    </w:div>
    <w:div w:id="982468344">
      <w:bodyDiv w:val="1"/>
      <w:marLeft w:val="0"/>
      <w:marRight w:val="0"/>
      <w:marTop w:val="0"/>
      <w:marBottom w:val="0"/>
      <w:divBdr>
        <w:top w:val="none" w:sz="0" w:space="0" w:color="auto"/>
        <w:left w:val="none" w:sz="0" w:space="0" w:color="auto"/>
        <w:bottom w:val="none" w:sz="0" w:space="0" w:color="auto"/>
        <w:right w:val="none" w:sz="0" w:space="0" w:color="auto"/>
      </w:divBdr>
    </w:div>
    <w:div w:id="982855632">
      <w:bodyDiv w:val="1"/>
      <w:marLeft w:val="0"/>
      <w:marRight w:val="0"/>
      <w:marTop w:val="0"/>
      <w:marBottom w:val="0"/>
      <w:divBdr>
        <w:top w:val="none" w:sz="0" w:space="0" w:color="auto"/>
        <w:left w:val="none" w:sz="0" w:space="0" w:color="auto"/>
        <w:bottom w:val="none" w:sz="0" w:space="0" w:color="auto"/>
        <w:right w:val="none" w:sz="0" w:space="0" w:color="auto"/>
      </w:divBdr>
    </w:div>
    <w:div w:id="983654970">
      <w:bodyDiv w:val="1"/>
      <w:marLeft w:val="0"/>
      <w:marRight w:val="0"/>
      <w:marTop w:val="0"/>
      <w:marBottom w:val="0"/>
      <w:divBdr>
        <w:top w:val="none" w:sz="0" w:space="0" w:color="auto"/>
        <w:left w:val="none" w:sz="0" w:space="0" w:color="auto"/>
        <w:bottom w:val="none" w:sz="0" w:space="0" w:color="auto"/>
        <w:right w:val="none" w:sz="0" w:space="0" w:color="auto"/>
      </w:divBdr>
    </w:div>
    <w:div w:id="984236703">
      <w:bodyDiv w:val="1"/>
      <w:marLeft w:val="0"/>
      <w:marRight w:val="0"/>
      <w:marTop w:val="0"/>
      <w:marBottom w:val="0"/>
      <w:divBdr>
        <w:top w:val="none" w:sz="0" w:space="0" w:color="auto"/>
        <w:left w:val="none" w:sz="0" w:space="0" w:color="auto"/>
        <w:bottom w:val="none" w:sz="0" w:space="0" w:color="auto"/>
        <w:right w:val="none" w:sz="0" w:space="0" w:color="auto"/>
      </w:divBdr>
    </w:div>
    <w:div w:id="986086885">
      <w:bodyDiv w:val="1"/>
      <w:marLeft w:val="0"/>
      <w:marRight w:val="0"/>
      <w:marTop w:val="0"/>
      <w:marBottom w:val="0"/>
      <w:divBdr>
        <w:top w:val="none" w:sz="0" w:space="0" w:color="auto"/>
        <w:left w:val="none" w:sz="0" w:space="0" w:color="auto"/>
        <w:bottom w:val="none" w:sz="0" w:space="0" w:color="auto"/>
        <w:right w:val="none" w:sz="0" w:space="0" w:color="auto"/>
      </w:divBdr>
    </w:div>
    <w:div w:id="986472854">
      <w:bodyDiv w:val="1"/>
      <w:marLeft w:val="0"/>
      <w:marRight w:val="0"/>
      <w:marTop w:val="0"/>
      <w:marBottom w:val="0"/>
      <w:divBdr>
        <w:top w:val="none" w:sz="0" w:space="0" w:color="auto"/>
        <w:left w:val="none" w:sz="0" w:space="0" w:color="auto"/>
        <w:bottom w:val="none" w:sz="0" w:space="0" w:color="auto"/>
        <w:right w:val="none" w:sz="0" w:space="0" w:color="auto"/>
      </w:divBdr>
    </w:div>
    <w:div w:id="986979546">
      <w:bodyDiv w:val="1"/>
      <w:marLeft w:val="0"/>
      <w:marRight w:val="0"/>
      <w:marTop w:val="0"/>
      <w:marBottom w:val="0"/>
      <w:divBdr>
        <w:top w:val="none" w:sz="0" w:space="0" w:color="auto"/>
        <w:left w:val="none" w:sz="0" w:space="0" w:color="auto"/>
        <w:bottom w:val="none" w:sz="0" w:space="0" w:color="auto"/>
        <w:right w:val="none" w:sz="0" w:space="0" w:color="auto"/>
      </w:divBdr>
    </w:div>
    <w:div w:id="987634121">
      <w:bodyDiv w:val="1"/>
      <w:marLeft w:val="0"/>
      <w:marRight w:val="0"/>
      <w:marTop w:val="0"/>
      <w:marBottom w:val="0"/>
      <w:divBdr>
        <w:top w:val="none" w:sz="0" w:space="0" w:color="auto"/>
        <w:left w:val="none" w:sz="0" w:space="0" w:color="auto"/>
        <w:bottom w:val="none" w:sz="0" w:space="0" w:color="auto"/>
        <w:right w:val="none" w:sz="0" w:space="0" w:color="auto"/>
      </w:divBdr>
    </w:div>
    <w:div w:id="990407407">
      <w:bodyDiv w:val="1"/>
      <w:marLeft w:val="0"/>
      <w:marRight w:val="0"/>
      <w:marTop w:val="0"/>
      <w:marBottom w:val="0"/>
      <w:divBdr>
        <w:top w:val="none" w:sz="0" w:space="0" w:color="auto"/>
        <w:left w:val="none" w:sz="0" w:space="0" w:color="auto"/>
        <w:bottom w:val="none" w:sz="0" w:space="0" w:color="auto"/>
        <w:right w:val="none" w:sz="0" w:space="0" w:color="auto"/>
      </w:divBdr>
    </w:div>
    <w:div w:id="990867645">
      <w:bodyDiv w:val="1"/>
      <w:marLeft w:val="0"/>
      <w:marRight w:val="0"/>
      <w:marTop w:val="0"/>
      <w:marBottom w:val="0"/>
      <w:divBdr>
        <w:top w:val="none" w:sz="0" w:space="0" w:color="auto"/>
        <w:left w:val="none" w:sz="0" w:space="0" w:color="auto"/>
        <w:bottom w:val="none" w:sz="0" w:space="0" w:color="auto"/>
        <w:right w:val="none" w:sz="0" w:space="0" w:color="auto"/>
      </w:divBdr>
    </w:div>
    <w:div w:id="992833951">
      <w:bodyDiv w:val="1"/>
      <w:marLeft w:val="0"/>
      <w:marRight w:val="0"/>
      <w:marTop w:val="0"/>
      <w:marBottom w:val="0"/>
      <w:divBdr>
        <w:top w:val="none" w:sz="0" w:space="0" w:color="auto"/>
        <w:left w:val="none" w:sz="0" w:space="0" w:color="auto"/>
        <w:bottom w:val="none" w:sz="0" w:space="0" w:color="auto"/>
        <w:right w:val="none" w:sz="0" w:space="0" w:color="auto"/>
      </w:divBdr>
    </w:div>
    <w:div w:id="993800444">
      <w:bodyDiv w:val="1"/>
      <w:marLeft w:val="0"/>
      <w:marRight w:val="0"/>
      <w:marTop w:val="0"/>
      <w:marBottom w:val="0"/>
      <w:divBdr>
        <w:top w:val="none" w:sz="0" w:space="0" w:color="auto"/>
        <w:left w:val="none" w:sz="0" w:space="0" w:color="auto"/>
        <w:bottom w:val="none" w:sz="0" w:space="0" w:color="auto"/>
        <w:right w:val="none" w:sz="0" w:space="0" w:color="auto"/>
      </w:divBdr>
    </w:div>
    <w:div w:id="993988214">
      <w:bodyDiv w:val="1"/>
      <w:marLeft w:val="0"/>
      <w:marRight w:val="0"/>
      <w:marTop w:val="0"/>
      <w:marBottom w:val="0"/>
      <w:divBdr>
        <w:top w:val="none" w:sz="0" w:space="0" w:color="auto"/>
        <w:left w:val="none" w:sz="0" w:space="0" w:color="auto"/>
        <w:bottom w:val="none" w:sz="0" w:space="0" w:color="auto"/>
        <w:right w:val="none" w:sz="0" w:space="0" w:color="auto"/>
      </w:divBdr>
    </w:div>
    <w:div w:id="994605691">
      <w:bodyDiv w:val="1"/>
      <w:marLeft w:val="0"/>
      <w:marRight w:val="0"/>
      <w:marTop w:val="0"/>
      <w:marBottom w:val="0"/>
      <w:divBdr>
        <w:top w:val="none" w:sz="0" w:space="0" w:color="auto"/>
        <w:left w:val="none" w:sz="0" w:space="0" w:color="auto"/>
        <w:bottom w:val="none" w:sz="0" w:space="0" w:color="auto"/>
        <w:right w:val="none" w:sz="0" w:space="0" w:color="auto"/>
      </w:divBdr>
    </w:div>
    <w:div w:id="996231807">
      <w:bodyDiv w:val="1"/>
      <w:marLeft w:val="0"/>
      <w:marRight w:val="0"/>
      <w:marTop w:val="0"/>
      <w:marBottom w:val="0"/>
      <w:divBdr>
        <w:top w:val="none" w:sz="0" w:space="0" w:color="auto"/>
        <w:left w:val="none" w:sz="0" w:space="0" w:color="auto"/>
        <w:bottom w:val="none" w:sz="0" w:space="0" w:color="auto"/>
        <w:right w:val="none" w:sz="0" w:space="0" w:color="auto"/>
      </w:divBdr>
    </w:div>
    <w:div w:id="997420150">
      <w:bodyDiv w:val="1"/>
      <w:marLeft w:val="0"/>
      <w:marRight w:val="0"/>
      <w:marTop w:val="0"/>
      <w:marBottom w:val="0"/>
      <w:divBdr>
        <w:top w:val="none" w:sz="0" w:space="0" w:color="auto"/>
        <w:left w:val="none" w:sz="0" w:space="0" w:color="auto"/>
        <w:bottom w:val="none" w:sz="0" w:space="0" w:color="auto"/>
        <w:right w:val="none" w:sz="0" w:space="0" w:color="auto"/>
      </w:divBdr>
    </w:div>
    <w:div w:id="998315540">
      <w:bodyDiv w:val="1"/>
      <w:marLeft w:val="0"/>
      <w:marRight w:val="0"/>
      <w:marTop w:val="0"/>
      <w:marBottom w:val="0"/>
      <w:divBdr>
        <w:top w:val="none" w:sz="0" w:space="0" w:color="auto"/>
        <w:left w:val="none" w:sz="0" w:space="0" w:color="auto"/>
        <w:bottom w:val="none" w:sz="0" w:space="0" w:color="auto"/>
        <w:right w:val="none" w:sz="0" w:space="0" w:color="auto"/>
      </w:divBdr>
    </w:div>
    <w:div w:id="998460901">
      <w:bodyDiv w:val="1"/>
      <w:marLeft w:val="0"/>
      <w:marRight w:val="0"/>
      <w:marTop w:val="0"/>
      <w:marBottom w:val="0"/>
      <w:divBdr>
        <w:top w:val="none" w:sz="0" w:space="0" w:color="auto"/>
        <w:left w:val="none" w:sz="0" w:space="0" w:color="auto"/>
        <w:bottom w:val="none" w:sz="0" w:space="0" w:color="auto"/>
        <w:right w:val="none" w:sz="0" w:space="0" w:color="auto"/>
      </w:divBdr>
    </w:div>
    <w:div w:id="998655433">
      <w:bodyDiv w:val="1"/>
      <w:marLeft w:val="0"/>
      <w:marRight w:val="0"/>
      <w:marTop w:val="0"/>
      <w:marBottom w:val="0"/>
      <w:divBdr>
        <w:top w:val="none" w:sz="0" w:space="0" w:color="auto"/>
        <w:left w:val="none" w:sz="0" w:space="0" w:color="auto"/>
        <w:bottom w:val="none" w:sz="0" w:space="0" w:color="auto"/>
        <w:right w:val="none" w:sz="0" w:space="0" w:color="auto"/>
      </w:divBdr>
    </w:div>
    <w:div w:id="999695774">
      <w:bodyDiv w:val="1"/>
      <w:marLeft w:val="0"/>
      <w:marRight w:val="0"/>
      <w:marTop w:val="0"/>
      <w:marBottom w:val="0"/>
      <w:divBdr>
        <w:top w:val="none" w:sz="0" w:space="0" w:color="auto"/>
        <w:left w:val="none" w:sz="0" w:space="0" w:color="auto"/>
        <w:bottom w:val="none" w:sz="0" w:space="0" w:color="auto"/>
        <w:right w:val="none" w:sz="0" w:space="0" w:color="auto"/>
      </w:divBdr>
    </w:div>
    <w:div w:id="1000307630">
      <w:bodyDiv w:val="1"/>
      <w:marLeft w:val="0"/>
      <w:marRight w:val="0"/>
      <w:marTop w:val="0"/>
      <w:marBottom w:val="0"/>
      <w:divBdr>
        <w:top w:val="none" w:sz="0" w:space="0" w:color="auto"/>
        <w:left w:val="none" w:sz="0" w:space="0" w:color="auto"/>
        <w:bottom w:val="none" w:sz="0" w:space="0" w:color="auto"/>
        <w:right w:val="none" w:sz="0" w:space="0" w:color="auto"/>
      </w:divBdr>
    </w:div>
    <w:div w:id="1000886147">
      <w:bodyDiv w:val="1"/>
      <w:marLeft w:val="0"/>
      <w:marRight w:val="0"/>
      <w:marTop w:val="0"/>
      <w:marBottom w:val="0"/>
      <w:divBdr>
        <w:top w:val="none" w:sz="0" w:space="0" w:color="auto"/>
        <w:left w:val="none" w:sz="0" w:space="0" w:color="auto"/>
        <w:bottom w:val="none" w:sz="0" w:space="0" w:color="auto"/>
        <w:right w:val="none" w:sz="0" w:space="0" w:color="auto"/>
      </w:divBdr>
    </w:div>
    <w:div w:id="1001355610">
      <w:bodyDiv w:val="1"/>
      <w:marLeft w:val="0"/>
      <w:marRight w:val="0"/>
      <w:marTop w:val="0"/>
      <w:marBottom w:val="0"/>
      <w:divBdr>
        <w:top w:val="none" w:sz="0" w:space="0" w:color="auto"/>
        <w:left w:val="none" w:sz="0" w:space="0" w:color="auto"/>
        <w:bottom w:val="none" w:sz="0" w:space="0" w:color="auto"/>
        <w:right w:val="none" w:sz="0" w:space="0" w:color="auto"/>
      </w:divBdr>
    </w:div>
    <w:div w:id="1007707954">
      <w:bodyDiv w:val="1"/>
      <w:marLeft w:val="0"/>
      <w:marRight w:val="0"/>
      <w:marTop w:val="0"/>
      <w:marBottom w:val="0"/>
      <w:divBdr>
        <w:top w:val="none" w:sz="0" w:space="0" w:color="auto"/>
        <w:left w:val="none" w:sz="0" w:space="0" w:color="auto"/>
        <w:bottom w:val="none" w:sz="0" w:space="0" w:color="auto"/>
        <w:right w:val="none" w:sz="0" w:space="0" w:color="auto"/>
      </w:divBdr>
    </w:div>
    <w:div w:id="1007903220">
      <w:bodyDiv w:val="1"/>
      <w:marLeft w:val="0"/>
      <w:marRight w:val="0"/>
      <w:marTop w:val="0"/>
      <w:marBottom w:val="0"/>
      <w:divBdr>
        <w:top w:val="none" w:sz="0" w:space="0" w:color="auto"/>
        <w:left w:val="none" w:sz="0" w:space="0" w:color="auto"/>
        <w:bottom w:val="none" w:sz="0" w:space="0" w:color="auto"/>
        <w:right w:val="none" w:sz="0" w:space="0" w:color="auto"/>
      </w:divBdr>
    </w:div>
    <w:div w:id="1008019906">
      <w:bodyDiv w:val="1"/>
      <w:marLeft w:val="0"/>
      <w:marRight w:val="0"/>
      <w:marTop w:val="0"/>
      <w:marBottom w:val="0"/>
      <w:divBdr>
        <w:top w:val="none" w:sz="0" w:space="0" w:color="auto"/>
        <w:left w:val="none" w:sz="0" w:space="0" w:color="auto"/>
        <w:bottom w:val="none" w:sz="0" w:space="0" w:color="auto"/>
        <w:right w:val="none" w:sz="0" w:space="0" w:color="auto"/>
      </w:divBdr>
    </w:div>
    <w:div w:id="1008557690">
      <w:bodyDiv w:val="1"/>
      <w:marLeft w:val="0"/>
      <w:marRight w:val="0"/>
      <w:marTop w:val="0"/>
      <w:marBottom w:val="0"/>
      <w:divBdr>
        <w:top w:val="none" w:sz="0" w:space="0" w:color="auto"/>
        <w:left w:val="none" w:sz="0" w:space="0" w:color="auto"/>
        <w:bottom w:val="none" w:sz="0" w:space="0" w:color="auto"/>
        <w:right w:val="none" w:sz="0" w:space="0" w:color="auto"/>
      </w:divBdr>
    </w:div>
    <w:div w:id="1008800003">
      <w:bodyDiv w:val="1"/>
      <w:marLeft w:val="0"/>
      <w:marRight w:val="0"/>
      <w:marTop w:val="0"/>
      <w:marBottom w:val="0"/>
      <w:divBdr>
        <w:top w:val="none" w:sz="0" w:space="0" w:color="auto"/>
        <w:left w:val="none" w:sz="0" w:space="0" w:color="auto"/>
        <w:bottom w:val="none" w:sz="0" w:space="0" w:color="auto"/>
        <w:right w:val="none" w:sz="0" w:space="0" w:color="auto"/>
      </w:divBdr>
    </w:div>
    <w:div w:id="1009022635">
      <w:bodyDiv w:val="1"/>
      <w:marLeft w:val="0"/>
      <w:marRight w:val="0"/>
      <w:marTop w:val="0"/>
      <w:marBottom w:val="0"/>
      <w:divBdr>
        <w:top w:val="none" w:sz="0" w:space="0" w:color="auto"/>
        <w:left w:val="none" w:sz="0" w:space="0" w:color="auto"/>
        <w:bottom w:val="none" w:sz="0" w:space="0" w:color="auto"/>
        <w:right w:val="none" w:sz="0" w:space="0" w:color="auto"/>
      </w:divBdr>
    </w:div>
    <w:div w:id="1012881018">
      <w:bodyDiv w:val="1"/>
      <w:marLeft w:val="0"/>
      <w:marRight w:val="0"/>
      <w:marTop w:val="0"/>
      <w:marBottom w:val="0"/>
      <w:divBdr>
        <w:top w:val="none" w:sz="0" w:space="0" w:color="auto"/>
        <w:left w:val="none" w:sz="0" w:space="0" w:color="auto"/>
        <w:bottom w:val="none" w:sz="0" w:space="0" w:color="auto"/>
        <w:right w:val="none" w:sz="0" w:space="0" w:color="auto"/>
      </w:divBdr>
    </w:div>
    <w:div w:id="1016618431">
      <w:bodyDiv w:val="1"/>
      <w:marLeft w:val="0"/>
      <w:marRight w:val="0"/>
      <w:marTop w:val="0"/>
      <w:marBottom w:val="0"/>
      <w:divBdr>
        <w:top w:val="none" w:sz="0" w:space="0" w:color="auto"/>
        <w:left w:val="none" w:sz="0" w:space="0" w:color="auto"/>
        <w:bottom w:val="none" w:sz="0" w:space="0" w:color="auto"/>
        <w:right w:val="none" w:sz="0" w:space="0" w:color="auto"/>
      </w:divBdr>
    </w:div>
    <w:div w:id="1016729087">
      <w:bodyDiv w:val="1"/>
      <w:marLeft w:val="0"/>
      <w:marRight w:val="0"/>
      <w:marTop w:val="0"/>
      <w:marBottom w:val="0"/>
      <w:divBdr>
        <w:top w:val="none" w:sz="0" w:space="0" w:color="auto"/>
        <w:left w:val="none" w:sz="0" w:space="0" w:color="auto"/>
        <w:bottom w:val="none" w:sz="0" w:space="0" w:color="auto"/>
        <w:right w:val="none" w:sz="0" w:space="0" w:color="auto"/>
      </w:divBdr>
    </w:div>
    <w:div w:id="1018118798">
      <w:bodyDiv w:val="1"/>
      <w:marLeft w:val="0"/>
      <w:marRight w:val="0"/>
      <w:marTop w:val="0"/>
      <w:marBottom w:val="0"/>
      <w:divBdr>
        <w:top w:val="none" w:sz="0" w:space="0" w:color="auto"/>
        <w:left w:val="none" w:sz="0" w:space="0" w:color="auto"/>
        <w:bottom w:val="none" w:sz="0" w:space="0" w:color="auto"/>
        <w:right w:val="none" w:sz="0" w:space="0" w:color="auto"/>
      </w:divBdr>
    </w:div>
    <w:div w:id="1018432012">
      <w:bodyDiv w:val="1"/>
      <w:marLeft w:val="0"/>
      <w:marRight w:val="0"/>
      <w:marTop w:val="0"/>
      <w:marBottom w:val="0"/>
      <w:divBdr>
        <w:top w:val="none" w:sz="0" w:space="0" w:color="auto"/>
        <w:left w:val="none" w:sz="0" w:space="0" w:color="auto"/>
        <w:bottom w:val="none" w:sz="0" w:space="0" w:color="auto"/>
        <w:right w:val="none" w:sz="0" w:space="0" w:color="auto"/>
      </w:divBdr>
    </w:div>
    <w:div w:id="1020281818">
      <w:bodyDiv w:val="1"/>
      <w:marLeft w:val="0"/>
      <w:marRight w:val="0"/>
      <w:marTop w:val="0"/>
      <w:marBottom w:val="0"/>
      <w:divBdr>
        <w:top w:val="none" w:sz="0" w:space="0" w:color="auto"/>
        <w:left w:val="none" w:sz="0" w:space="0" w:color="auto"/>
        <w:bottom w:val="none" w:sz="0" w:space="0" w:color="auto"/>
        <w:right w:val="none" w:sz="0" w:space="0" w:color="auto"/>
      </w:divBdr>
    </w:div>
    <w:div w:id="1021735922">
      <w:bodyDiv w:val="1"/>
      <w:marLeft w:val="0"/>
      <w:marRight w:val="0"/>
      <w:marTop w:val="0"/>
      <w:marBottom w:val="0"/>
      <w:divBdr>
        <w:top w:val="none" w:sz="0" w:space="0" w:color="auto"/>
        <w:left w:val="none" w:sz="0" w:space="0" w:color="auto"/>
        <w:bottom w:val="none" w:sz="0" w:space="0" w:color="auto"/>
        <w:right w:val="none" w:sz="0" w:space="0" w:color="auto"/>
      </w:divBdr>
    </w:div>
    <w:div w:id="1022778334">
      <w:bodyDiv w:val="1"/>
      <w:marLeft w:val="0"/>
      <w:marRight w:val="0"/>
      <w:marTop w:val="0"/>
      <w:marBottom w:val="0"/>
      <w:divBdr>
        <w:top w:val="none" w:sz="0" w:space="0" w:color="auto"/>
        <w:left w:val="none" w:sz="0" w:space="0" w:color="auto"/>
        <w:bottom w:val="none" w:sz="0" w:space="0" w:color="auto"/>
        <w:right w:val="none" w:sz="0" w:space="0" w:color="auto"/>
      </w:divBdr>
    </w:div>
    <w:div w:id="1023287707">
      <w:bodyDiv w:val="1"/>
      <w:marLeft w:val="0"/>
      <w:marRight w:val="0"/>
      <w:marTop w:val="0"/>
      <w:marBottom w:val="0"/>
      <w:divBdr>
        <w:top w:val="none" w:sz="0" w:space="0" w:color="auto"/>
        <w:left w:val="none" w:sz="0" w:space="0" w:color="auto"/>
        <w:bottom w:val="none" w:sz="0" w:space="0" w:color="auto"/>
        <w:right w:val="none" w:sz="0" w:space="0" w:color="auto"/>
      </w:divBdr>
    </w:div>
    <w:div w:id="1023364469">
      <w:bodyDiv w:val="1"/>
      <w:marLeft w:val="0"/>
      <w:marRight w:val="0"/>
      <w:marTop w:val="0"/>
      <w:marBottom w:val="0"/>
      <w:divBdr>
        <w:top w:val="none" w:sz="0" w:space="0" w:color="auto"/>
        <w:left w:val="none" w:sz="0" w:space="0" w:color="auto"/>
        <w:bottom w:val="none" w:sz="0" w:space="0" w:color="auto"/>
        <w:right w:val="none" w:sz="0" w:space="0" w:color="auto"/>
      </w:divBdr>
    </w:div>
    <w:div w:id="1025404441">
      <w:bodyDiv w:val="1"/>
      <w:marLeft w:val="0"/>
      <w:marRight w:val="0"/>
      <w:marTop w:val="0"/>
      <w:marBottom w:val="0"/>
      <w:divBdr>
        <w:top w:val="none" w:sz="0" w:space="0" w:color="auto"/>
        <w:left w:val="none" w:sz="0" w:space="0" w:color="auto"/>
        <w:bottom w:val="none" w:sz="0" w:space="0" w:color="auto"/>
        <w:right w:val="none" w:sz="0" w:space="0" w:color="auto"/>
      </w:divBdr>
    </w:div>
    <w:div w:id="1026904064">
      <w:bodyDiv w:val="1"/>
      <w:marLeft w:val="0"/>
      <w:marRight w:val="0"/>
      <w:marTop w:val="0"/>
      <w:marBottom w:val="0"/>
      <w:divBdr>
        <w:top w:val="none" w:sz="0" w:space="0" w:color="auto"/>
        <w:left w:val="none" w:sz="0" w:space="0" w:color="auto"/>
        <w:bottom w:val="none" w:sz="0" w:space="0" w:color="auto"/>
        <w:right w:val="none" w:sz="0" w:space="0" w:color="auto"/>
      </w:divBdr>
    </w:div>
    <w:div w:id="1028415051">
      <w:bodyDiv w:val="1"/>
      <w:marLeft w:val="0"/>
      <w:marRight w:val="0"/>
      <w:marTop w:val="0"/>
      <w:marBottom w:val="0"/>
      <w:divBdr>
        <w:top w:val="none" w:sz="0" w:space="0" w:color="auto"/>
        <w:left w:val="none" w:sz="0" w:space="0" w:color="auto"/>
        <w:bottom w:val="none" w:sz="0" w:space="0" w:color="auto"/>
        <w:right w:val="none" w:sz="0" w:space="0" w:color="auto"/>
      </w:divBdr>
    </w:div>
    <w:div w:id="1030037113">
      <w:bodyDiv w:val="1"/>
      <w:marLeft w:val="0"/>
      <w:marRight w:val="0"/>
      <w:marTop w:val="0"/>
      <w:marBottom w:val="0"/>
      <w:divBdr>
        <w:top w:val="none" w:sz="0" w:space="0" w:color="auto"/>
        <w:left w:val="none" w:sz="0" w:space="0" w:color="auto"/>
        <w:bottom w:val="none" w:sz="0" w:space="0" w:color="auto"/>
        <w:right w:val="none" w:sz="0" w:space="0" w:color="auto"/>
      </w:divBdr>
    </w:div>
    <w:div w:id="1030690778">
      <w:bodyDiv w:val="1"/>
      <w:marLeft w:val="0"/>
      <w:marRight w:val="0"/>
      <w:marTop w:val="0"/>
      <w:marBottom w:val="0"/>
      <w:divBdr>
        <w:top w:val="none" w:sz="0" w:space="0" w:color="auto"/>
        <w:left w:val="none" w:sz="0" w:space="0" w:color="auto"/>
        <w:bottom w:val="none" w:sz="0" w:space="0" w:color="auto"/>
        <w:right w:val="none" w:sz="0" w:space="0" w:color="auto"/>
      </w:divBdr>
    </w:div>
    <w:div w:id="1033380456">
      <w:bodyDiv w:val="1"/>
      <w:marLeft w:val="0"/>
      <w:marRight w:val="0"/>
      <w:marTop w:val="0"/>
      <w:marBottom w:val="0"/>
      <w:divBdr>
        <w:top w:val="none" w:sz="0" w:space="0" w:color="auto"/>
        <w:left w:val="none" w:sz="0" w:space="0" w:color="auto"/>
        <w:bottom w:val="none" w:sz="0" w:space="0" w:color="auto"/>
        <w:right w:val="none" w:sz="0" w:space="0" w:color="auto"/>
      </w:divBdr>
    </w:div>
    <w:div w:id="1035884946">
      <w:bodyDiv w:val="1"/>
      <w:marLeft w:val="0"/>
      <w:marRight w:val="0"/>
      <w:marTop w:val="0"/>
      <w:marBottom w:val="0"/>
      <w:divBdr>
        <w:top w:val="none" w:sz="0" w:space="0" w:color="auto"/>
        <w:left w:val="none" w:sz="0" w:space="0" w:color="auto"/>
        <w:bottom w:val="none" w:sz="0" w:space="0" w:color="auto"/>
        <w:right w:val="none" w:sz="0" w:space="0" w:color="auto"/>
      </w:divBdr>
    </w:div>
    <w:div w:id="1036202724">
      <w:bodyDiv w:val="1"/>
      <w:marLeft w:val="0"/>
      <w:marRight w:val="0"/>
      <w:marTop w:val="0"/>
      <w:marBottom w:val="0"/>
      <w:divBdr>
        <w:top w:val="none" w:sz="0" w:space="0" w:color="auto"/>
        <w:left w:val="none" w:sz="0" w:space="0" w:color="auto"/>
        <w:bottom w:val="none" w:sz="0" w:space="0" w:color="auto"/>
        <w:right w:val="none" w:sz="0" w:space="0" w:color="auto"/>
      </w:divBdr>
    </w:div>
    <w:div w:id="1036203417">
      <w:bodyDiv w:val="1"/>
      <w:marLeft w:val="0"/>
      <w:marRight w:val="0"/>
      <w:marTop w:val="0"/>
      <w:marBottom w:val="0"/>
      <w:divBdr>
        <w:top w:val="none" w:sz="0" w:space="0" w:color="auto"/>
        <w:left w:val="none" w:sz="0" w:space="0" w:color="auto"/>
        <w:bottom w:val="none" w:sz="0" w:space="0" w:color="auto"/>
        <w:right w:val="none" w:sz="0" w:space="0" w:color="auto"/>
      </w:divBdr>
    </w:div>
    <w:div w:id="1036735261">
      <w:bodyDiv w:val="1"/>
      <w:marLeft w:val="0"/>
      <w:marRight w:val="0"/>
      <w:marTop w:val="0"/>
      <w:marBottom w:val="0"/>
      <w:divBdr>
        <w:top w:val="none" w:sz="0" w:space="0" w:color="auto"/>
        <w:left w:val="none" w:sz="0" w:space="0" w:color="auto"/>
        <w:bottom w:val="none" w:sz="0" w:space="0" w:color="auto"/>
        <w:right w:val="none" w:sz="0" w:space="0" w:color="auto"/>
      </w:divBdr>
    </w:div>
    <w:div w:id="1037051809">
      <w:bodyDiv w:val="1"/>
      <w:marLeft w:val="0"/>
      <w:marRight w:val="0"/>
      <w:marTop w:val="0"/>
      <w:marBottom w:val="0"/>
      <w:divBdr>
        <w:top w:val="none" w:sz="0" w:space="0" w:color="auto"/>
        <w:left w:val="none" w:sz="0" w:space="0" w:color="auto"/>
        <w:bottom w:val="none" w:sz="0" w:space="0" w:color="auto"/>
        <w:right w:val="none" w:sz="0" w:space="0" w:color="auto"/>
      </w:divBdr>
    </w:div>
    <w:div w:id="1038235088">
      <w:bodyDiv w:val="1"/>
      <w:marLeft w:val="0"/>
      <w:marRight w:val="0"/>
      <w:marTop w:val="0"/>
      <w:marBottom w:val="0"/>
      <w:divBdr>
        <w:top w:val="none" w:sz="0" w:space="0" w:color="auto"/>
        <w:left w:val="none" w:sz="0" w:space="0" w:color="auto"/>
        <w:bottom w:val="none" w:sz="0" w:space="0" w:color="auto"/>
        <w:right w:val="none" w:sz="0" w:space="0" w:color="auto"/>
      </w:divBdr>
    </w:div>
    <w:div w:id="1038361567">
      <w:bodyDiv w:val="1"/>
      <w:marLeft w:val="0"/>
      <w:marRight w:val="0"/>
      <w:marTop w:val="0"/>
      <w:marBottom w:val="0"/>
      <w:divBdr>
        <w:top w:val="none" w:sz="0" w:space="0" w:color="auto"/>
        <w:left w:val="none" w:sz="0" w:space="0" w:color="auto"/>
        <w:bottom w:val="none" w:sz="0" w:space="0" w:color="auto"/>
        <w:right w:val="none" w:sz="0" w:space="0" w:color="auto"/>
      </w:divBdr>
    </w:div>
    <w:div w:id="1039015298">
      <w:bodyDiv w:val="1"/>
      <w:marLeft w:val="0"/>
      <w:marRight w:val="0"/>
      <w:marTop w:val="0"/>
      <w:marBottom w:val="0"/>
      <w:divBdr>
        <w:top w:val="none" w:sz="0" w:space="0" w:color="auto"/>
        <w:left w:val="none" w:sz="0" w:space="0" w:color="auto"/>
        <w:bottom w:val="none" w:sz="0" w:space="0" w:color="auto"/>
        <w:right w:val="none" w:sz="0" w:space="0" w:color="auto"/>
      </w:divBdr>
    </w:div>
    <w:div w:id="1040322039">
      <w:bodyDiv w:val="1"/>
      <w:marLeft w:val="0"/>
      <w:marRight w:val="0"/>
      <w:marTop w:val="0"/>
      <w:marBottom w:val="0"/>
      <w:divBdr>
        <w:top w:val="none" w:sz="0" w:space="0" w:color="auto"/>
        <w:left w:val="none" w:sz="0" w:space="0" w:color="auto"/>
        <w:bottom w:val="none" w:sz="0" w:space="0" w:color="auto"/>
        <w:right w:val="none" w:sz="0" w:space="0" w:color="auto"/>
      </w:divBdr>
    </w:div>
    <w:div w:id="1042285576">
      <w:bodyDiv w:val="1"/>
      <w:marLeft w:val="0"/>
      <w:marRight w:val="0"/>
      <w:marTop w:val="0"/>
      <w:marBottom w:val="0"/>
      <w:divBdr>
        <w:top w:val="none" w:sz="0" w:space="0" w:color="auto"/>
        <w:left w:val="none" w:sz="0" w:space="0" w:color="auto"/>
        <w:bottom w:val="none" w:sz="0" w:space="0" w:color="auto"/>
        <w:right w:val="none" w:sz="0" w:space="0" w:color="auto"/>
      </w:divBdr>
    </w:div>
    <w:div w:id="1042562347">
      <w:bodyDiv w:val="1"/>
      <w:marLeft w:val="0"/>
      <w:marRight w:val="0"/>
      <w:marTop w:val="0"/>
      <w:marBottom w:val="0"/>
      <w:divBdr>
        <w:top w:val="none" w:sz="0" w:space="0" w:color="auto"/>
        <w:left w:val="none" w:sz="0" w:space="0" w:color="auto"/>
        <w:bottom w:val="none" w:sz="0" w:space="0" w:color="auto"/>
        <w:right w:val="none" w:sz="0" w:space="0" w:color="auto"/>
      </w:divBdr>
    </w:div>
    <w:div w:id="1042902420">
      <w:bodyDiv w:val="1"/>
      <w:marLeft w:val="0"/>
      <w:marRight w:val="0"/>
      <w:marTop w:val="0"/>
      <w:marBottom w:val="0"/>
      <w:divBdr>
        <w:top w:val="none" w:sz="0" w:space="0" w:color="auto"/>
        <w:left w:val="none" w:sz="0" w:space="0" w:color="auto"/>
        <w:bottom w:val="none" w:sz="0" w:space="0" w:color="auto"/>
        <w:right w:val="none" w:sz="0" w:space="0" w:color="auto"/>
      </w:divBdr>
    </w:div>
    <w:div w:id="1044792991">
      <w:bodyDiv w:val="1"/>
      <w:marLeft w:val="0"/>
      <w:marRight w:val="0"/>
      <w:marTop w:val="0"/>
      <w:marBottom w:val="0"/>
      <w:divBdr>
        <w:top w:val="none" w:sz="0" w:space="0" w:color="auto"/>
        <w:left w:val="none" w:sz="0" w:space="0" w:color="auto"/>
        <w:bottom w:val="none" w:sz="0" w:space="0" w:color="auto"/>
        <w:right w:val="none" w:sz="0" w:space="0" w:color="auto"/>
      </w:divBdr>
    </w:div>
    <w:div w:id="1048798290">
      <w:bodyDiv w:val="1"/>
      <w:marLeft w:val="0"/>
      <w:marRight w:val="0"/>
      <w:marTop w:val="0"/>
      <w:marBottom w:val="0"/>
      <w:divBdr>
        <w:top w:val="none" w:sz="0" w:space="0" w:color="auto"/>
        <w:left w:val="none" w:sz="0" w:space="0" w:color="auto"/>
        <w:bottom w:val="none" w:sz="0" w:space="0" w:color="auto"/>
        <w:right w:val="none" w:sz="0" w:space="0" w:color="auto"/>
      </w:divBdr>
    </w:div>
    <w:div w:id="1051346176">
      <w:bodyDiv w:val="1"/>
      <w:marLeft w:val="0"/>
      <w:marRight w:val="0"/>
      <w:marTop w:val="0"/>
      <w:marBottom w:val="0"/>
      <w:divBdr>
        <w:top w:val="none" w:sz="0" w:space="0" w:color="auto"/>
        <w:left w:val="none" w:sz="0" w:space="0" w:color="auto"/>
        <w:bottom w:val="none" w:sz="0" w:space="0" w:color="auto"/>
        <w:right w:val="none" w:sz="0" w:space="0" w:color="auto"/>
      </w:divBdr>
    </w:div>
    <w:div w:id="1055281607">
      <w:bodyDiv w:val="1"/>
      <w:marLeft w:val="0"/>
      <w:marRight w:val="0"/>
      <w:marTop w:val="0"/>
      <w:marBottom w:val="0"/>
      <w:divBdr>
        <w:top w:val="none" w:sz="0" w:space="0" w:color="auto"/>
        <w:left w:val="none" w:sz="0" w:space="0" w:color="auto"/>
        <w:bottom w:val="none" w:sz="0" w:space="0" w:color="auto"/>
        <w:right w:val="none" w:sz="0" w:space="0" w:color="auto"/>
      </w:divBdr>
    </w:div>
    <w:div w:id="1056244694">
      <w:bodyDiv w:val="1"/>
      <w:marLeft w:val="0"/>
      <w:marRight w:val="0"/>
      <w:marTop w:val="0"/>
      <w:marBottom w:val="0"/>
      <w:divBdr>
        <w:top w:val="none" w:sz="0" w:space="0" w:color="auto"/>
        <w:left w:val="none" w:sz="0" w:space="0" w:color="auto"/>
        <w:bottom w:val="none" w:sz="0" w:space="0" w:color="auto"/>
        <w:right w:val="none" w:sz="0" w:space="0" w:color="auto"/>
      </w:divBdr>
    </w:div>
    <w:div w:id="1056509120">
      <w:bodyDiv w:val="1"/>
      <w:marLeft w:val="0"/>
      <w:marRight w:val="0"/>
      <w:marTop w:val="0"/>
      <w:marBottom w:val="0"/>
      <w:divBdr>
        <w:top w:val="none" w:sz="0" w:space="0" w:color="auto"/>
        <w:left w:val="none" w:sz="0" w:space="0" w:color="auto"/>
        <w:bottom w:val="none" w:sz="0" w:space="0" w:color="auto"/>
        <w:right w:val="none" w:sz="0" w:space="0" w:color="auto"/>
      </w:divBdr>
    </w:div>
    <w:div w:id="1057822600">
      <w:bodyDiv w:val="1"/>
      <w:marLeft w:val="0"/>
      <w:marRight w:val="0"/>
      <w:marTop w:val="0"/>
      <w:marBottom w:val="0"/>
      <w:divBdr>
        <w:top w:val="none" w:sz="0" w:space="0" w:color="auto"/>
        <w:left w:val="none" w:sz="0" w:space="0" w:color="auto"/>
        <w:bottom w:val="none" w:sz="0" w:space="0" w:color="auto"/>
        <w:right w:val="none" w:sz="0" w:space="0" w:color="auto"/>
      </w:divBdr>
    </w:div>
    <w:div w:id="1060327618">
      <w:bodyDiv w:val="1"/>
      <w:marLeft w:val="0"/>
      <w:marRight w:val="0"/>
      <w:marTop w:val="0"/>
      <w:marBottom w:val="0"/>
      <w:divBdr>
        <w:top w:val="none" w:sz="0" w:space="0" w:color="auto"/>
        <w:left w:val="none" w:sz="0" w:space="0" w:color="auto"/>
        <w:bottom w:val="none" w:sz="0" w:space="0" w:color="auto"/>
        <w:right w:val="none" w:sz="0" w:space="0" w:color="auto"/>
      </w:divBdr>
    </w:div>
    <w:div w:id="1060908094">
      <w:bodyDiv w:val="1"/>
      <w:marLeft w:val="0"/>
      <w:marRight w:val="0"/>
      <w:marTop w:val="0"/>
      <w:marBottom w:val="0"/>
      <w:divBdr>
        <w:top w:val="none" w:sz="0" w:space="0" w:color="auto"/>
        <w:left w:val="none" w:sz="0" w:space="0" w:color="auto"/>
        <w:bottom w:val="none" w:sz="0" w:space="0" w:color="auto"/>
        <w:right w:val="none" w:sz="0" w:space="0" w:color="auto"/>
      </w:divBdr>
    </w:div>
    <w:div w:id="1060909956">
      <w:bodyDiv w:val="1"/>
      <w:marLeft w:val="0"/>
      <w:marRight w:val="0"/>
      <w:marTop w:val="0"/>
      <w:marBottom w:val="0"/>
      <w:divBdr>
        <w:top w:val="none" w:sz="0" w:space="0" w:color="auto"/>
        <w:left w:val="none" w:sz="0" w:space="0" w:color="auto"/>
        <w:bottom w:val="none" w:sz="0" w:space="0" w:color="auto"/>
        <w:right w:val="none" w:sz="0" w:space="0" w:color="auto"/>
      </w:divBdr>
    </w:div>
    <w:div w:id="1060976079">
      <w:bodyDiv w:val="1"/>
      <w:marLeft w:val="0"/>
      <w:marRight w:val="0"/>
      <w:marTop w:val="0"/>
      <w:marBottom w:val="0"/>
      <w:divBdr>
        <w:top w:val="none" w:sz="0" w:space="0" w:color="auto"/>
        <w:left w:val="none" w:sz="0" w:space="0" w:color="auto"/>
        <w:bottom w:val="none" w:sz="0" w:space="0" w:color="auto"/>
        <w:right w:val="none" w:sz="0" w:space="0" w:color="auto"/>
      </w:divBdr>
    </w:div>
    <w:div w:id="1061636442">
      <w:bodyDiv w:val="1"/>
      <w:marLeft w:val="0"/>
      <w:marRight w:val="0"/>
      <w:marTop w:val="0"/>
      <w:marBottom w:val="0"/>
      <w:divBdr>
        <w:top w:val="none" w:sz="0" w:space="0" w:color="auto"/>
        <w:left w:val="none" w:sz="0" w:space="0" w:color="auto"/>
        <w:bottom w:val="none" w:sz="0" w:space="0" w:color="auto"/>
        <w:right w:val="none" w:sz="0" w:space="0" w:color="auto"/>
      </w:divBdr>
    </w:div>
    <w:div w:id="1063721496">
      <w:bodyDiv w:val="1"/>
      <w:marLeft w:val="0"/>
      <w:marRight w:val="0"/>
      <w:marTop w:val="0"/>
      <w:marBottom w:val="0"/>
      <w:divBdr>
        <w:top w:val="none" w:sz="0" w:space="0" w:color="auto"/>
        <w:left w:val="none" w:sz="0" w:space="0" w:color="auto"/>
        <w:bottom w:val="none" w:sz="0" w:space="0" w:color="auto"/>
        <w:right w:val="none" w:sz="0" w:space="0" w:color="auto"/>
      </w:divBdr>
    </w:div>
    <w:div w:id="1064377971">
      <w:bodyDiv w:val="1"/>
      <w:marLeft w:val="0"/>
      <w:marRight w:val="0"/>
      <w:marTop w:val="0"/>
      <w:marBottom w:val="0"/>
      <w:divBdr>
        <w:top w:val="none" w:sz="0" w:space="0" w:color="auto"/>
        <w:left w:val="none" w:sz="0" w:space="0" w:color="auto"/>
        <w:bottom w:val="none" w:sz="0" w:space="0" w:color="auto"/>
        <w:right w:val="none" w:sz="0" w:space="0" w:color="auto"/>
      </w:divBdr>
    </w:div>
    <w:div w:id="1064571174">
      <w:bodyDiv w:val="1"/>
      <w:marLeft w:val="0"/>
      <w:marRight w:val="0"/>
      <w:marTop w:val="0"/>
      <w:marBottom w:val="0"/>
      <w:divBdr>
        <w:top w:val="none" w:sz="0" w:space="0" w:color="auto"/>
        <w:left w:val="none" w:sz="0" w:space="0" w:color="auto"/>
        <w:bottom w:val="none" w:sz="0" w:space="0" w:color="auto"/>
        <w:right w:val="none" w:sz="0" w:space="0" w:color="auto"/>
      </w:divBdr>
    </w:div>
    <w:div w:id="1065184175">
      <w:bodyDiv w:val="1"/>
      <w:marLeft w:val="0"/>
      <w:marRight w:val="0"/>
      <w:marTop w:val="0"/>
      <w:marBottom w:val="0"/>
      <w:divBdr>
        <w:top w:val="none" w:sz="0" w:space="0" w:color="auto"/>
        <w:left w:val="none" w:sz="0" w:space="0" w:color="auto"/>
        <w:bottom w:val="none" w:sz="0" w:space="0" w:color="auto"/>
        <w:right w:val="none" w:sz="0" w:space="0" w:color="auto"/>
      </w:divBdr>
    </w:div>
    <w:div w:id="1068578757">
      <w:bodyDiv w:val="1"/>
      <w:marLeft w:val="0"/>
      <w:marRight w:val="0"/>
      <w:marTop w:val="0"/>
      <w:marBottom w:val="0"/>
      <w:divBdr>
        <w:top w:val="none" w:sz="0" w:space="0" w:color="auto"/>
        <w:left w:val="none" w:sz="0" w:space="0" w:color="auto"/>
        <w:bottom w:val="none" w:sz="0" w:space="0" w:color="auto"/>
        <w:right w:val="none" w:sz="0" w:space="0" w:color="auto"/>
      </w:divBdr>
    </w:div>
    <w:div w:id="1069618643">
      <w:bodyDiv w:val="1"/>
      <w:marLeft w:val="0"/>
      <w:marRight w:val="0"/>
      <w:marTop w:val="0"/>
      <w:marBottom w:val="0"/>
      <w:divBdr>
        <w:top w:val="none" w:sz="0" w:space="0" w:color="auto"/>
        <w:left w:val="none" w:sz="0" w:space="0" w:color="auto"/>
        <w:bottom w:val="none" w:sz="0" w:space="0" w:color="auto"/>
        <w:right w:val="none" w:sz="0" w:space="0" w:color="auto"/>
      </w:divBdr>
    </w:div>
    <w:div w:id="1070228962">
      <w:bodyDiv w:val="1"/>
      <w:marLeft w:val="0"/>
      <w:marRight w:val="0"/>
      <w:marTop w:val="0"/>
      <w:marBottom w:val="0"/>
      <w:divBdr>
        <w:top w:val="none" w:sz="0" w:space="0" w:color="auto"/>
        <w:left w:val="none" w:sz="0" w:space="0" w:color="auto"/>
        <w:bottom w:val="none" w:sz="0" w:space="0" w:color="auto"/>
        <w:right w:val="none" w:sz="0" w:space="0" w:color="auto"/>
      </w:divBdr>
    </w:div>
    <w:div w:id="1070738982">
      <w:bodyDiv w:val="1"/>
      <w:marLeft w:val="0"/>
      <w:marRight w:val="0"/>
      <w:marTop w:val="0"/>
      <w:marBottom w:val="0"/>
      <w:divBdr>
        <w:top w:val="none" w:sz="0" w:space="0" w:color="auto"/>
        <w:left w:val="none" w:sz="0" w:space="0" w:color="auto"/>
        <w:bottom w:val="none" w:sz="0" w:space="0" w:color="auto"/>
        <w:right w:val="none" w:sz="0" w:space="0" w:color="auto"/>
      </w:divBdr>
    </w:div>
    <w:div w:id="1070814255">
      <w:bodyDiv w:val="1"/>
      <w:marLeft w:val="0"/>
      <w:marRight w:val="0"/>
      <w:marTop w:val="0"/>
      <w:marBottom w:val="0"/>
      <w:divBdr>
        <w:top w:val="none" w:sz="0" w:space="0" w:color="auto"/>
        <w:left w:val="none" w:sz="0" w:space="0" w:color="auto"/>
        <w:bottom w:val="none" w:sz="0" w:space="0" w:color="auto"/>
        <w:right w:val="none" w:sz="0" w:space="0" w:color="auto"/>
      </w:divBdr>
    </w:div>
    <w:div w:id="1072199934">
      <w:bodyDiv w:val="1"/>
      <w:marLeft w:val="0"/>
      <w:marRight w:val="0"/>
      <w:marTop w:val="0"/>
      <w:marBottom w:val="0"/>
      <w:divBdr>
        <w:top w:val="none" w:sz="0" w:space="0" w:color="auto"/>
        <w:left w:val="none" w:sz="0" w:space="0" w:color="auto"/>
        <w:bottom w:val="none" w:sz="0" w:space="0" w:color="auto"/>
        <w:right w:val="none" w:sz="0" w:space="0" w:color="auto"/>
      </w:divBdr>
    </w:div>
    <w:div w:id="1072891178">
      <w:bodyDiv w:val="1"/>
      <w:marLeft w:val="0"/>
      <w:marRight w:val="0"/>
      <w:marTop w:val="0"/>
      <w:marBottom w:val="0"/>
      <w:divBdr>
        <w:top w:val="none" w:sz="0" w:space="0" w:color="auto"/>
        <w:left w:val="none" w:sz="0" w:space="0" w:color="auto"/>
        <w:bottom w:val="none" w:sz="0" w:space="0" w:color="auto"/>
        <w:right w:val="none" w:sz="0" w:space="0" w:color="auto"/>
      </w:divBdr>
    </w:div>
    <w:div w:id="1073308792">
      <w:bodyDiv w:val="1"/>
      <w:marLeft w:val="0"/>
      <w:marRight w:val="0"/>
      <w:marTop w:val="0"/>
      <w:marBottom w:val="0"/>
      <w:divBdr>
        <w:top w:val="none" w:sz="0" w:space="0" w:color="auto"/>
        <w:left w:val="none" w:sz="0" w:space="0" w:color="auto"/>
        <w:bottom w:val="none" w:sz="0" w:space="0" w:color="auto"/>
        <w:right w:val="none" w:sz="0" w:space="0" w:color="auto"/>
      </w:divBdr>
    </w:div>
    <w:div w:id="1073314226">
      <w:bodyDiv w:val="1"/>
      <w:marLeft w:val="0"/>
      <w:marRight w:val="0"/>
      <w:marTop w:val="0"/>
      <w:marBottom w:val="0"/>
      <w:divBdr>
        <w:top w:val="none" w:sz="0" w:space="0" w:color="auto"/>
        <w:left w:val="none" w:sz="0" w:space="0" w:color="auto"/>
        <w:bottom w:val="none" w:sz="0" w:space="0" w:color="auto"/>
        <w:right w:val="none" w:sz="0" w:space="0" w:color="auto"/>
      </w:divBdr>
    </w:div>
    <w:div w:id="1075585665">
      <w:bodyDiv w:val="1"/>
      <w:marLeft w:val="0"/>
      <w:marRight w:val="0"/>
      <w:marTop w:val="0"/>
      <w:marBottom w:val="0"/>
      <w:divBdr>
        <w:top w:val="none" w:sz="0" w:space="0" w:color="auto"/>
        <w:left w:val="none" w:sz="0" w:space="0" w:color="auto"/>
        <w:bottom w:val="none" w:sz="0" w:space="0" w:color="auto"/>
        <w:right w:val="none" w:sz="0" w:space="0" w:color="auto"/>
      </w:divBdr>
    </w:div>
    <w:div w:id="1075856244">
      <w:bodyDiv w:val="1"/>
      <w:marLeft w:val="0"/>
      <w:marRight w:val="0"/>
      <w:marTop w:val="0"/>
      <w:marBottom w:val="0"/>
      <w:divBdr>
        <w:top w:val="none" w:sz="0" w:space="0" w:color="auto"/>
        <w:left w:val="none" w:sz="0" w:space="0" w:color="auto"/>
        <w:bottom w:val="none" w:sz="0" w:space="0" w:color="auto"/>
        <w:right w:val="none" w:sz="0" w:space="0" w:color="auto"/>
      </w:divBdr>
    </w:div>
    <w:div w:id="1076902252">
      <w:bodyDiv w:val="1"/>
      <w:marLeft w:val="0"/>
      <w:marRight w:val="0"/>
      <w:marTop w:val="0"/>
      <w:marBottom w:val="0"/>
      <w:divBdr>
        <w:top w:val="none" w:sz="0" w:space="0" w:color="auto"/>
        <w:left w:val="none" w:sz="0" w:space="0" w:color="auto"/>
        <w:bottom w:val="none" w:sz="0" w:space="0" w:color="auto"/>
        <w:right w:val="none" w:sz="0" w:space="0" w:color="auto"/>
      </w:divBdr>
    </w:div>
    <w:div w:id="1076978981">
      <w:bodyDiv w:val="1"/>
      <w:marLeft w:val="0"/>
      <w:marRight w:val="0"/>
      <w:marTop w:val="0"/>
      <w:marBottom w:val="0"/>
      <w:divBdr>
        <w:top w:val="none" w:sz="0" w:space="0" w:color="auto"/>
        <w:left w:val="none" w:sz="0" w:space="0" w:color="auto"/>
        <w:bottom w:val="none" w:sz="0" w:space="0" w:color="auto"/>
        <w:right w:val="none" w:sz="0" w:space="0" w:color="auto"/>
      </w:divBdr>
    </w:div>
    <w:div w:id="1081482610">
      <w:bodyDiv w:val="1"/>
      <w:marLeft w:val="0"/>
      <w:marRight w:val="0"/>
      <w:marTop w:val="0"/>
      <w:marBottom w:val="0"/>
      <w:divBdr>
        <w:top w:val="none" w:sz="0" w:space="0" w:color="auto"/>
        <w:left w:val="none" w:sz="0" w:space="0" w:color="auto"/>
        <w:bottom w:val="none" w:sz="0" w:space="0" w:color="auto"/>
        <w:right w:val="none" w:sz="0" w:space="0" w:color="auto"/>
      </w:divBdr>
    </w:div>
    <w:div w:id="1081875034">
      <w:bodyDiv w:val="1"/>
      <w:marLeft w:val="0"/>
      <w:marRight w:val="0"/>
      <w:marTop w:val="0"/>
      <w:marBottom w:val="0"/>
      <w:divBdr>
        <w:top w:val="none" w:sz="0" w:space="0" w:color="auto"/>
        <w:left w:val="none" w:sz="0" w:space="0" w:color="auto"/>
        <w:bottom w:val="none" w:sz="0" w:space="0" w:color="auto"/>
        <w:right w:val="none" w:sz="0" w:space="0" w:color="auto"/>
      </w:divBdr>
    </w:div>
    <w:div w:id="1082026987">
      <w:bodyDiv w:val="1"/>
      <w:marLeft w:val="0"/>
      <w:marRight w:val="0"/>
      <w:marTop w:val="0"/>
      <w:marBottom w:val="0"/>
      <w:divBdr>
        <w:top w:val="none" w:sz="0" w:space="0" w:color="auto"/>
        <w:left w:val="none" w:sz="0" w:space="0" w:color="auto"/>
        <w:bottom w:val="none" w:sz="0" w:space="0" w:color="auto"/>
        <w:right w:val="none" w:sz="0" w:space="0" w:color="auto"/>
      </w:divBdr>
    </w:div>
    <w:div w:id="1082408888">
      <w:bodyDiv w:val="1"/>
      <w:marLeft w:val="0"/>
      <w:marRight w:val="0"/>
      <w:marTop w:val="0"/>
      <w:marBottom w:val="0"/>
      <w:divBdr>
        <w:top w:val="none" w:sz="0" w:space="0" w:color="auto"/>
        <w:left w:val="none" w:sz="0" w:space="0" w:color="auto"/>
        <w:bottom w:val="none" w:sz="0" w:space="0" w:color="auto"/>
        <w:right w:val="none" w:sz="0" w:space="0" w:color="auto"/>
      </w:divBdr>
    </w:div>
    <w:div w:id="1084188292">
      <w:bodyDiv w:val="1"/>
      <w:marLeft w:val="0"/>
      <w:marRight w:val="0"/>
      <w:marTop w:val="0"/>
      <w:marBottom w:val="0"/>
      <w:divBdr>
        <w:top w:val="none" w:sz="0" w:space="0" w:color="auto"/>
        <w:left w:val="none" w:sz="0" w:space="0" w:color="auto"/>
        <w:bottom w:val="none" w:sz="0" w:space="0" w:color="auto"/>
        <w:right w:val="none" w:sz="0" w:space="0" w:color="auto"/>
      </w:divBdr>
    </w:div>
    <w:div w:id="1084373938">
      <w:bodyDiv w:val="1"/>
      <w:marLeft w:val="0"/>
      <w:marRight w:val="0"/>
      <w:marTop w:val="0"/>
      <w:marBottom w:val="0"/>
      <w:divBdr>
        <w:top w:val="none" w:sz="0" w:space="0" w:color="auto"/>
        <w:left w:val="none" w:sz="0" w:space="0" w:color="auto"/>
        <w:bottom w:val="none" w:sz="0" w:space="0" w:color="auto"/>
        <w:right w:val="none" w:sz="0" w:space="0" w:color="auto"/>
      </w:divBdr>
    </w:div>
    <w:div w:id="1084647980">
      <w:bodyDiv w:val="1"/>
      <w:marLeft w:val="0"/>
      <w:marRight w:val="0"/>
      <w:marTop w:val="0"/>
      <w:marBottom w:val="0"/>
      <w:divBdr>
        <w:top w:val="none" w:sz="0" w:space="0" w:color="auto"/>
        <w:left w:val="none" w:sz="0" w:space="0" w:color="auto"/>
        <w:bottom w:val="none" w:sz="0" w:space="0" w:color="auto"/>
        <w:right w:val="none" w:sz="0" w:space="0" w:color="auto"/>
      </w:divBdr>
    </w:div>
    <w:div w:id="1084915483">
      <w:bodyDiv w:val="1"/>
      <w:marLeft w:val="0"/>
      <w:marRight w:val="0"/>
      <w:marTop w:val="0"/>
      <w:marBottom w:val="0"/>
      <w:divBdr>
        <w:top w:val="none" w:sz="0" w:space="0" w:color="auto"/>
        <w:left w:val="none" w:sz="0" w:space="0" w:color="auto"/>
        <w:bottom w:val="none" w:sz="0" w:space="0" w:color="auto"/>
        <w:right w:val="none" w:sz="0" w:space="0" w:color="auto"/>
      </w:divBdr>
    </w:div>
    <w:div w:id="1086612546">
      <w:bodyDiv w:val="1"/>
      <w:marLeft w:val="0"/>
      <w:marRight w:val="0"/>
      <w:marTop w:val="0"/>
      <w:marBottom w:val="0"/>
      <w:divBdr>
        <w:top w:val="none" w:sz="0" w:space="0" w:color="auto"/>
        <w:left w:val="none" w:sz="0" w:space="0" w:color="auto"/>
        <w:bottom w:val="none" w:sz="0" w:space="0" w:color="auto"/>
        <w:right w:val="none" w:sz="0" w:space="0" w:color="auto"/>
      </w:divBdr>
    </w:div>
    <w:div w:id="1087847116">
      <w:bodyDiv w:val="1"/>
      <w:marLeft w:val="0"/>
      <w:marRight w:val="0"/>
      <w:marTop w:val="0"/>
      <w:marBottom w:val="0"/>
      <w:divBdr>
        <w:top w:val="none" w:sz="0" w:space="0" w:color="auto"/>
        <w:left w:val="none" w:sz="0" w:space="0" w:color="auto"/>
        <w:bottom w:val="none" w:sz="0" w:space="0" w:color="auto"/>
        <w:right w:val="none" w:sz="0" w:space="0" w:color="auto"/>
      </w:divBdr>
    </w:div>
    <w:div w:id="1088431545">
      <w:bodyDiv w:val="1"/>
      <w:marLeft w:val="0"/>
      <w:marRight w:val="0"/>
      <w:marTop w:val="0"/>
      <w:marBottom w:val="0"/>
      <w:divBdr>
        <w:top w:val="none" w:sz="0" w:space="0" w:color="auto"/>
        <w:left w:val="none" w:sz="0" w:space="0" w:color="auto"/>
        <w:bottom w:val="none" w:sz="0" w:space="0" w:color="auto"/>
        <w:right w:val="none" w:sz="0" w:space="0" w:color="auto"/>
      </w:divBdr>
    </w:div>
    <w:div w:id="1090396309">
      <w:bodyDiv w:val="1"/>
      <w:marLeft w:val="0"/>
      <w:marRight w:val="0"/>
      <w:marTop w:val="0"/>
      <w:marBottom w:val="0"/>
      <w:divBdr>
        <w:top w:val="none" w:sz="0" w:space="0" w:color="auto"/>
        <w:left w:val="none" w:sz="0" w:space="0" w:color="auto"/>
        <w:bottom w:val="none" w:sz="0" w:space="0" w:color="auto"/>
        <w:right w:val="none" w:sz="0" w:space="0" w:color="auto"/>
      </w:divBdr>
    </w:div>
    <w:div w:id="1091508756">
      <w:bodyDiv w:val="1"/>
      <w:marLeft w:val="0"/>
      <w:marRight w:val="0"/>
      <w:marTop w:val="0"/>
      <w:marBottom w:val="0"/>
      <w:divBdr>
        <w:top w:val="none" w:sz="0" w:space="0" w:color="auto"/>
        <w:left w:val="none" w:sz="0" w:space="0" w:color="auto"/>
        <w:bottom w:val="none" w:sz="0" w:space="0" w:color="auto"/>
        <w:right w:val="none" w:sz="0" w:space="0" w:color="auto"/>
      </w:divBdr>
    </w:div>
    <w:div w:id="1094205001">
      <w:bodyDiv w:val="1"/>
      <w:marLeft w:val="0"/>
      <w:marRight w:val="0"/>
      <w:marTop w:val="0"/>
      <w:marBottom w:val="0"/>
      <w:divBdr>
        <w:top w:val="none" w:sz="0" w:space="0" w:color="auto"/>
        <w:left w:val="none" w:sz="0" w:space="0" w:color="auto"/>
        <w:bottom w:val="none" w:sz="0" w:space="0" w:color="auto"/>
        <w:right w:val="none" w:sz="0" w:space="0" w:color="auto"/>
      </w:divBdr>
    </w:div>
    <w:div w:id="1095203573">
      <w:bodyDiv w:val="1"/>
      <w:marLeft w:val="0"/>
      <w:marRight w:val="0"/>
      <w:marTop w:val="0"/>
      <w:marBottom w:val="0"/>
      <w:divBdr>
        <w:top w:val="none" w:sz="0" w:space="0" w:color="auto"/>
        <w:left w:val="none" w:sz="0" w:space="0" w:color="auto"/>
        <w:bottom w:val="none" w:sz="0" w:space="0" w:color="auto"/>
        <w:right w:val="none" w:sz="0" w:space="0" w:color="auto"/>
      </w:divBdr>
    </w:div>
    <w:div w:id="1095203919">
      <w:bodyDiv w:val="1"/>
      <w:marLeft w:val="0"/>
      <w:marRight w:val="0"/>
      <w:marTop w:val="0"/>
      <w:marBottom w:val="0"/>
      <w:divBdr>
        <w:top w:val="none" w:sz="0" w:space="0" w:color="auto"/>
        <w:left w:val="none" w:sz="0" w:space="0" w:color="auto"/>
        <w:bottom w:val="none" w:sz="0" w:space="0" w:color="auto"/>
        <w:right w:val="none" w:sz="0" w:space="0" w:color="auto"/>
      </w:divBdr>
    </w:div>
    <w:div w:id="1103915941">
      <w:bodyDiv w:val="1"/>
      <w:marLeft w:val="0"/>
      <w:marRight w:val="0"/>
      <w:marTop w:val="0"/>
      <w:marBottom w:val="0"/>
      <w:divBdr>
        <w:top w:val="none" w:sz="0" w:space="0" w:color="auto"/>
        <w:left w:val="none" w:sz="0" w:space="0" w:color="auto"/>
        <w:bottom w:val="none" w:sz="0" w:space="0" w:color="auto"/>
        <w:right w:val="none" w:sz="0" w:space="0" w:color="auto"/>
      </w:divBdr>
    </w:div>
    <w:div w:id="1104377792">
      <w:bodyDiv w:val="1"/>
      <w:marLeft w:val="0"/>
      <w:marRight w:val="0"/>
      <w:marTop w:val="0"/>
      <w:marBottom w:val="0"/>
      <w:divBdr>
        <w:top w:val="none" w:sz="0" w:space="0" w:color="auto"/>
        <w:left w:val="none" w:sz="0" w:space="0" w:color="auto"/>
        <w:bottom w:val="none" w:sz="0" w:space="0" w:color="auto"/>
        <w:right w:val="none" w:sz="0" w:space="0" w:color="auto"/>
      </w:divBdr>
    </w:div>
    <w:div w:id="1104761286">
      <w:bodyDiv w:val="1"/>
      <w:marLeft w:val="0"/>
      <w:marRight w:val="0"/>
      <w:marTop w:val="0"/>
      <w:marBottom w:val="0"/>
      <w:divBdr>
        <w:top w:val="none" w:sz="0" w:space="0" w:color="auto"/>
        <w:left w:val="none" w:sz="0" w:space="0" w:color="auto"/>
        <w:bottom w:val="none" w:sz="0" w:space="0" w:color="auto"/>
        <w:right w:val="none" w:sz="0" w:space="0" w:color="auto"/>
      </w:divBdr>
    </w:div>
    <w:div w:id="1105925065">
      <w:bodyDiv w:val="1"/>
      <w:marLeft w:val="0"/>
      <w:marRight w:val="0"/>
      <w:marTop w:val="0"/>
      <w:marBottom w:val="0"/>
      <w:divBdr>
        <w:top w:val="none" w:sz="0" w:space="0" w:color="auto"/>
        <w:left w:val="none" w:sz="0" w:space="0" w:color="auto"/>
        <w:bottom w:val="none" w:sz="0" w:space="0" w:color="auto"/>
        <w:right w:val="none" w:sz="0" w:space="0" w:color="auto"/>
      </w:divBdr>
    </w:div>
    <w:div w:id="1108625875">
      <w:bodyDiv w:val="1"/>
      <w:marLeft w:val="0"/>
      <w:marRight w:val="0"/>
      <w:marTop w:val="0"/>
      <w:marBottom w:val="0"/>
      <w:divBdr>
        <w:top w:val="none" w:sz="0" w:space="0" w:color="auto"/>
        <w:left w:val="none" w:sz="0" w:space="0" w:color="auto"/>
        <w:bottom w:val="none" w:sz="0" w:space="0" w:color="auto"/>
        <w:right w:val="none" w:sz="0" w:space="0" w:color="auto"/>
      </w:divBdr>
    </w:div>
    <w:div w:id="1108693509">
      <w:bodyDiv w:val="1"/>
      <w:marLeft w:val="0"/>
      <w:marRight w:val="0"/>
      <w:marTop w:val="0"/>
      <w:marBottom w:val="0"/>
      <w:divBdr>
        <w:top w:val="none" w:sz="0" w:space="0" w:color="auto"/>
        <w:left w:val="none" w:sz="0" w:space="0" w:color="auto"/>
        <w:bottom w:val="none" w:sz="0" w:space="0" w:color="auto"/>
        <w:right w:val="none" w:sz="0" w:space="0" w:color="auto"/>
      </w:divBdr>
    </w:div>
    <w:div w:id="1110126519">
      <w:bodyDiv w:val="1"/>
      <w:marLeft w:val="0"/>
      <w:marRight w:val="0"/>
      <w:marTop w:val="0"/>
      <w:marBottom w:val="0"/>
      <w:divBdr>
        <w:top w:val="none" w:sz="0" w:space="0" w:color="auto"/>
        <w:left w:val="none" w:sz="0" w:space="0" w:color="auto"/>
        <w:bottom w:val="none" w:sz="0" w:space="0" w:color="auto"/>
        <w:right w:val="none" w:sz="0" w:space="0" w:color="auto"/>
      </w:divBdr>
    </w:div>
    <w:div w:id="1110513751">
      <w:bodyDiv w:val="1"/>
      <w:marLeft w:val="0"/>
      <w:marRight w:val="0"/>
      <w:marTop w:val="0"/>
      <w:marBottom w:val="0"/>
      <w:divBdr>
        <w:top w:val="none" w:sz="0" w:space="0" w:color="auto"/>
        <w:left w:val="none" w:sz="0" w:space="0" w:color="auto"/>
        <w:bottom w:val="none" w:sz="0" w:space="0" w:color="auto"/>
        <w:right w:val="none" w:sz="0" w:space="0" w:color="auto"/>
      </w:divBdr>
    </w:div>
    <w:div w:id="1113015313">
      <w:bodyDiv w:val="1"/>
      <w:marLeft w:val="0"/>
      <w:marRight w:val="0"/>
      <w:marTop w:val="0"/>
      <w:marBottom w:val="0"/>
      <w:divBdr>
        <w:top w:val="none" w:sz="0" w:space="0" w:color="auto"/>
        <w:left w:val="none" w:sz="0" w:space="0" w:color="auto"/>
        <w:bottom w:val="none" w:sz="0" w:space="0" w:color="auto"/>
        <w:right w:val="none" w:sz="0" w:space="0" w:color="auto"/>
      </w:divBdr>
    </w:div>
    <w:div w:id="1113397537">
      <w:bodyDiv w:val="1"/>
      <w:marLeft w:val="0"/>
      <w:marRight w:val="0"/>
      <w:marTop w:val="0"/>
      <w:marBottom w:val="0"/>
      <w:divBdr>
        <w:top w:val="none" w:sz="0" w:space="0" w:color="auto"/>
        <w:left w:val="none" w:sz="0" w:space="0" w:color="auto"/>
        <w:bottom w:val="none" w:sz="0" w:space="0" w:color="auto"/>
        <w:right w:val="none" w:sz="0" w:space="0" w:color="auto"/>
      </w:divBdr>
    </w:div>
    <w:div w:id="1115561334">
      <w:bodyDiv w:val="1"/>
      <w:marLeft w:val="0"/>
      <w:marRight w:val="0"/>
      <w:marTop w:val="0"/>
      <w:marBottom w:val="0"/>
      <w:divBdr>
        <w:top w:val="none" w:sz="0" w:space="0" w:color="auto"/>
        <w:left w:val="none" w:sz="0" w:space="0" w:color="auto"/>
        <w:bottom w:val="none" w:sz="0" w:space="0" w:color="auto"/>
        <w:right w:val="none" w:sz="0" w:space="0" w:color="auto"/>
      </w:divBdr>
    </w:div>
    <w:div w:id="1115901163">
      <w:bodyDiv w:val="1"/>
      <w:marLeft w:val="0"/>
      <w:marRight w:val="0"/>
      <w:marTop w:val="0"/>
      <w:marBottom w:val="0"/>
      <w:divBdr>
        <w:top w:val="none" w:sz="0" w:space="0" w:color="auto"/>
        <w:left w:val="none" w:sz="0" w:space="0" w:color="auto"/>
        <w:bottom w:val="none" w:sz="0" w:space="0" w:color="auto"/>
        <w:right w:val="none" w:sz="0" w:space="0" w:color="auto"/>
      </w:divBdr>
    </w:div>
    <w:div w:id="1116173117">
      <w:bodyDiv w:val="1"/>
      <w:marLeft w:val="0"/>
      <w:marRight w:val="0"/>
      <w:marTop w:val="0"/>
      <w:marBottom w:val="0"/>
      <w:divBdr>
        <w:top w:val="none" w:sz="0" w:space="0" w:color="auto"/>
        <w:left w:val="none" w:sz="0" w:space="0" w:color="auto"/>
        <w:bottom w:val="none" w:sz="0" w:space="0" w:color="auto"/>
        <w:right w:val="none" w:sz="0" w:space="0" w:color="auto"/>
      </w:divBdr>
    </w:div>
    <w:div w:id="1117944061">
      <w:bodyDiv w:val="1"/>
      <w:marLeft w:val="0"/>
      <w:marRight w:val="0"/>
      <w:marTop w:val="0"/>
      <w:marBottom w:val="0"/>
      <w:divBdr>
        <w:top w:val="none" w:sz="0" w:space="0" w:color="auto"/>
        <w:left w:val="none" w:sz="0" w:space="0" w:color="auto"/>
        <w:bottom w:val="none" w:sz="0" w:space="0" w:color="auto"/>
        <w:right w:val="none" w:sz="0" w:space="0" w:color="auto"/>
      </w:divBdr>
    </w:div>
    <w:div w:id="1119111291">
      <w:bodyDiv w:val="1"/>
      <w:marLeft w:val="0"/>
      <w:marRight w:val="0"/>
      <w:marTop w:val="0"/>
      <w:marBottom w:val="0"/>
      <w:divBdr>
        <w:top w:val="none" w:sz="0" w:space="0" w:color="auto"/>
        <w:left w:val="none" w:sz="0" w:space="0" w:color="auto"/>
        <w:bottom w:val="none" w:sz="0" w:space="0" w:color="auto"/>
        <w:right w:val="none" w:sz="0" w:space="0" w:color="auto"/>
      </w:divBdr>
    </w:div>
    <w:div w:id="1122264879">
      <w:bodyDiv w:val="1"/>
      <w:marLeft w:val="0"/>
      <w:marRight w:val="0"/>
      <w:marTop w:val="0"/>
      <w:marBottom w:val="0"/>
      <w:divBdr>
        <w:top w:val="none" w:sz="0" w:space="0" w:color="auto"/>
        <w:left w:val="none" w:sz="0" w:space="0" w:color="auto"/>
        <w:bottom w:val="none" w:sz="0" w:space="0" w:color="auto"/>
        <w:right w:val="none" w:sz="0" w:space="0" w:color="auto"/>
      </w:divBdr>
    </w:div>
    <w:div w:id="1122647530">
      <w:bodyDiv w:val="1"/>
      <w:marLeft w:val="0"/>
      <w:marRight w:val="0"/>
      <w:marTop w:val="0"/>
      <w:marBottom w:val="0"/>
      <w:divBdr>
        <w:top w:val="none" w:sz="0" w:space="0" w:color="auto"/>
        <w:left w:val="none" w:sz="0" w:space="0" w:color="auto"/>
        <w:bottom w:val="none" w:sz="0" w:space="0" w:color="auto"/>
        <w:right w:val="none" w:sz="0" w:space="0" w:color="auto"/>
      </w:divBdr>
    </w:div>
    <w:div w:id="1125807732">
      <w:bodyDiv w:val="1"/>
      <w:marLeft w:val="0"/>
      <w:marRight w:val="0"/>
      <w:marTop w:val="0"/>
      <w:marBottom w:val="0"/>
      <w:divBdr>
        <w:top w:val="none" w:sz="0" w:space="0" w:color="auto"/>
        <w:left w:val="none" w:sz="0" w:space="0" w:color="auto"/>
        <w:bottom w:val="none" w:sz="0" w:space="0" w:color="auto"/>
        <w:right w:val="none" w:sz="0" w:space="0" w:color="auto"/>
      </w:divBdr>
    </w:div>
    <w:div w:id="1127040598">
      <w:bodyDiv w:val="1"/>
      <w:marLeft w:val="0"/>
      <w:marRight w:val="0"/>
      <w:marTop w:val="0"/>
      <w:marBottom w:val="0"/>
      <w:divBdr>
        <w:top w:val="none" w:sz="0" w:space="0" w:color="auto"/>
        <w:left w:val="none" w:sz="0" w:space="0" w:color="auto"/>
        <w:bottom w:val="none" w:sz="0" w:space="0" w:color="auto"/>
        <w:right w:val="none" w:sz="0" w:space="0" w:color="auto"/>
      </w:divBdr>
    </w:div>
    <w:div w:id="1127118242">
      <w:bodyDiv w:val="1"/>
      <w:marLeft w:val="0"/>
      <w:marRight w:val="0"/>
      <w:marTop w:val="0"/>
      <w:marBottom w:val="0"/>
      <w:divBdr>
        <w:top w:val="none" w:sz="0" w:space="0" w:color="auto"/>
        <w:left w:val="none" w:sz="0" w:space="0" w:color="auto"/>
        <w:bottom w:val="none" w:sz="0" w:space="0" w:color="auto"/>
        <w:right w:val="none" w:sz="0" w:space="0" w:color="auto"/>
      </w:divBdr>
    </w:div>
    <w:div w:id="1127285738">
      <w:bodyDiv w:val="1"/>
      <w:marLeft w:val="0"/>
      <w:marRight w:val="0"/>
      <w:marTop w:val="0"/>
      <w:marBottom w:val="0"/>
      <w:divBdr>
        <w:top w:val="none" w:sz="0" w:space="0" w:color="auto"/>
        <w:left w:val="none" w:sz="0" w:space="0" w:color="auto"/>
        <w:bottom w:val="none" w:sz="0" w:space="0" w:color="auto"/>
        <w:right w:val="none" w:sz="0" w:space="0" w:color="auto"/>
      </w:divBdr>
    </w:div>
    <w:div w:id="1128165501">
      <w:bodyDiv w:val="1"/>
      <w:marLeft w:val="0"/>
      <w:marRight w:val="0"/>
      <w:marTop w:val="0"/>
      <w:marBottom w:val="0"/>
      <w:divBdr>
        <w:top w:val="none" w:sz="0" w:space="0" w:color="auto"/>
        <w:left w:val="none" w:sz="0" w:space="0" w:color="auto"/>
        <w:bottom w:val="none" w:sz="0" w:space="0" w:color="auto"/>
        <w:right w:val="none" w:sz="0" w:space="0" w:color="auto"/>
      </w:divBdr>
    </w:div>
    <w:div w:id="1129863962">
      <w:bodyDiv w:val="1"/>
      <w:marLeft w:val="0"/>
      <w:marRight w:val="0"/>
      <w:marTop w:val="0"/>
      <w:marBottom w:val="0"/>
      <w:divBdr>
        <w:top w:val="none" w:sz="0" w:space="0" w:color="auto"/>
        <w:left w:val="none" w:sz="0" w:space="0" w:color="auto"/>
        <w:bottom w:val="none" w:sz="0" w:space="0" w:color="auto"/>
        <w:right w:val="none" w:sz="0" w:space="0" w:color="auto"/>
      </w:divBdr>
    </w:div>
    <w:div w:id="1130782763">
      <w:bodyDiv w:val="1"/>
      <w:marLeft w:val="0"/>
      <w:marRight w:val="0"/>
      <w:marTop w:val="0"/>
      <w:marBottom w:val="0"/>
      <w:divBdr>
        <w:top w:val="none" w:sz="0" w:space="0" w:color="auto"/>
        <w:left w:val="none" w:sz="0" w:space="0" w:color="auto"/>
        <w:bottom w:val="none" w:sz="0" w:space="0" w:color="auto"/>
        <w:right w:val="none" w:sz="0" w:space="0" w:color="auto"/>
      </w:divBdr>
    </w:div>
    <w:div w:id="1131244434">
      <w:bodyDiv w:val="1"/>
      <w:marLeft w:val="0"/>
      <w:marRight w:val="0"/>
      <w:marTop w:val="0"/>
      <w:marBottom w:val="0"/>
      <w:divBdr>
        <w:top w:val="none" w:sz="0" w:space="0" w:color="auto"/>
        <w:left w:val="none" w:sz="0" w:space="0" w:color="auto"/>
        <w:bottom w:val="none" w:sz="0" w:space="0" w:color="auto"/>
        <w:right w:val="none" w:sz="0" w:space="0" w:color="auto"/>
      </w:divBdr>
    </w:div>
    <w:div w:id="1131509428">
      <w:bodyDiv w:val="1"/>
      <w:marLeft w:val="0"/>
      <w:marRight w:val="0"/>
      <w:marTop w:val="0"/>
      <w:marBottom w:val="0"/>
      <w:divBdr>
        <w:top w:val="none" w:sz="0" w:space="0" w:color="auto"/>
        <w:left w:val="none" w:sz="0" w:space="0" w:color="auto"/>
        <w:bottom w:val="none" w:sz="0" w:space="0" w:color="auto"/>
        <w:right w:val="none" w:sz="0" w:space="0" w:color="auto"/>
      </w:divBdr>
    </w:div>
    <w:div w:id="1132135261">
      <w:bodyDiv w:val="1"/>
      <w:marLeft w:val="0"/>
      <w:marRight w:val="0"/>
      <w:marTop w:val="0"/>
      <w:marBottom w:val="0"/>
      <w:divBdr>
        <w:top w:val="none" w:sz="0" w:space="0" w:color="auto"/>
        <w:left w:val="none" w:sz="0" w:space="0" w:color="auto"/>
        <w:bottom w:val="none" w:sz="0" w:space="0" w:color="auto"/>
        <w:right w:val="none" w:sz="0" w:space="0" w:color="auto"/>
      </w:divBdr>
    </w:div>
    <w:div w:id="1134299406">
      <w:bodyDiv w:val="1"/>
      <w:marLeft w:val="0"/>
      <w:marRight w:val="0"/>
      <w:marTop w:val="0"/>
      <w:marBottom w:val="0"/>
      <w:divBdr>
        <w:top w:val="none" w:sz="0" w:space="0" w:color="auto"/>
        <w:left w:val="none" w:sz="0" w:space="0" w:color="auto"/>
        <w:bottom w:val="none" w:sz="0" w:space="0" w:color="auto"/>
        <w:right w:val="none" w:sz="0" w:space="0" w:color="auto"/>
      </w:divBdr>
    </w:div>
    <w:div w:id="1134446073">
      <w:bodyDiv w:val="1"/>
      <w:marLeft w:val="0"/>
      <w:marRight w:val="0"/>
      <w:marTop w:val="0"/>
      <w:marBottom w:val="0"/>
      <w:divBdr>
        <w:top w:val="none" w:sz="0" w:space="0" w:color="auto"/>
        <w:left w:val="none" w:sz="0" w:space="0" w:color="auto"/>
        <w:bottom w:val="none" w:sz="0" w:space="0" w:color="auto"/>
        <w:right w:val="none" w:sz="0" w:space="0" w:color="auto"/>
      </w:divBdr>
    </w:div>
    <w:div w:id="1138719777">
      <w:bodyDiv w:val="1"/>
      <w:marLeft w:val="0"/>
      <w:marRight w:val="0"/>
      <w:marTop w:val="0"/>
      <w:marBottom w:val="0"/>
      <w:divBdr>
        <w:top w:val="none" w:sz="0" w:space="0" w:color="auto"/>
        <w:left w:val="none" w:sz="0" w:space="0" w:color="auto"/>
        <w:bottom w:val="none" w:sz="0" w:space="0" w:color="auto"/>
        <w:right w:val="none" w:sz="0" w:space="0" w:color="auto"/>
      </w:divBdr>
    </w:div>
    <w:div w:id="1139030752">
      <w:bodyDiv w:val="1"/>
      <w:marLeft w:val="0"/>
      <w:marRight w:val="0"/>
      <w:marTop w:val="0"/>
      <w:marBottom w:val="0"/>
      <w:divBdr>
        <w:top w:val="none" w:sz="0" w:space="0" w:color="auto"/>
        <w:left w:val="none" w:sz="0" w:space="0" w:color="auto"/>
        <w:bottom w:val="none" w:sz="0" w:space="0" w:color="auto"/>
        <w:right w:val="none" w:sz="0" w:space="0" w:color="auto"/>
      </w:divBdr>
    </w:div>
    <w:div w:id="1141270845">
      <w:bodyDiv w:val="1"/>
      <w:marLeft w:val="0"/>
      <w:marRight w:val="0"/>
      <w:marTop w:val="0"/>
      <w:marBottom w:val="0"/>
      <w:divBdr>
        <w:top w:val="none" w:sz="0" w:space="0" w:color="auto"/>
        <w:left w:val="none" w:sz="0" w:space="0" w:color="auto"/>
        <w:bottom w:val="none" w:sz="0" w:space="0" w:color="auto"/>
        <w:right w:val="none" w:sz="0" w:space="0" w:color="auto"/>
      </w:divBdr>
    </w:div>
    <w:div w:id="1141969042">
      <w:bodyDiv w:val="1"/>
      <w:marLeft w:val="0"/>
      <w:marRight w:val="0"/>
      <w:marTop w:val="0"/>
      <w:marBottom w:val="0"/>
      <w:divBdr>
        <w:top w:val="none" w:sz="0" w:space="0" w:color="auto"/>
        <w:left w:val="none" w:sz="0" w:space="0" w:color="auto"/>
        <w:bottom w:val="none" w:sz="0" w:space="0" w:color="auto"/>
        <w:right w:val="none" w:sz="0" w:space="0" w:color="auto"/>
      </w:divBdr>
    </w:div>
    <w:div w:id="1142842424">
      <w:bodyDiv w:val="1"/>
      <w:marLeft w:val="0"/>
      <w:marRight w:val="0"/>
      <w:marTop w:val="0"/>
      <w:marBottom w:val="0"/>
      <w:divBdr>
        <w:top w:val="none" w:sz="0" w:space="0" w:color="auto"/>
        <w:left w:val="none" w:sz="0" w:space="0" w:color="auto"/>
        <w:bottom w:val="none" w:sz="0" w:space="0" w:color="auto"/>
        <w:right w:val="none" w:sz="0" w:space="0" w:color="auto"/>
      </w:divBdr>
    </w:div>
    <w:div w:id="1142892459">
      <w:bodyDiv w:val="1"/>
      <w:marLeft w:val="0"/>
      <w:marRight w:val="0"/>
      <w:marTop w:val="0"/>
      <w:marBottom w:val="0"/>
      <w:divBdr>
        <w:top w:val="none" w:sz="0" w:space="0" w:color="auto"/>
        <w:left w:val="none" w:sz="0" w:space="0" w:color="auto"/>
        <w:bottom w:val="none" w:sz="0" w:space="0" w:color="auto"/>
        <w:right w:val="none" w:sz="0" w:space="0" w:color="auto"/>
      </w:divBdr>
    </w:div>
    <w:div w:id="1143546906">
      <w:bodyDiv w:val="1"/>
      <w:marLeft w:val="0"/>
      <w:marRight w:val="0"/>
      <w:marTop w:val="0"/>
      <w:marBottom w:val="0"/>
      <w:divBdr>
        <w:top w:val="none" w:sz="0" w:space="0" w:color="auto"/>
        <w:left w:val="none" w:sz="0" w:space="0" w:color="auto"/>
        <w:bottom w:val="none" w:sz="0" w:space="0" w:color="auto"/>
        <w:right w:val="none" w:sz="0" w:space="0" w:color="auto"/>
      </w:divBdr>
    </w:div>
    <w:div w:id="1145049230">
      <w:bodyDiv w:val="1"/>
      <w:marLeft w:val="0"/>
      <w:marRight w:val="0"/>
      <w:marTop w:val="0"/>
      <w:marBottom w:val="0"/>
      <w:divBdr>
        <w:top w:val="none" w:sz="0" w:space="0" w:color="auto"/>
        <w:left w:val="none" w:sz="0" w:space="0" w:color="auto"/>
        <w:bottom w:val="none" w:sz="0" w:space="0" w:color="auto"/>
        <w:right w:val="none" w:sz="0" w:space="0" w:color="auto"/>
      </w:divBdr>
    </w:div>
    <w:div w:id="1145586228">
      <w:bodyDiv w:val="1"/>
      <w:marLeft w:val="0"/>
      <w:marRight w:val="0"/>
      <w:marTop w:val="0"/>
      <w:marBottom w:val="0"/>
      <w:divBdr>
        <w:top w:val="none" w:sz="0" w:space="0" w:color="auto"/>
        <w:left w:val="none" w:sz="0" w:space="0" w:color="auto"/>
        <w:bottom w:val="none" w:sz="0" w:space="0" w:color="auto"/>
        <w:right w:val="none" w:sz="0" w:space="0" w:color="auto"/>
      </w:divBdr>
    </w:div>
    <w:div w:id="1145929605">
      <w:bodyDiv w:val="1"/>
      <w:marLeft w:val="0"/>
      <w:marRight w:val="0"/>
      <w:marTop w:val="0"/>
      <w:marBottom w:val="0"/>
      <w:divBdr>
        <w:top w:val="none" w:sz="0" w:space="0" w:color="auto"/>
        <w:left w:val="none" w:sz="0" w:space="0" w:color="auto"/>
        <w:bottom w:val="none" w:sz="0" w:space="0" w:color="auto"/>
        <w:right w:val="none" w:sz="0" w:space="0" w:color="auto"/>
      </w:divBdr>
    </w:div>
    <w:div w:id="1147668636">
      <w:bodyDiv w:val="1"/>
      <w:marLeft w:val="0"/>
      <w:marRight w:val="0"/>
      <w:marTop w:val="0"/>
      <w:marBottom w:val="0"/>
      <w:divBdr>
        <w:top w:val="none" w:sz="0" w:space="0" w:color="auto"/>
        <w:left w:val="none" w:sz="0" w:space="0" w:color="auto"/>
        <w:bottom w:val="none" w:sz="0" w:space="0" w:color="auto"/>
        <w:right w:val="none" w:sz="0" w:space="0" w:color="auto"/>
      </w:divBdr>
    </w:div>
    <w:div w:id="1149979589">
      <w:bodyDiv w:val="1"/>
      <w:marLeft w:val="0"/>
      <w:marRight w:val="0"/>
      <w:marTop w:val="0"/>
      <w:marBottom w:val="0"/>
      <w:divBdr>
        <w:top w:val="none" w:sz="0" w:space="0" w:color="auto"/>
        <w:left w:val="none" w:sz="0" w:space="0" w:color="auto"/>
        <w:bottom w:val="none" w:sz="0" w:space="0" w:color="auto"/>
        <w:right w:val="none" w:sz="0" w:space="0" w:color="auto"/>
      </w:divBdr>
    </w:div>
    <w:div w:id="1151018029">
      <w:bodyDiv w:val="1"/>
      <w:marLeft w:val="0"/>
      <w:marRight w:val="0"/>
      <w:marTop w:val="0"/>
      <w:marBottom w:val="0"/>
      <w:divBdr>
        <w:top w:val="none" w:sz="0" w:space="0" w:color="auto"/>
        <w:left w:val="none" w:sz="0" w:space="0" w:color="auto"/>
        <w:bottom w:val="none" w:sz="0" w:space="0" w:color="auto"/>
        <w:right w:val="none" w:sz="0" w:space="0" w:color="auto"/>
      </w:divBdr>
    </w:div>
    <w:div w:id="1152256607">
      <w:bodyDiv w:val="1"/>
      <w:marLeft w:val="0"/>
      <w:marRight w:val="0"/>
      <w:marTop w:val="0"/>
      <w:marBottom w:val="0"/>
      <w:divBdr>
        <w:top w:val="none" w:sz="0" w:space="0" w:color="auto"/>
        <w:left w:val="none" w:sz="0" w:space="0" w:color="auto"/>
        <w:bottom w:val="none" w:sz="0" w:space="0" w:color="auto"/>
        <w:right w:val="none" w:sz="0" w:space="0" w:color="auto"/>
      </w:divBdr>
    </w:div>
    <w:div w:id="1152451072">
      <w:bodyDiv w:val="1"/>
      <w:marLeft w:val="0"/>
      <w:marRight w:val="0"/>
      <w:marTop w:val="0"/>
      <w:marBottom w:val="0"/>
      <w:divBdr>
        <w:top w:val="none" w:sz="0" w:space="0" w:color="auto"/>
        <w:left w:val="none" w:sz="0" w:space="0" w:color="auto"/>
        <w:bottom w:val="none" w:sz="0" w:space="0" w:color="auto"/>
        <w:right w:val="none" w:sz="0" w:space="0" w:color="auto"/>
      </w:divBdr>
    </w:div>
    <w:div w:id="1154834968">
      <w:bodyDiv w:val="1"/>
      <w:marLeft w:val="0"/>
      <w:marRight w:val="0"/>
      <w:marTop w:val="0"/>
      <w:marBottom w:val="0"/>
      <w:divBdr>
        <w:top w:val="none" w:sz="0" w:space="0" w:color="auto"/>
        <w:left w:val="none" w:sz="0" w:space="0" w:color="auto"/>
        <w:bottom w:val="none" w:sz="0" w:space="0" w:color="auto"/>
        <w:right w:val="none" w:sz="0" w:space="0" w:color="auto"/>
      </w:divBdr>
    </w:div>
    <w:div w:id="1155031410">
      <w:bodyDiv w:val="1"/>
      <w:marLeft w:val="0"/>
      <w:marRight w:val="0"/>
      <w:marTop w:val="0"/>
      <w:marBottom w:val="0"/>
      <w:divBdr>
        <w:top w:val="none" w:sz="0" w:space="0" w:color="auto"/>
        <w:left w:val="none" w:sz="0" w:space="0" w:color="auto"/>
        <w:bottom w:val="none" w:sz="0" w:space="0" w:color="auto"/>
        <w:right w:val="none" w:sz="0" w:space="0" w:color="auto"/>
      </w:divBdr>
    </w:div>
    <w:div w:id="1156841915">
      <w:bodyDiv w:val="1"/>
      <w:marLeft w:val="0"/>
      <w:marRight w:val="0"/>
      <w:marTop w:val="0"/>
      <w:marBottom w:val="0"/>
      <w:divBdr>
        <w:top w:val="none" w:sz="0" w:space="0" w:color="auto"/>
        <w:left w:val="none" w:sz="0" w:space="0" w:color="auto"/>
        <w:bottom w:val="none" w:sz="0" w:space="0" w:color="auto"/>
        <w:right w:val="none" w:sz="0" w:space="0" w:color="auto"/>
      </w:divBdr>
    </w:div>
    <w:div w:id="1160121965">
      <w:bodyDiv w:val="1"/>
      <w:marLeft w:val="0"/>
      <w:marRight w:val="0"/>
      <w:marTop w:val="0"/>
      <w:marBottom w:val="0"/>
      <w:divBdr>
        <w:top w:val="none" w:sz="0" w:space="0" w:color="auto"/>
        <w:left w:val="none" w:sz="0" w:space="0" w:color="auto"/>
        <w:bottom w:val="none" w:sz="0" w:space="0" w:color="auto"/>
        <w:right w:val="none" w:sz="0" w:space="0" w:color="auto"/>
      </w:divBdr>
    </w:div>
    <w:div w:id="1160315837">
      <w:bodyDiv w:val="1"/>
      <w:marLeft w:val="0"/>
      <w:marRight w:val="0"/>
      <w:marTop w:val="0"/>
      <w:marBottom w:val="0"/>
      <w:divBdr>
        <w:top w:val="none" w:sz="0" w:space="0" w:color="auto"/>
        <w:left w:val="none" w:sz="0" w:space="0" w:color="auto"/>
        <w:bottom w:val="none" w:sz="0" w:space="0" w:color="auto"/>
        <w:right w:val="none" w:sz="0" w:space="0" w:color="auto"/>
      </w:divBdr>
    </w:div>
    <w:div w:id="1160537285">
      <w:bodyDiv w:val="1"/>
      <w:marLeft w:val="0"/>
      <w:marRight w:val="0"/>
      <w:marTop w:val="0"/>
      <w:marBottom w:val="0"/>
      <w:divBdr>
        <w:top w:val="none" w:sz="0" w:space="0" w:color="auto"/>
        <w:left w:val="none" w:sz="0" w:space="0" w:color="auto"/>
        <w:bottom w:val="none" w:sz="0" w:space="0" w:color="auto"/>
        <w:right w:val="none" w:sz="0" w:space="0" w:color="auto"/>
      </w:divBdr>
    </w:div>
    <w:div w:id="1160849390">
      <w:bodyDiv w:val="1"/>
      <w:marLeft w:val="0"/>
      <w:marRight w:val="0"/>
      <w:marTop w:val="0"/>
      <w:marBottom w:val="0"/>
      <w:divBdr>
        <w:top w:val="none" w:sz="0" w:space="0" w:color="auto"/>
        <w:left w:val="none" w:sz="0" w:space="0" w:color="auto"/>
        <w:bottom w:val="none" w:sz="0" w:space="0" w:color="auto"/>
        <w:right w:val="none" w:sz="0" w:space="0" w:color="auto"/>
      </w:divBdr>
    </w:div>
    <w:div w:id="1161308977">
      <w:bodyDiv w:val="1"/>
      <w:marLeft w:val="0"/>
      <w:marRight w:val="0"/>
      <w:marTop w:val="0"/>
      <w:marBottom w:val="0"/>
      <w:divBdr>
        <w:top w:val="none" w:sz="0" w:space="0" w:color="auto"/>
        <w:left w:val="none" w:sz="0" w:space="0" w:color="auto"/>
        <w:bottom w:val="none" w:sz="0" w:space="0" w:color="auto"/>
        <w:right w:val="none" w:sz="0" w:space="0" w:color="auto"/>
      </w:divBdr>
    </w:div>
    <w:div w:id="1161844771">
      <w:bodyDiv w:val="1"/>
      <w:marLeft w:val="0"/>
      <w:marRight w:val="0"/>
      <w:marTop w:val="0"/>
      <w:marBottom w:val="0"/>
      <w:divBdr>
        <w:top w:val="none" w:sz="0" w:space="0" w:color="auto"/>
        <w:left w:val="none" w:sz="0" w:space="0" w:color="auto"/>
        <w:bottom w:val="none" w:sz="0" w:space="0" w:color="auto"/>
        <w:right w:val="none" w:sz="0" w:space="0" w:color="auto"/>
      </w:divBdr>
    </w:div>
    <w:div w:id="1163089324">
      <w:bodyDiv w:val="1"/>
      <w:marLeft w:val="0"/>
      <w:marRight w:val="0"/>
      <w:marTop w:val="0"/>
      <w:marBottom w:val="0"/>
      <w:divBdr>
        <w:top w:val="none" w:sz="0" w:space="0" w:color="auto"/>
        <w:left w:val="none" w:sz="0" w:space="0" w:color="auto"/>
        <w:bottom w:val="none" w:sz="0" w:space="0" w:color="auto"/>
        <w:right w:val="none" w:sz="0" w:space="0" w:color="auto"/>
      </w:divBdr>
    </w:div>
    <w:div w:id="1163201442">
      <w:bodyDiv w:val="1"/>
      <w:marLeft w:val="0"/>
      <w:marRight w:val="0"/>
      <w:marTop w:val="0"/>
      <w:marBottom w:val="0"/>
      <w:divBdr>
        <w:top w:val="none" w:sz="0" w:space="0" w:color="auto"/>
        <w:left w:val="none" w:sz="0" w:space="0" w:color="auto"/>
        <w:bottom w:val="none" w:sz="0" w:space="0" w:color="auto"/>
        <w:right w:val="none" w:sz="0" w:space="0" w:color="auto"/>
      </w:divBdr>
    </w:div>
    <w:div w:id="1164390772">
      <w:bodyDiv w:val="1"/>
      <w:marLeft w:val="0"/>
      <w:marRight w:val="0"/>
      <w:marTop w:val="0"/>
      <w:marBottom w:val="0"/>
      <w:divBdr>
        <w:top w:val="none" w:sz="0" w:space="0" w:color="auto"/>
        <w:left w:val="none" w:sz="0" w:space="0" w:color="auto"/>
        <w:bottom w:val="none" w:sz="0" w:space="0" w:color="auto"/>
        <w:right w:val="none" w:sz="0" w:space="0" w:color="auto"/>
      </w:divBdr>
    </w:div>
    <w:div w:id="1166093264">
      <w:bodyDiv w:val="1"/>
      <w:marLeft w:val="0"/>
      <w:marRight w:val="0"/>
      <w:marTop w:val="0"/>
      <w:marBottom w:val="0"/>
      <w:divBdr>
        <w:top w:val="none" w:sz="0" w:space="0" w:color="auto"/>
        <w:left w:val="none" w:sz="0" w:space="0" w:color="auto"/>
        <w:bottom w:val="none" w:sz="0" w:space="0" w:color="auto"/>
        <w:right w:val="none" w:sz="0" w:space="0" w:color="auto"/>
      </w:divBdr>
    </w:div>
    <w:div w:id="1167935499">
      <w:bodyDiv w:val="1"/>
      <w:marLeft w:val="0"/>
      <w:marRight w:val="0"/>
      <w:marTop w:val="0"/>
      <w:marBottom w:val="0"/>
      <w:divBdr>
        <w:top w:val="none" w:sz="0" w:space="0" w:color="auto"/>
        <w:left w:val="none" w:sz="0" w:space="0" w:color="auto"/>
        <w:bottom w:val="none" w:sz="0" w:space="0" w:color="auto"/>
        <w:right w:val="none" w:sz="0" w:space="0" w:color="auto"/>
      </w:divBdr>
    </w:div>
    <w:div w:id="1169294731">
      <w:bodyDiv w:val="1"/>
      <w:marLeft w:val="0"/>
      <w:marRight w:val="0"/>
      <w:marTop w:val="0"/>
      <w:marBottom w:val="0"/>
      <w:divBdr>
        <w:top w:val="none" w:sz="0" w:space="0" w:color="auto"/>
        <w:left w:val="none" w:sz="0" w:space="0" w:color="auto"/>
        <w:bottom w:val="none" w:sz="0" w:space="0" w:color="auto"/>
        <w:right w:val="none" w:sz="0" w:space="0" w:color="auto"/>
      </w:divBdr>
    </w:div>
    <w:div w:id="1169905751">
      <w:bodyDiv w:val="1"/>
      <w:marLeft w:val="0"/>
      <w:marRight w:val="0"/>
      <w:marTop w:val="0"/>
      <w:marBottom w:val="0"/>
      <w:divBdr>
        <w:top w:val="none" w:sz="0" w:space="0" w:color="auto"/>
        <w:left w:val="none" w:sz="0" w:space="0" w:color="auto"/>
        <w:bottom w:val="none" w:sz="0" w:space="0" w:color="auto"/>
        <w:right w:val="none" w:sz="0" w:space="0" w:color="auto"/>
      </w:divBdr>
    </w:div>
    <w:div w:id="1172599428">
      <w:bodyDiv w:val="1"/>
      <w:marLeft w:val="0"/>
      <w:marRight w:val="0"/>
      <w:marTop w:val="0"/>
      <w:marBottom w:val="0"/>
      <w:divBdr>
        <w:top w:val="none" w:sz="0" w:space="0" w:color="auto"/>
        <w:left w:val="none" w:sz="0" w:space="0" w:color="auto"/>
        <w:bottom w:val="none" w:sz="0" w:space="0" w:color="auto"/>
        <w:right w:val="none" w:sz="0" w:space="0" w:color="auto"/>
      </w:divBdr>
    </w:div>
    <w:div w:id="1176966888">
      <w:bodyDiv w:val="1"/>
      <w:marLeft w:val="0"/>
      <w:marRight w:val="0"/>
      <w:marTop w:val="0"/>
      <w:marBottom w:val="0"/>
      <w:divBdr>
        <w:top w:val="none" w:sz="0" w:space="0" w:color="auto"/>
        <w:left w:val="none" w:sz="0" w:space="0" w:color="auto"/>
        <w:bottom w:val="none" w:sz="0" w:space="0" w:color="auto"/>
        <w:right w:val="none" w:sz="0" w:space="0" w:color="auto"/>
      </w:divBdr>
    </w:div>
    <w:div w:id="1178227914">
      <w:bodyDiv w:val="1"/>
      <w:marLeft w:val="0"/>
      <w:marRight w:val="0"/>
      <w:marTop w:val="0"/>
      <w:marBottom w:val="0"/>
      <w:divBdr>
        <w:top w:val="none" w:sz="0" w:space="0" w:color="auto"/>
        <w:left w:val="none" w:sz="0" w:space="0" w:color="auto"/>
        <w:bottom w:val="none" w:sz="0" w:space="0" w:color="auto"/>
        <w:right w:val="none" w:sz="0" w:space="0" w:color="auto"/>
      </w:divBdr>
    </w:div>
    <w:div w:id="1180317864">
      <w:bodyDiv w:val="1"/>
      <w:marLeft w:val="0"/>
      <w:marRight w:val="0"/>
      <w:marTop w:val="0"/>
      <w:marBottom w:val="0"/>
      <w:divBdr>
        <w:top w:val="none" w:sz="0" w:space="0" w:color="auto"/>
        <w:left w:val="none" w:sz="0" w:space="0" w:color="auto"/>
        <w:bottom w:val="none" w:sz="0" w:space="0" w:color="auto"/>
        <w:right w:val="none" w:sz="0" w:space="0" w:color="auto"/>
      </w:divBdr>
    </w:div>
    <w:div w:id="1180505250">
      <w:bodyDiv w:val="1"/>
      <w:marLeft w:val="0"/>
      <w:marRight w:val="0"/>
      <w:marTop w:val="0"/>
      <w:marBottom w:val="0"/>
      <w:divBdr>
        <w:top w:val="none" w:sz="0" w:space="0" w:color="auto"/>
        <w:left w:val="none" w:sz="0" w:space="0" w:color="auto"/>
        <w:bottom w:val="none" w:sz="0" w:space="0" w:color="auto"/>
        <w:right w:val="none" w:sz="0" w:space="0" w:color="auto"/>
      </w:divBdr>
    </w:div>
    <w:div w:id="1180706331">
      <w:bodyDiv w:val="1"/>
      <w:marLeft w:val="0"/>
      <w:marRight w:val="0"/>
      <w:marTop w:val="0"/>
      <w:marBottom w:val="0"/>
      <w:divBdr>
        <w:top w:val="none" w:sz="0" w:space="0" w:color="auto"/>
        <w:left w:val="none" w:sz="0" w:space="0" w:color="auto"/>
        <w:bottom w:val="none" w:sz="0" w:space="0" w:color="auto"/>
        <w:right w:val="none" w:sz="0" w:space="0" w:color="auto"/>
      </w:divBdr>
    </w:div>
    <w:div w:id="1180781774">
      <w:bodyDiv w:val="1"/>
      <w:marLeft w:val="0"/>
      <w:marRight w:val="0"/>
      <w:marTop w:val="0"/>
      <w:marBottom w:val="0"/>
      <w:divBdr>
        <w:top w:val="none" w:sz="0" w:space="0" w:color="auto"/>
        <w:left w:val="none" w:sz="0" w:space="0" w:color="auto"/>
        <w:bottom w:val="none" w:sz="0" w:space="0" w:color="auto"/>
        <w:right w:val="none" w:sz="0" w:space="0" w:color="auto"/>
      </w:divBdr>
    </w:div>
    <w:div w:id="1181700440">
      <w:bodyDiv w:val="1"/>
      <w:marLeft w:val="0"/>
      <w:marRight w:val="0"/>
      <w:marTop w:val="0"/>
      <w:marBottom w:val="0"/>
      <w:divBdr>
        <w:top w:val="none" w:sz="0" w:space="0" w:color="auto"/>
        <w:left w:val="none" w:sz="0" w:space="0" w:color="auto"/>
        <w:bottom w:val="none" w:sz="0" w:space="0" w:color="auto"/>
        <w:right w:val="none" w:sz="0" w:space="0" w:color="auto"/>
      </w:divBdr>
    </w:div>
    <w:div w:id="1181818721">
      <w:bodyDiv w:val="1"/>
      <w:marLeft w:val="0"/>
      <w:marRight w:val="0"/>
      <w:marTop w:val="0"/>
      <w:marBottom w:val="0"/>
      <w:divBdr>
        <w:top w:val="none" w:sz="0" w:space="0" w:color="auto"/>
        <w:left w:val="none" w:sz="0" w:space="0" w:color="auto"/>
        <w:bottom w:val="none" w:sz="0" w:space="0" w:color="auto"/>
        <w:right w:val="none" w:sz="0" w:space="0" w:color="auto"/>
      </w:divBdr>
    </w:div>
    <w:div w:id="1181968529">
      <w:bodyDiv w:val="1"/>
      <w:marLeft w:val="0"/>
      <w:marRight w:val="0"/>
      <w:marTop w:val="0"/>
      <w:marBottom w:val="0"/>
      <w:divBdr>
        <w:top w:val="none" w:sz="0" w:space="0" w:color="auto"/>
        <w:left w:val="none" w:sz="0" w:space="0" w:color="auto"/>
        <w:bottom w:val="none" w:sz="0" w:space="0" w:color="auto"/>
        <w:right w:val="none" w:sz="0" w:space="0" w:color="auto"/>
      </w:divBdr>
    </w:div>
    <w:div w:id="1182740950">
      <w:bodyDiv w:val="1"/>
      <w:marLeft w:val="0"/>
      <w:marRight w:val="0"/>
      <w:marTop w:val="0"/>
      <w:marBottom w:val="0"/>
      <w:divBdr>
        <w:top w:val="none" w:sz="0" w:space="0" w:color="auto"/>
        <w:left w:val="none" w:sz="0" w:space="0" w:color="auto"/>
        <w:bottom w:val="none" w:sz="0" w:space="0" w:color="auto"/>
        <w:right w:val="none" w:sz="0" w:space="0" w:color="auto"/>
      </w:divBdr>
    </w:div>
    <w:div w:id="1183324650">
      <w:bodyDiv w:val="1"/>
      <w:marLeft w:val="0"/>
      <w:marRight w:val="0"/>
      <w:marTop w:val="0"/>
      <w:marBottom w:val="0"/>
      <w:divBdr>
        <w:top w:val="none" w:sz="0" w:space="0" w:color="auto"/>
        <w:left w:val="none" w:sz="0" w:space="0" w:color="auto"/>
        <w:bottom w:val="none" w:sz="0" w:space="0" w:color="auto"/>
        <w:right w:val="none" w:sz="0" w:space="0" w:color="auto"/>
      </w:divBdr>
    </w:div>
    <w:div w:id="1185359388">
      <w:bodyDiv w:val="1"/>
      <w:marLeft w:val="0"/>
      <w:marRight w:val="0"/>
      <w:marTop w:val="0"/>
      <w:marBottom w:val="0"/>
      <w:divBdr>
        <w:top w:val="none" w:sz="0" w:space="0" w:color="auto"/>
        <w:left w:val="none" w:sz="0" w:space="0" w:color="auto"/>
        <w:bottom w:val="none" w:sz="0" w:space="0" w:color="auto"/>
        <w:right w:val="none" w:sz="0" w:space="0" w:color="auto"/>
      </w:divBdr>
    </w:div>
    <w:div w:id="1186869728">
      <w:bodyDiv w:val="1"/>
      <w:marLeft w:val="0"/>
      <w:marRight w:val="0"/>
      <w:marTop w:val="0"/>
      <w:marBottom w:val="0"/>
      <w:divBdr>
        <w:top w:val="none" w:sz="0" w:space="0" w:color="auto"/>
        <w:left w:val="none" w:sz="0" w:space="0" w:color="auto"/>
        <w:bottom w:val="none" w:sz="0" w:space="0" w:color="auto"/>
        <w:right w:val="none" w:sz="0" w:space="0" w:color="auto"/>
      </w:divBdr>
    </w:div>
    <w:div w:id="1186945829">
      <w:bodyDiv w:val="1"/>
      <w:marLeft w:val="0"/>
      <w:marRight w:val="0"/>
      <w:marTop w:val="0"/>
      <w:marBottom w:val="0"/>
      <w:divBdr>
        <w:top w:val="none" w:sz="0" w:space="0" w:color="auto"/>
        <w:left w:val="none" w:sz="0" w:space="0" w:color="auto"/>
        <w:bottom w:val="none" w:sz="0" w:space="0" w:color="auto"/>
        <w:right w:val="none" w:sz="0" w:space="0" w:color="auto"/>
      </w:divBdr>
    </w:div>
    <w:div w:id="1187601274">
      <w:bodyDiv w:val="1"/>
      <w:marLeft w:val="0"/>
      <w:marRight w:val="0"/>
      <w:marTop w:val="0"/>
      <w:marBottom w:val="0"/>
      <w:divBdr>
        <w:top w:val="none" w:sz="0" w:space="0" w:color="auto"/>
        <w:left w:val="none" w:sz="0" w:space="0" w:color="auto"/>
        <w:bottom w:val="none" w:sz="0" w:space="0" w:color="auto"/>
        <w:right w:val="none" w:sz="0" w:space="0" w:color="auto"/>
      </w:divBdr>
    </w:div>
    <w:div w:id="1190989993">
      <w:bodyDiv w:val="1"/>
      <w:marLeft w:val="0"/>
      <w:marRight w:val="0"/>
      <w:marTop w:val="0"/>
      <w:marBottom w:val="0"/>
      <w:divBdr>
        <w:top w:val="none" w:sz="0" w:space="0" w:color="auto"/>
        <w:left w:val="none" w:sz="0" w:space="0" w:color="auto"/>
        <w:bottom w:val="none" w:sz="0" w:space="0" w:color="auto"/>
        <w:right w:val="none" w:sz="0" w:space="0" w:color="auto"/>
      </w:divBdr>
    </w:div>
    <w:div w:id="1192495267">
      <w:bodyDiv w:val="1"/>
      <w:marLeft w:val="0"/>
      <w:marRight w:val="0"/>
      <w:marTop w:val="0"/>
      <w:marBottom w:val="0"/>
      <w:divBdr>
        <w:top w:val="none" w:sz="0" w:space="0" w:color="auto"/>
        <w:left w:val="none" w:sz="0" w:space="0" w:color="auto"/>
        <w:bottom w:val="none" w:sz="0" w:space="0" w:color="auto"/>
        <w:right w:val="none" w:sz="0" w:space="0" w:color="auto"/>
      </w:divBdr>
    </w:div>
    <w:div w:id="1192888042">
      <w:bodyDiv w:val="1"/>
      <w:marLeft w:val="0"/>
      <w:marRight w:val="0"/>
      <w:marTop w:val="0"/>
      <w:marBottom w:val="0"/>
      <w:divBdr>
        <w:top w:val="none" w:sz="0" w:space="0" w:color="auto"/>
        <w:left w:val="none" w:sz="0" w:space="0" w:color="auto"/>
        <w:bottom w:val="none" w:sz="0" w:space="0" w:color="auto"/>
        <w:right w:val="none" w:sz="0" w:space="0" w:color="auto"/>
      </w:divBdr>
    </w:div>
    <w:div w:id="1194535486">
      <w:bodyDiv w:val="1"/>
      <w:marLeft w:val="0"/>
      <w:marRight w:val="0"/>
      <w:marTop w:val="0"/>
      <w:marBottom w:val="0"/>
      <w:divBdr>
        <w:top w:val="none" w:sz="0" w:space="0" w:color="auto"/>
        <w:left w:val="none" w:sz="0" w:space="0" w:color="auto"/>
        <w:bottom w:val="none" w:sz="0" w:space="0" w:color="auto"/>
        <w:right w:val="none" w:sz="0" w:space="0" w:color="auto"/>
      </w:divBdr>
    </w:div>
    <w:div w:id="1194732656">
      <w:bodyDiv w:val="1"/>
      <w:marLeft w:val="0"/>
      <w:marRight w:val="0"/>
      <w:marTop w:val="0"/>
      <w:marBottom w:val="0"/>
      <w:divBdr>
        <w:top w:val="none" w:sz="0" w:space="0" w:color="auto"/>
        <w:left w:val="none" w:sz="0" w:space="0" w:color="auto"/>
        <w:bottom w:val="none" w:sz="0" w:space="0" w:color="auto"/>
        <w:right w:val="none" w:sz="0" w:space="0" w:color="auto"/>
      </w:divBdr>
    </w:div>
    <w:div w:id="1196843320">
      <w:bodyDiv w:val="1"/>
      <w:marLeft w:val="0"/>
      <w:marRight w:val="0"/>
      <w:marTop w:val="0"/>
      <w:marBottom w:val="0"/>
      <w:divBdr>
        <w:top w:val="none" w:sz="0" w:space="0" w:color="auto"/>
        <w:left w:val="none" w:sz="0" w:space="0" w:color="auto"/>
        <w:bottom w:val="none" w:sz="0" w:space="0" w:color="auto"/>
        <w:right w:val="none" w:sz="0" w:space="0" w:color="auto"/>
      </w:divBdr>
    </w:div>
    <w:div w:id="1200555243">
      <w:bodyDiv w:val="1"/>
      <w:marLeft w:val="0"/>
      <w:marRight w:val="0"/>
      <w:marTop w:val="0"/>
      <w:marBottom w:val="0"/>
      <w:divBdr>
        <w:top w:val="none" w:sz="0" w:space="0" w:color="auto"/>
        <w:left w:val="none" w:sz="0" w:space="0" w:color="auto"/>
        <w:bottom w:val="none" w:sz="0" w:space="0" w:color="auto"/>
        <w:right w:val="none" w:sz="0" w:space="0" w:color="auto"/>
      </w:divBdr>
    </w:div>
    <w:div w:id="1202209106">
      <w:bodyDiv w:val="1"/>
      <w:marLeft w:val="0"/>
      <w:marRight w:val="0"/>
      <w:marTop w:val="0"/>
      <w:marBottom w:val="0"/>
      <w:divBdr>
        <w:top w:val="none" w:sz="0" w:space="0" w:color="auto"/>
        <w:left w:val="none" w:sz="0" w:space="0" w:color="auto"/>
        <w:bottom w:val="none" w:sz="0" w:space="0" w:color="auto"/>
        <w:right w:val="none" w:sz="0" w:space="0" w:color="auto"/>
      </w:divBdr>
    </w:div>
    <w:div w:id="1202328889">
      <w:bodyDiv w:val="1"/>
      <w:marLeft w:val="0"/>
      <w:marRight w:val="0"/>
      <w:marTop w:val="0"/>
      <w:marBottom w:val="0"/>
      <w:divBdr>
        <w:top w:val="none" w:sz="0" w:space="0" w:color="auto"/>
        <w:left w:val="none" w:sz="0" w:space="0" w:color="auto"/>
        <w:bottom w:val="none" w:sz="0" w:space="0" w:color="auto"/>
        <w:right w:val="none" w:sz="0" w:space="0" w:color="auto"/>
      </w:divBdr>
    </w:div>
    <w:div w:id="1204440622">
      <w:bodyDiv w:val="1"/>
      <w:marLeft w:val="0"/>
      <w:marRight w:val="0"/>
      <w:marTop w:val="0"/>
      <w:marBottom w:val="0"/>
      <w:divBdr>
        <w:top w:val="none" w:sz="0" w:space="0" w:color="auto"/>
        <w:left w:val="none" w:sz="0" w:space="0" w:color="auto"/>
        <w:bottom w:val="none" w:sz="0" w:space="0" w:color="auto"/>
        <w:right w:val="none" w:sz="0" w:space="0" w:color="auto"/>
      </w:divBdr>
    </w:div>
    <w:div w:id="1205370006">
      <w:bodyDiv w:val="1"/>
      <w:marLeft w:val="0"/>
      <w:marRight w:val="0"/>
      <w:marTop w:val="0"/>
      <w:marBottom w:val="0"/>
      <w:divBdr>
        <w:top w:val="none" w:sz="0" w:space="0" w:color="auto"/>
        <w:left w:val="none" w:sz="0" w:space="0" w:color="auto"/>
        <w:bottom w:val="none" w:sz="0" w:space="0" w:color="auto"/>
        <w:right w:val="none" w:sz="0" w:space="0" w:color="auto"/>
      </w:divBdr>
    </w:div>
    <w:div w:id="1205949645">
      <w:bodyDiv w:val="1"/>
      <w:marLeft w:val="0"/>
      <w:marRight w:val="0"/>
      <w:marTop w:val="0"/>
      <w:marBottom w:val="0"/>
      <w:divBdr>
        <w:top w:val="none" w:sz="0" w:space="0" w:color="auto"/>
        <w:left w:val="none" w:sz="0" w:space="0" w:color="auto"/>
        <w:bottom w:val="none" w:sz="0" w:space="0" w:color="auto"/>
        <w:right w:val="none" w:sz="0" w:space="0" w:color="auto"/>
      </w:divBdr>
    </w:div>
    <w:div w:id="1210190393">
      <w:bodyDiv w:val="1"/>
      <w:marLeft w:val="0"/>
      <w:marRight w:val="0"/>
      <w:marTop w:val="0"/>
      <w:marBottom w:val="0"/>
      <w:divBdr>
        <w:top w:val="none" w:sz="0" w:space="0" w:color="auto"/>
        <w:left w:val="none" w:sz="0" w:space="0" w:color="auto"/>
        <w:bottom w:val="none" w:sz="0" w:space="0" w:color="auto"/>
        <w:right w:val="none" w:sz="0" w:space="0" w:color="auto"/>
      </w:divBdr>
    </w:div>
    <w:div w:id="1210335324">
      <w:bodyDiv w:val="1"/>
      <w:marLeft w:val="0"/>
      <w:marRight w:val="0"/>
      <w:marTop w:val="0"/>
      <w:marBottom w:val="0"/>
      <w:divBdr>
        <w:top w:val="none" w:sz="0" w:space="0" w:color="auto"/>
        <w:left w:val="none" w:sz="0" w:space="0" w:color="auto"/>
        <w:bottom w:val="none" w:sz="0" w:space="0" w:color="auto"/>
        <w:right w:val="none" w:sz="0" w:space="0" w:color="auto"/>
      </w:divBdr>
    </w:div>
    <w:div w:id="1211455124">
      <w:bodyDiv w:val="1"/>
      <w:marLeft w:val="0"/>
      <w:marRight w:val="0"/>
      <w:marTop w:val="0"/>
      <w:marBottom w:val="0"/>
      <w:divBdr>
        <w:top w:val="none" w:sz="0" w:space="0" w:color="auto"/>
        <w:left w:val="none" w:sz="0" w:space="0" w:color="auto"/>
        <w:bottom w:val="none" w:sz="0" w:space="0" w:color="auto"/>
        <w:right w:val="none" w:sz="0" w:space="0" w:color="auto"/>
      </w:divBdr>
    </w:div>
    <w:div w:id="1212501756">
      <w:bodyDiv w:val="1"/>
      <w:marLeft w:val="0"/>
      <w:marRight w:val="0"/>
      <w:marTop w:val="0"/>
      <w:marBottom w:val="0"/>
      <w:divBdr>
        <w:top w:val="none" w:sz="0" w:space="0" w:color="auto"/>
        <w:left w:val="none" w:sz="0" w:space="0" w:color="auto"/>
        <w:bottom w:val="none" w:sz="0" w:space="0" w:color="auto"/>
        <w:right w:val="none" w:sz="0" w:space="0" w:color="auto"/>
      </w:divBdr>
    </w:div>
    <w:div w:id="1213152797">
      <w:bodyDiv w:val="1"/>
      <w:marLeft w:val="0"/>
      <w:marRight w:val="0"/>
      <w:marTop w:val="0"/>
      <w:marBottom w:val="0"/>
      <w:divBdr>
        <w:top w:val="none" w:sz="0" w:space="0" w:color="auto"/>
        <w:left w:val="none" w:sz="0" w:space="0" w:color="auto"/>
        <w:bottom w:val="none" w:sz="0" w:space="0" w:color="auto"/>
        <w:right w:val="none" w:sz="0" w:space="0" w:color="auto"/>
      </w:divBdr>
    </w:div>
    <w:div w:id="1213231198">
      <w:bodyDiv w:val="1"/>
      <w:marLeft w:val="0"/>
      <w:marRight w:val="0"/>
      <w:marTop w:val="0"/>
      <w:marBottom w:val="0"/>
      <w:divBdr>
        <w:top w:val="none" w:sz="0" w:space="0" w:color="auto"/>
        <w:left w:val="none" w:sz="0" w:space="0" w:color="auto"/>
        <w:bottom w:val="none" w:sz="0" w:space="0" w:color="auto"/>
        <w:right w:val="none" w:sz="0" w:space="0" w:color="auto"/>
      </w:divBdr>
    </w:div>
    <w:div w:id="1214734814">
      <w:bodyDiv w:val="1"/>
      <w:marLeft w:val="0"/>
      <w:marRight w:val="0"/>
      <w:marTop w:val="0"/>
      <w:marBottom w:val="0"/>
      <w:divBdr>
        <w:top w:val="none" w:sz="0" w:space="0" w:color="auto"/>
        <w:left w:val="none" w:sz="0" w:space="0" w:color="auto"/>
        <w:bottom w:val="none" w:sz="0" w:space="0" w:color="auto"/>
        <w:right w:val="none" w:sz="0" w:space="0" w:color="auto"/>
      </w:divBdr>
    </w:div>
    <w:div w:id="1214736692">
      <w:bodyDiv w:val="1"/>
      <w:marLeft w:val="0"/>
      <w:marRight w:val="0"/>
      <w:marTop w:val="0"/>
      <w:marBottom w:val="0"/>
      <w:divBdr>
        <w:top w:val="none" w:sz="0" w:space="0" w:color="auto"/>
        <w:left w:val="none" w:sz="0" w:space="0" w:color="auto"/>
        <w:bottom w:val="none" w:sz="0" w:space="0" w:color="auto"/>
        <w:right w:val="none" w:sz="0" w:space="0" w:color="auto"/>
      </w:divBdr>
    </w:div>
    <w:div w:id="1214853519">
      <w:bodyDiv w:val="1"/>
      <w:marLeft w:val="0"/>
      <w:marRight w:val="0"/>
      <w:marTop w:val="0"/>
      <w:marBottom w:val="0"/>
      <w:divBdr>
        <w:top w:val="none" w:sz="0" w:space="0" w:color="auto"/>
        <w:left w:val="none" w:sz="0" w:space="0" w:color="auto"/>
        <w:bottom w:val="none" w:sz="0" w:space="0" w:color="auto"/>
        <w:right w:val="none" w:sz="0" w:space="0" w:color="auto"/>
      </w:divBdr>
    </w:div>
    <w:div w:id="1216162912">
      <w:bodyDiv w:val="1"/>
      <w:marLeft w:val="0"/>
      <w:marRight w:val="0"/>
      <w:marTop w:val="0"/>
      <w:marBottom w:val="0"/>
      <w:divBdr>
        <w:top w:val="none" w:sz="0" w:space="0" w:color="auto"/>
        <w:left w:val="none" w:sz="0" w:space="0" w:color="auto"/>
        <w:bottom w:val="none" w:sz="0" w:space="0" w:color="auto"/>
        <w:right w:val="none" w:sz="0" w:space="0" w:color="auto"/>
      </w:divBdr>
    </w:div>
    <w:div w:id="1217930267">
      <w:bodyDiv w:val="1"/>
      <w:marLeft w:val="0"/>
      <w:marRight w:val="0"/>
      <w:marTop w:val="0"/>
      <w:marBottom w:val="0"/>
      <w:divBdr>
        <w:top w:val="none" w:sz="0" w:space="0" w:color="auto"/>
        <w:left w:val="none" w:sz="0" w:space="0" w:color="auto"/>
        <w:bottom w:val="none" w:sz="0" w:space="0" w:color="auto"/>
        <w:right w:val="none" w:sz="0" w:space="0" w:color="auto"/>
      </w:divBdr>
    </w:div>
    <w:div w:id="1218249517">
      <w:bodyDiv w:val="1"/>
      <w:marLeft w:val="0"/>
      <w:marRight w:val="0"/>
      <w:marTop w:val="0"/>
      <w:marBottom w:val="0"/>
      <w:divBdr>
        <w:top w:val="none" w:sz="0" w:space="0" w:color="auto"/>
        <w:left w:val="none" w:sz="0" w:space="0" w:color="auto"/>
        <w:bottom w:val="none" w:sz="0" w:space="0" w:color="auto"/>
        <w:right w:val="none" w:sz="0" w:space="0" w:color="auto"/>
      </w:divBdr>
    </w:div>
    <w:div w:id="1218542429">
      <w:bodyDiv w:val="1"/>
      <w:marLeft w:val="0"/>
      <w:marRight w:val="0"/>
      <w:marTop w:val="0"/>
      <w:marBottom w:val="0"/>
      <w:divBdr>
        <w:top w:val="none" w:sz="0" w:space="0" w:color="auto"/>
        <w:left w:val="none" w:sz="0" w:space="0" w:color="auto"/>
        <w:bottom w:val="none" w:sz="0" w:space="0" w:color="auto"/>
        <w:right w:val="none" w:sz="0" w:space="0" w:color="auto"/>
      </w:divBdr>
    </w:div>
    <w:div w:id="1218587833">
      <w:bodyDiv w:val="1"/>
      <w:marLeft w:val="0"/>
      <w:marRight w:val="0"/>
      <w:marTop w:val="0"/>
      <w:marBottom w:val="0"/>
      <w:divBdr>
        <w:top w:val="none" w:sz="0" w:space="0" w:color="auto"/>
        <w:left w:val="none" w:sz="0" w:space="0" w:color="auto"/>
        <w:bottom w:val="none" w:sz="0" w:space="0" w:color="auto"/>
        <w:right w:val="none" w:sz="0" w:space="0" w:color="auto"/>
      </w:divBdr>
    </w:div>
    <w:div w:id="1221671972">
      <w:bodyDiv w:val="1"/>
      <w:marLeft w:val="0"/>
      <w:marRight w:val="0"/>
      <w:marTop w:val="0"/>
      <w:marBottom w:val="0"/>
      <w:divBdr>
        <w:top w:val="none" w:sz="0" w:space="0" w:color="auto"/>
        <w:left w:val="none" w:sz="0" w:space="0" w:color="auto"/>
        <w:bottom w:val="none" w:sz="0" w:space="0" w:color="auto"/>
        <w:right w:val="none" w:sz="0" w:space="0" w:color="auto"/>
      </w:divBdr>
    </w:div>
    <w:div w:id="1222327631">
      <w:bodyDiv w:val="1"/>
      <w:marLeft w:val="0"/>
      <w:marRight w:val="0"/>
      <w:marTop w:val="0"/>
      <w:marBottom w:val="0"/>
      <w:divBdr>
        <w:top w:val="none" w:sz="0" w:space="0" w:color="auto"/>
        <w:left w:val="none" w:sz="0" w:space="0" w:color="auto"/>
        <w:bottom w:val="none" w:sz="0" w:space="0" w:color="auto"/>
        <w:right w:val="none" w:sz="0" w:space="0" w:color="auto"/>
      </w:divBdr>
    </w:div>
    <w:div w:id="1224026942">
      <w:bodyDiv w:val="1"/>
      <w:marLeft w:val="0"/>
      <w:marRight w:val="0"/>
      <w:marTop w:val="0"/>
      <w:marBottom w:val="0"/>
      <w:divBdr>
        <w:top w:val="none" w:sz="0" w:space="0" w:color="auto"/>
        <w:left w:val="none" w:sz="0" w:space="0" w:color="auto"/>
        <w:bottom w:val="none" w:sz="0" w:space="0" w:color="auto"/>
        <w:right w:val="none" w:sz="0" w:space="0" w:color="auto"/>
      </w:divBdr>
    </w:div>
    <w:div w:id="1224098796">
      <w:bodyDiv w:val="1"/>
      <w:marLeft w:val="0"/>
      <w:marRight w:val="0"/>
      <w:marTop w:val="0"/>
      <w:marBottom w:val="0"/>
      <w:divBdr>
        <w:top w:val="none" w:sz="0" w:space="0" w:color="auto"/>
        <w:left w:val="none" w:sz="0" w:space="0" w:color="auto"/>
        <w:bottom w:val="none" w:sz="0" w:space="0" w:color="auto"/>
        <w:right w:val="none" w:sz="0" w:space="0" w:color="auto"/>
      </w:divBdr>
    </w:div>
    <w:div w:id="1224952920">
      <w:bodyDiv w:val="1"/>
      <w:marLeft w:val="0"/>
      <w:marRight w:val="0"/>
      <w:marTop w:val="0"/>
      <w:marBottom w:val="0"/>
      <w:divBdr>
        <w:top w:val="none" w:sz="0" w:space="0" w:color="auto"/>
        <w:left w:val="none" w:sz="0" w:space="0" w:color="auto"/>
        <w:bottom w:val="none" w:sz="0" w:space="0" w:color="auto"/>
        <w:right w:val="none" w:sz="0" w:space="0" w:color="auto"/>
      </w:divBdr>
    </w:div>
    <w:div w:id="1225411764">
      <w:bodyDiv w:val="1"/>
      <w:marLeft w:val="0"/>
      <w:marRight w:val="0"/>
      <w:marTop w:val="0"/>
      <w:marBottom w:val="0"/>
      <w:divBdr>
        <w:top w:val="none" w:sz="0" w:space="0" w:color="auto"/>
        <w:left w:val="none" w:sz="0" w:space="0" w:color="auto"/>
        <w:bottom w:val="none" w:sz="0" w:space="0" w:color="auto"/>
        <w:right w:val="none" w:sz="0" w:space="0" w:color="auto"/>
      </w:divBdr>
    </w:div>
    <w:div w:id="1226337536">
      <w:bodyDiv w:val="1"/>
      <w:marLeft w:val="0"/>
      <w:marRight w:val="0"/>
      <w:marTop w:val="0"/>
      <w:marBottom w:val="0"/>
      <w:divBdr>
        <w:top w:val="none" w:sz="0" w:space="0" w:color="auto"/>
        <w:left w:val="none" w:sz="0" w:space="0" w:color="auto"/>
        <w:bottom w:val="none" w:sz="0" w:space="0" w:color="auto"/>
        <w:right w:val="none" w:sz="0" w:space="0" w:color="auto"/>
      </w:divBdr>
    </w:div>
    <w:div w:id="1227448903">
      <w:bodyDiv w:val="1"/>
      <w:marLeft w:val="0"/>
      <w:marRight w:val="0"/>
      <w:marTop w:val="0"/>
      <w:marBottom w:val="0"/>
      <w:divBdr>
        <w:top w:val="none" w:sz="0" w:space="0" w:color="auto"/>
        <w:left w:val="none" w:sz="0" w:space="0" w:color="auto"/>
        <w:bottom w:val="none" w:sz="0" w:space="0" w:color="auto"/>
        <w:right w:val="none" w:sz="0" w:space="0" w:color="auto"/>
      </w:divBdr>
    </w:div>
    <w:div w:id="1228609332">
      <w:bodyDiv w:val="1"/>
      <w:marLeft w:val="0"/>
      <w:marRight w:val="0"/>
      <w:marTop w:val="0"/>
      <w:marBottom w:val="0"/>
      <w:divBdr>
        <w:top w:val="none" w:sz="0" w:space="0" w:color="auto"/>
        <w:left w:val="none" w:sz="0" w:space="0" w:color="auto"/>
        <w:bottom w:val="none" w:sz="0" w:space="0" w:color="auto"/>
        <w:right w:val="none" w:sz="0" w:space="0" w:color="auto"/>
      </w:divBdr>
    </w:div>
    <w:div w:id="1229073768">
      <w:bodyDiv w:val="1"/>
      <w:marLeft w:val="0"/>
      <w:marRight w:val="0"/>
      <w:marTop w:val="0"/>
      <w:marBottom w:val="0"/>
      <w:divBdr>
        <w:top w:val="none" w:sz="0" w:space="0" w:color="auto"/>
        <w:left w:val="none" w:sz="0" w:space="0" w:color="auto"/>
        <w:bottom w:val="none" w:sz="0" w:space="0" w:color="auto"/>
        <w:right w:val="none" w:sz="0" w:space="0" w:color="auto"/>
      </w:divBdr>
    </w:div>
    <w:div w:id="1231035295">
      <w:bodyDiv w:val="1"/>
      <w:marLeft w:val="0"/>
      <w:marRight w:val="0"/>
      <w:marTop w:val="0"/>
      <w:marBottom w:val="0"/>
      <w:divBdr>
        <w:top w:val="none" w:sz="0" w:space="0" w:color="auto"/>
        <w:left w:val="none" w:sz="0" w:space="0" w:color="auto"/>
        <w:bottom w:val="none" w:sz="0" w:space="0" w:color="auto"/>
        <w:right w:val="none" w:sz="0" w:space="0" w:color="auto"/>
      </w:divBdr>
    </w:div>
    <w:div w:id="1231768723">
      <w:bodyDiv w:val="1"/>
      <w:marLeft w:val="0"/>
      <w:marRight w:val="0"/>
      <w:marTop w:val="0"/>
      <w:marBottom w:val="0"/>
      <w:divBdr>
        <w:top w:val="none" w:sz="0" w:space="0" w:color="auto"/>
        <w:left w:val="none" w:sz="0" w:space="0" w:color="auto"/>
        <w:bottom w:val="none" w:sz="0" w:space="0" w:color="auto"/>
        <w:right w:val="none" w:sz="0" w:space="0" w:color="auto"/>
      </w:divBdr>
    </w:div>
    <w:div w:id="1232738938">
      <w:bodyDiv w:val="1"/>
      <w:marLeft w:val="0"/>
      <w:marRight w:val="0"/>
      <w:marTop w:val="0"/>
      <w:marBottom w:val="0"/>
      <w:divBdr>
        <w:top w:val="none" w:sz="0" w:space="0" w:color="auto"/>
        <w:left w:val="none" w:sz="0" w:space="0" w:color="auto"/>
        <w:bottom w:val="none" w:sz="0" w:space="0" w:color="auto"/>
        <w:right w:val="none" w:sz="0" w:space="0" w:color="auto"/>
      </w:divBdr>
    </w:div>
    <w:div w:id="1235162022">
      <w:bodyDiv w:val="1"/>
      <w:marLeft w:val="0"/>
      <w:marRight w:val="0"/>
      <w:marTop w:val="0"/>
      <w:marBottom w:val="0"/>
      <w:divBdr>
        <w:top w:val="none" w:sz="0" w:space="0" w:color="auto"/>
        <w:left w:val="none" w:sz="0" w:space="0" w:color="auto"/>
        <w:bottom w:val="none" w:sz="0" w:space="0" w:color="auto"/>
        <w:right w:val="none" w:sz="0" w:space="0" w:color="auto"/>
      </w:divBdr>
    </w:div>
    <w:div w:id="1236403616">
      <w:bodyDiv w:val="1"/>
      <w:marLeft w:val="0"/>
      <w:marRight w:val="0"/>
      <w:marTop w:val="0"/>
      <w:marBottom w:val="0"/>
      <w:divBdr>
        <w:top w:val="none" w:sz="0" w:space="0" w:color="auto"/>
        <w:left w:val="none" w:sz="0" w:space="0" w:color="auto"/>
        <w:bottom w:val="none" w:sz="0" w:space="0" w:color="auto"/>
        <w:right w:val="none" w:sz="0" w:space="0" w:color="auto"/>
      </w:divBdr>
    </w:div>
    <w:div w:id="1237324703">
      <w:bodyDiv w:val="1"/>
      <w:marLeft w:val="0"/>
      <w:marRight w:val="0"/>
      <w:marTop w:val="0"/>
      <w:marBottom w:val="0"/>
      <w:divBdr>
        <w:top w:val="none" w:sz="0" w:space="0" w:color="auto"/>
        <w:left w:val="none" w:sz="0" w:space="0" w:color="auto"/>
        <w:bottom w:val="none" w:sz="0" w:space="0" w:color="auto"/>
        <w:right w:val="none" w:sz="0" w:space="0" w:color="auto"/>
      </w:divBdr>
    </w:div>
    <w:div w:id="1238323535">
      <w:bodyDiv w:val="1"/>
      <w:marLeft w:val="0"/>
      <w:marRight w:val="0"/>
      <w:marTop w:val="0"/>
      <w:marBottom w:val="0"/>
      <w:divBdr>
        <w:top w:val="none" w:sz="0" w:space="0" w:color="auto"/>
        <w:left w:val="none" w:sz="0" w:space="0" w:color="auto"/>
        <w:bottom w:val="none" w:sz="0" w:space="0" w:color="auto"/>
        <w:right w:val="none" w:sz="0" w:space="0" w:color="auto"/>
      </w:divBdr>
    </w:div>
    <w:div w:id="1239176297">
      <w:bodyDiv w:val="1"/>
      <w:marLeft w:val="0"/>
      <w:marRight w:val="0"/>
      <w:marTop w:val="0"/>
      <w:marBottom w:val="0"/>
      <w:divBdr>
        <w:top w:val="none" w:sz="0" w:space="0" w:color="auto"/>
        <w:left w:val="none" w:sz="0" w:space="0" w:color="auto"/>
        <w:bottom w:val="none" w:sz="0" w:space="0" w:color="auto"/>
        <w:right w:val="none" w:sz="0" w:space="0" w:color="auto"/>
      </w:divBdr>
    </w:div>
    <w:div w:id="1239439689">
      <w:bodyDiv w:val="1"/>
      <w:marLeft w:val="0"/>
      <w:marRight w:val="0"/>
      <w:marTop w:val="0"/>
      <w:marBottom w:val="0"/>
      <w:divBdr>
        <w:top w:val="none" w:sz="0" w:space="0" w:color="auto"/>
        <w:left w:val="none" w:sz="0" w:space="0" w:color="auto"/>
        <w:bottom w:val="none" w:sz="0" w:space="0" w:color="auto"/>
        <w:right w:val="none" w:sz="0" w:space="0" w:color="auto"/>
      </w:divBdr>
    </w:div>
    <w:div w:id="1239748669">
      <w:bodyDiv w:val="1"/>
      <w:marLeft w:val="0"/>
      <w:marRight w:val="0"/>
      <w:marTop w:val="0"/>
      <w:marBottom w:val="0"/>
      <w:divBdr>
        <w:top w:val="none" w:sz="0" w:space="0" w:color="auto"/>
        <w:left w:val="none" w:sz="0" w:space="0" w:color="auto"/>
        <w:bottom w:val="none" w:sz="0" w:space="0" w:color="auto"/>
        <w:right w:val="none" w:sz="0" w:space="0" w:color="auto"/>
      </w:divBdr>
    </w:div>
    <w:div w:id="1241673864">
      <w:bodyDiv w:val="1"/>
      <w:marLeft w:val="0"/>
      <w:marRight w:val="0"/>
      <w:marTop w:val="0"/>
      <w:marBottom w:val="0"/>
      <w:divBdr>
        <w:top w:val="none" w:sz="0" w:space="0" w:color="auto"/>
        <w:left w:val="none" w:sz="0" w:space="0" w:color="auto"/>
        <w:bottom w:val="none" w:sz="0" w:space="0" w:color="auto"/>
        <w:right w:val="none" w:sz="0" w:space="0" w:color="auto"/>
      </w:divBdr>
    </w:div>
    <w:div w:id="1241721090">
      <w:bodyDiv w:val="1"/>
      <w:marLeft w:val="0"/>
      <w:marRight w:val="0"/>
      <w:marTop w:val="0"/>
      <w:marBottom w:val="0"/>
      <w:divBdr>
        <w:top w:val="none" w:sz="0" w:space="0" w:color="auto"/>
        <w:left w:val="none" w:sz="0" w:space="0" w:color="auto"/>
        <w:bottom w:val="none" w:sz="0" w:space="0" w:color="auto"/>
        <w:right w:val="none" w:sz="0" w:space="0" w:color="auto"/>
      </w:divBdr>
    </w:div>
    <w:div w:id="1243028024">
      <w:bodyDiv w:val="1"/>
      <w:marLeft w:val="0"/>
      <w:marRight w:val="0"/>
      <w:marTop w:val="0"/>
      <w:marBottom w:val="0"/>
      <w:divBdr>
        <w:top w:val="none" w:sz="0" w:space="0" w:color="auto"/>
        <w:left w:val="none" w:sz="0" w:space="0" w:color="auto"/>
        <w:bottom w:val="none" w:sz="0" w:space="0" w:color="auto"/>
        <w:right w:val="none" w:sz="0" w:space="0" w:color="auto"/>
      </w:divBdr>
    </w:div>
    <w:div w:id="1243103046">
      <w:bodyDiv w:val="1"/>
      <w:marLeft w:val="0"/>
      <w:marRight w:val="0"/>
      <w:marTop w:val="0"/>
      <w:marBottom w:val="0"/>
      <w:divBdr>
        <w:top w:val="none" w:sz="0" w:space="0" w:color="auto"/>
        <w:left w:val="none" w:sz="0" w:space="0" w:color="auto"/>
        <w:bottom w:val="none" w:sz="0" w:space="0" w:color="auto"/>
        <w:right w:val="none" w:sz="0" w:space="0" w:color="auto"/>
      </w:divBdr>
    </w:div>
    <w:div w:id="1243753533">
      <w:bodyDiv w:val="1"/>
      <w:marLeft w:val="0"/>
      <w:marRight w:val="0"/>
      <w:marTop w:val="0"/>
      <w:marBottom w:val="0"/>
      <w:divBdr>
        <w:top w:val="none" w:sz="0" w:space="0" w:color="auto"/>
        <w:left w:val="none" w:sz="0" w:space="0" w:color="auto"/>
        <w:bottom w:val="none" w:sz="0" w:space="0" w:color="auto"/>
        <w:right w:val="none" w:sz="0" w:space="0" w:color="auto"/>
      </w:divBdr>
    </w:div>
    <w:div w:id="1245719386">
      <w:bodyDiv w:val="1"/>
      <w:marLeft w:val="0"/>
      <w:marRight w:val="0"/>
      <w:marTop w:val="0"/>
      <w:marBottom w:val="0"/>
      <w:divBdr>
        <w:top w:val="none" w:sz="0" w:space="0" w:color="auto"/>
        <w:left w:val="none" w:sz="0" w:space="0" w:color="auto"/>
        <w:bottom w:val="none" w:sz="0" w:space="0" w:color="auto"/>
        <w:right w:val="none" w:sz="0" w:space="0" w:color="auto"/>
      </w:divBdr>
    </w:div>
    <w:div w:id="1246308441">
      <w:bodyDiv w:val="1"/>
      <w:marLeft w:val="0"/>
      <w:marRight w:val="0"/>
      <w:marTop w:val="0"/>
      <w:marBottom w:val="0"/>
      <w:divBdr>
        <w:top w:val="none" w:sz="0" w:space="0" w:color="auto"/>
        <w:left w:val="none" w:sz="0" w:space="0" w:color="auto"/>
        <w:bottom w:val="none" w:sz="0" w:space="0" w:color="auto"/>
        <w:right w:val="none" w:sz="0" w:space="0" w:color="auto"/>
      </w:divBdr>
    </w:div>
    <w:div w:id="1246526537">
      <w:bodyDiv w:val="1"/>
      <w:marLeft w:val="0"/>
      <w:marRight w:val="0"/>
      <w:marTop w:val="0"/>
      <w:marBottom w:val="0"/>
      <w:divBdr>
        <w:top w:val="none" w:sz="0" w:space="0" w:color="auto"/>
        <w:left w:val="none" w:sz="0" w:space="0" w:color="auto"/>
        <w:bottom w:val="none" w:sz="0" w:space="0" w:color="auto"/>
        <w:right w:val="none" w:sz="0" w:space="0" w:color="auto"/>
      </w:divBdr>
    </w:div>
    <w:div w:id="1250119112">
      <w:bodyDiv w:val="1"/>
      <w:marLeft w:val="0"/>
      <w:marRight w:val="0"/>
      <w:marTop w:val="0"/>
      <w:marBottom w:val="0"/>
      <w:divBdr>
        <w:top w:val="none" w:sz="0" w:space="0" w:color="auto"/>
        <w:left w:val="none" w:sz="0" w:space="0" w:color="auto"/>
        <w:bottom w:val="none" w:sz="0" w:space="0" w:color="auto"/>
        <w:right w:val="none" w:sz="0" w:space="0" w:color="auto"/>
      </w:divBdr>
    </w:div>
    <w:div w:id="1250505293">
      <w:bodyDiv w:val="1"/>
      <w:marLeft w:val="0"/>
      <w:marRight w:val="0"/>
      <w:marTop w:val="0"/>
      <w:marBottom w:val="0"/>
      <w:divBdr>
        <w:top w:val="none" w:sz="0" w:space="0" w:color="auto"/>
        <w:left w:val="none" w:sz="0" w:space="0" w:color="auto"/>
        <w:bottom w:val="none" w:sz="0" w:space="0" w:color="auto"/>
        <w:right w:val="none" w:sz="0" w:space="0" w:color="auto"/>
      </w:divBdr>
    </w:div>
    <w:div w:id="1251040777">
      <w:bodyDiv w:val="1"/>
      <w:marLeft w:val="0"/>
      <w:marRight w:val="0"/>
      <w:marTop w:val="0"/>
      <w:marBottom w:val="0"/>
      <w:divBdr>
        <w:top w:val="none" w:sz="0" w:space="0" w:color="auto"/>
        <w:left w:val="none" w:sz="0" w:space="0" w:color="auto"/>
        <w:bottom w:val="none" w:sz="0" w:space="0" w:color="auto"/>
        <w:right w:val="none" w:sz="0" w:space="0" w:color="auto"/>
      </w:divBdr>
    </w:div>
    <w:div w:id="1252854537">
      <w:bodyDiv w:val="1"/>
      <w:marLeft w:val="0"/>
      <w:marRight w:val="0"/>
      <w:marTop w:val="0"/>
      <w:marBottom w:val="0"/>
      <w:divBdr>
        <w:top w:val="none" w:sz="0" w:space="0" w:color="auto"/>
        <w:left w:val="none" w:sz="0" w:space="0" w:color="auto"/>
        <w:bottom w:val="none" w:sz="0" w:space="0" w:color="auto"/>
        <w:right w:val="none" w:sz="0" w:space="0" w:color="auto"/>
      </w:divBdr>
    </w:div>
    <w:div w:id="1253666155">
      <w:bodyDiv w:val="1"/>
      <w:marLeft w:val="0"/>
      <w:marRight w:val="0"/>
      <w:marTop w:val="0"/>
      <w:marBottom w:val="0"/>
      <w:divBdr>
        <w:top w:val="none" w:sz="0" w:space="0" w:color="auto"/>
        <w:left w:val="none" w:sz="0" w:space="0" w:color="auto"/>
        <w:bottom w:val="none" w:sz="0" w:space="0" w:color="auto"/>
        <w:right w:val="none" w:sz="0" w:space="0" w:color="auto"/>
      </w:divBdr>
    </w:div>
    <w:div w:id="1255555290">
      <w:bodyDiv w:val="1"/>
      <w:marLeft w:val="0"/>
      <w:marRight w:val="0"/>
      <w:marTop w:val="0"/>
      <w:marBottom w:val="0"/>
      <w:divBdr>
        <w:top w:val="none" w:sz="0" w:space="0" w:color="auto"/>
        <w:left w:val="none" w:sz="0" w:space="0" w:color="auto"/>
        <w:bottom w:val="none" w:sz="0" w:space="0" w:color="auto"/>
        <w:right w:val="none" w:sz="0" w:space="0" w:color="auto"/>
      </w:divBdr>
    </w:div>
    <w:div w:id="1255894113">
      <w:bodyDiv w:val="1"/>
      <w:marLeft w:val="0"/>
      <w:marRight w:val="0"/>
      <w:marTop w:val="0"/>
      <w:marBottom w:val="0"/>
      <w:divBdr>
        <w:top w:val="none" w:sz="0" w:space="0" w:color="auto"/>
        <w:left w:val="none" w:sz="0" w:space="0" w:color="auto"/>
        <w:bottom w:val="none" w:sz="0" w:space="0" w:color="auto"/>
        <w:right w:val="none" w:sz="0" w:space="0" w:color="auto"/>
      </w:divBdr>
    </w:div>
    <w:div w:id="1256403131">
      <w:bodyDiv w:val="1"/>
      <w:marLeft w:val="0"/>
      <w:marRight w:val="0"/>
      <w:marTop w:val="0"/>
      <w:marBottom w:val="0"/>
      <w:divBdr>
        <w:top w:val="none" w:sz="0" w:space="0" w:color="auto"/>
        <w:left w:val="none" w:sz="0" w:space="0" w:color="auto"/>
        <w:bottom w:val="none" w:sz="0" w:space="0" w:color="auto"/>
        <w:right w:val="none" w:sz="0" w:space="0" w:color="auto"/>
      </w:divBdr>
    </w:div>
    <w:div w:id="1258639928">
      <w:bodyDiv w:val="1"/>
      <w:marLeft w:val="0"/>
      <w:marRight w:val="0"/>
      <w:marTop w:val="0"/>
      <w:marBottom w:val="0"/>
      <w:divBdr>
        <w:top w:val="none" w:sz="0" w:space="0" w:color="auto"/>
        <w:left w:val="none" w:sz="0" w:space="0" w:color="auto"/>
        <w:bottom w:val="none" w:sz="0" w:space="0" w:color="auto"/>
        <w:right w:val="none" w:sz="0" w:space="0" w:color="auto"/>
      </w:divBdr>
    </w:div>
    <w:div w:id="1259174543">
      <w:bodyDiv w:val="1"/>
      <w:marLeft w:val="0"/>
      <w:marRight w:val="0"/>
      <w:marTop w:val="0"/>
      <w:marBottom w:val="0"/>
      <w:divBdr>
        <w:top w:val="none" w:sz="0" w:space="0" w:color="auto"/>
        <w:left w:val="none" w:sz="0" w:space="0" w:color="auto"/>
        <w:bottom w:val="none" w:sz="0" w:space="0" w:color="auto"/>
        <w:right w:val="none" w:sz="0" w:space="0" w:color="auto"/>
      </w:divBdr>
    </w:div>
    <w:div w:id="1261063686">
      <w:bodyDiv w:val="1"/>
      <w:marLeft w:val="0"/>
      <w:marRight w:val="0"/>
      <w:marTop w:val="0"/>
      <w:marBottom w:val="0"/>
      <w:divBdr>
        <w:top w:val="none" w:sz="0" w:space="0" w:color="auto"/>
        <w:left w:val="none" w:sz="0" w:space="0" w:color="auto"/>
        <w:bottom w:val="none" w:sz="0" w:space="0" w:color="auto"/>
        <w:right w:val="none" w:sz="0" w:space="0" w:color="auto"/>
      </w:divBdr>
    </w:div>
    <w:div w:id="1261911200">
      <w:bodyDiv w:val="1"/>
      <w:marLeft w:val="0"/>
      <w:marRight w:val="0"/>
      <w:marTop w:val="0"/>
      <w:marBottom w:val="0"/>
      <w:divBdr>
        <w:top w:val="none" w:sz="0" w:space="0" w:color="auto"/>
        <w:left w:val="none" w:sz="0" w:space="0" w:color="auto"/>
        <w:bottom w:val="none" w:sz="0" w:space="0" w:color="auto"/>
        <w:right w:val="none" w:sz="0" w:space="0" w:color="auto"/>
      </w:divBdr>
    </w:div>
    <w:div w:id="1263151753">
      <w:bodyDiv w:val="1"/>
      <w:marLeft w:val="0"/>
      <w:marRight w:val="0"/>
      <w:marTop w:val="0"/>
      <w:marBottom w:val="0"/>
      <w:divBdr>
        <w:top w:val="none" w:sz="0" w:space="0" w:color="auto"/>
        <w:left w:val="none" w:sz="0" w:space="0" w:color="auto"/>
        <w:bottom w:val="none" w:sz="0" w:space="0" w:color="auto"/>
        <w:right w:val="none" w:sz="0" w:space="0" w:color="auto"/>
      </w:divBdr>
    </w:div>
    <w:div w:id="1264337699">
      <w:bodyDiv w:val="1"/>
      <w:marLeft w:val="0"/>
      <w:marRight w:val="0"/>
      <w:marTop w:val="0"/>
      <w:marBottom w:val="0"/>
      <w:divBdr>
        <w:top w:val="none" w:sz="0" w:space="0" w:color="auto"/>
        <w:left w:val="none" w:sz="0" w:space="0" w:color="auto"/>
        <w:bottom w:val="none" w:sz="0" w:space="0" w:color="auto"/>
        <w:right w:val="none" w:sz="0" w:space="0" w:color="auto"/>
      </w:divBdr>
    </w:div>
    <w:div w:id="1264454160">
      <w:bodyDiv w:val="1"/>
      <w:marLeft w:val="0"/>
      <w:marRight w:val="0"/>
      <w:marTop w:val="0"/>
      <w:marBottom w:val="0"/>
      <w:divBdr>
        <w:top w:val="none" w:sz="0" w:space="0" w:color="auto"/>
        <w:left w:val="none" w:sz="0" w:space="0" w:color="auto"/>
        <w:bottom w:val="none" w:sz="0" w:space="0" w:color="auto"/>
        <w:right w:val="none" w:sz="0" w:space="0" w:color="auto"/>
      </w:divBdr>
    </w:div>
    <w:div w:id="1264726662">
      <w:bodyDiv w:val="1"/>
      <w:marLeft w:val="0"/>
      <w:marRight w:val="0"/>
      <w:marTop w:val="0"/>
      <w:marBottom w:val="0"/>
      <w:divBdr>
        <w:top w:val="none" w:sz="0" w:space="0" w:color="auto"/>
        <w:left w:val="none" w:sz="0" w:space="0" w:color="auto"/>
        <w:bottom w:val="none" w:sz="0" w:space="0" w:color="auto"/>
        <w:right w:val="none" w:sz="0" w:space="0" w:color="auto"/>
      </w:divBdr>
    </w:div>
    <w:div w:id="1264800986">
      <w:bodyDiv w:val="1"/>
      <w:marLeft w:val="0"/>
      <w:marRight w:val="0"/>
      <w:marTop w:val="0"/>
      <w:marBottom w:val="0"/>
      <w:divBdr>
        <w:top w:val="none" w:sz="0" w:space="0" w:color="auto"/>
        <w:left w:val="none" w:sz="0" w:space="0" w:color="auto"/>
        <w:bottom w:val="none" w:sz="0" w:space="0" w:color="auto"/>
        <w:right w:val="none" w:sz="0" w:space="0" w:color="auto"/>
      </w:divBdr>
    </w:div>
    <w:div w:id="1265653190">
      <w:bodyDiv w:val="1"/>
      <w:marLeft w:val="0"/>
      <w:marRight w:val="0"/>
      <w:marTop w:val="0"/>
      <w:marBottom w:val="0"/>
      <w:divBdr>
        <w:top w:val="none" w:sz="0" w:space="0" w:color="auto"/>
        <w:left w:val="none" w:sz="0" w:space="0" w:color="auto"/>
        <w:bottom w:val="none" w:sz="0" w:space="0" w:color="auto"/>
        <w:right w:val="none" w:sz="0" w:space="0" w:color="auto"/>
      </w:divBdr>
    </w:div>
    <w:div w:id="1266352838">
      <w:bodyDiv w:val="1"/>
      <w:marLeft w:val="0"/>
      <w:marRight w:val="0"/>
      <w:marTop w:val="0"/>
      <w:marBottom w:val="0"/>
      <w:divBdr>
        <w:top w:val="none" w:sz="0" w:space="0" w:color="auto"/>
        <w:left w:val="none" w:sz="0" w:space="0" w:color="auto"/>
        <w:bottom w:val="none" w:sz="0" w:space="0" w:color="auto"/>
        <w:right w:val="none" w:sz="0" w:space="0" w:color="auto"/>
      </w:divBdr>
    </w:div>
    <w:div w:id="1266503850">
      <w:bodyDiv w:val="1"/>
      <w:marLeft w:val="0"/>
      <w:marRight w:val="0"/>
      <w:marTop w:val="0"/>
      <w:marBottom w:val="0"/>
      <w:divBdr>
        <w:top w:val="none" w:sz="0" w:space="0" w:color="auto"/>
        <w:left w:val="none" w:sz="0" w:space="0" w:color="auto"/>
        <w:bottom w:val="none" w:sz="0" w:space="0" w:color="auto"/>
        <w:right w:val="none" w:sz="0" w:space="0" w:color="auto"/>
      </w:divBdr>
    </w:div>
    <w:div w:id="1268123171">
      <w:bodyDiv w:val="1"/>
      <w:marLeft w:val="0"/>
      <w:marRight w:val="0"/>
      <w:marTop w:val="0"/>
      <w:marBottom w:val="0"/>
      <w:divBdr>
        <w:top w:val="none" w:sz="0" w:space="0" w:color="auto"/>
        <w:left w:val="none" w:sz="0" w:space="0" w:color="auto"/>
        <w:bottom w:val="none" w:sz="0" w:space="0" w:color="auto"/>
        <w:right w:val="none" w:sz="0" w:space="0" w:color="auto"/>
      </w:divBdr>
    </w:div>
    <w:div w:id="1268390056">
      <w:bodyDiv w:val="1"/>
      <w:marLeft w:val="0"/>
      <w:marRight w:val="0"/>
      <w:marTop w:val="0"/>
      <w:marBottom w:val="0"/>
      <w:divBdr>
        <w:top w:val="none" w:sz="0" w:space="0" w:color="auto"/>
        <w:left w:val="none" w:sz="0" w:space="0" w:color="auto"/>
        <w:bottom w:val="none" w:sz="0" w:space="0" w:color="auto"/>
        <w:right w:val="none" w:sz="0" w:space="0" w:color="auto"/>
      </w:divBdr>
    </w:div>
    <w:div w:id="1269587274">
      <w:bodyDiv w:val="1"/>
      <w:marLeft w:val="0"/>
      <w:marRight w:val="0"/>
      <w:marTop w:val="0"/>
      <w:marBottom w:val="0"/>
      <w:divBdr>
        <w:top w:val="none" w:sz="0" w:space="0" w:color="auto"/>
        <w:left w:val="none" w:sz="0" w:space="0" w:color="auto"/>
        <w:bottom w:val="none" w:sz="0" w:space="0" w:color="auto"/>
        <w:right w:val="none" w:sz="0" w:space="0" w:color="auto"/>
      </w:divBdr>
    </w:div>
    <w:div w:id="1270696480">
      <w:bodyDiv w:val="1"/>
      <w:marLeft w:val="0"/>
      <w:marRight w:val="0"/>
      <w:marTop w:val="0"/>
      <w:marBottom w:val="0"/>
      <w:divBdr>
        <w:top w:val="none" w:sz="0" w:space="0" w:color="auto"/>
        <w:left w:val="none" w:sz="0" w:space="0" w:color="auto"/>
        <w:bottom w:val="none" w:sz="0" w:space="0" w:color="auto"/>
        <w:right w:val="none" w:sz="0" w:space="0" w:color="auto"/>
      </w:divBdr>
    </w:div>
    <w:div w:id="1271426969">
      <w:bodyDiv w:val="1"/>
      <w:marLeft w:val="0"/>
      <w:marRight w:val="0"/>
      <w:marTop w:val="0"/>
      <w:marBottom w:val="0"/>
      <w:divBdr>
        <w:top w:val="none" w:sz="0" w:space="0" w:color="auto"/>
        <w:left w:val="none" w:sz="0" w:space="0" w:color="auto"/>
        <w:bottom w:val="none" w:sz="0" w:space="0" w:color="auto"/>
        <w:right w:val="none" w:sz="0" w:space="0" w:color="auto"/>
      </w:divBdr>
    </w:div>
    <w:div w:id="1271625956">
      <w:bodyDiv w:val="1"/>
      <w:marLeft w:val="0"/>
      <w:marRight w:val="0"/>
      <w:marTop w:val="0"/>
      <w:marBottom w:val="0"/>
      <w:divBdr>
        <w:top w:val="none" w:sz="0" w:space="0" w:color="auto"/>
        <w:left w:val="none" w:sz="0" w:space="0" w:color="auto"/>
        <w:bottom w:val="none" w:sz="0" w:space="0" w:color="auto"/>
        <w:right w:val="none" w:sz="0" w:space="0" w:color="auto"/>
      </w:divBdr>
    </w:div>
    <w:div w:id="1272592938">
      <w:bodyDiv w:val="1"/>
      <w:marLeft w:val="0"/>
      <w:marRight w:val="0"/>
      <w:marTop w:val="0"/>
      <w:marBottom w:val="0"/>
      <w:divBdr>
        <w:top w:val="none" w:sz="0" w:space="0" w:color="auto"/>
        <w:left w:val="none" w:sz="0" w:space="0" w:color="auto"/>
        <w:bottom w:val="none" w:sz="0" w:space="0" w:color="auto"/>
        <w:right w:val="none" w:sz="0" w:space="0" w:color="auto"/>
      </w:divBdr>
    </w:div>
    <w:div w:id="1272666772">
      <w:bodyDiv w:val="1"/>
      <w:marLeft w:val="0"/>
      <w:marRight w:val="0"/>
      <w:marTop w:val="0"/>
      <w:marBottom w:val="0"/>
      <w:divBdr>
        <w:top w:val="none" w:sz="0" w:space="0" w:color="auto"/>
        <w:left w:val="none" w:sz="0" w:space="0" w:color="auto"/>
        <w:bottom w:val="none" w:sz="0" w:space="0" w:color="auto"/>
        <w:right w:val="none" w:sz="0" w:space="0" w:color="auto"/>
      </w:divBdr>
    </w:div>
    <w:div w:id="1273245942">
      <w:bodyDiv w:val="1"/>
      <w:marLeft w:val="0"/>
      <w:marRight w:val="0"/>
      <w:marTop w:val="0"/>
      <w:marBottom w:val="0"/>
      <w:divBdr>
        <w:top w:val="none" w:sz="0" w:space="0" w:color="auto"/>
        <w:left w:val="none" w:sz="0" w:space="0" w:color="auto"/>
        <w:bottom w:val="none" w:sz="0" w:space="0" w:color="auto"/>
        <w:right w:val="none" w:sz="0" w:space="0" w:color="auto"/>
      </w:divBdr>
    </w:div>
    <w:div w:id="1275206641">
      <w:bodyDiv w:val="1"/>
      <w:marLeft w:val="0"/>
      <w:marRight w:val="0"/>
      <w:marTop w:val="0"/>
      <w:marBottom w:val="0"/>
      <w:divBdr>
        <w:top w:val="none" w:sz="0" w:space="0" w:color="auto"/>
        <w:left w:val="none" w:sz="0" w:space="0" w:color="auto"/>
        <w:bottom w:val="none" w:sz="0" w:space="0" w:color="auto"/>
        <w:right w:val="none" w:sz="0" w:space="0" w:color="auto"/>
      </w:divBdr>
    </w:div>
    <w:div w:id="1276324365">
      <w:bodyDiv w:val="1"/>
      <w:marLeft w:val="0"/>
      <w:marRight w:val="0"/>
      <w:marTop w:val="0"/>
      <w:marBottom w:val="0"/>
      <w:divBdr>
        <w:top w:val="none" w:sz="0" w:space="0" w:color="auto"/>
        <w:left w:val="none" w:sz="0" w:space="0" w:color="auto"/>
        <w:bottom w:val="none" w:sz="0" w:space="0" w:color="auto"/>
        <w:right w:val="none" w:sz="0" w:space="0" w:color="auto"/>
      </w:divBdr>
    </w:div>
    <w:div w:id="1276667761">
      <w:bodyDiv w:val="1"/>
      <w:marLeft w:val="0"/>
      <w:marRight w:val="0"/>
      <w:marTop w:val="0"/>
      <w:marBottom w:val="0"/>
      <w:divBdr>
        <w:top w:val="none" w:sz="0" w:space="0" w:color="auto"/>
        <w:left w:val="none" w:sz="0" w:space="0" w:color="auto"/>
        <w:bottom w:val="none" w:sz="0" w:space="0" w:color="auto"/>
        <w:right w:val="none" w:sz="0" w:space="0" w:color="auto"/>
      </w:divBdr>
    </w:div>
    <w:div w:id="1276670342">
      <w:bodyDiv w:val="1"/>
      <w:marLeft w:val="0"/>
      <w:marRight w:val="0"/>
      <w:marTop w:val="0"/>
      <w:marBottom w:val="0"/>
      <w:divBdr>
        <w:top w:val="none" w:sz="0" w:space="0" w:color="auto"/>
        <w:left w:val="none" w:sz="0" w:space="0" w:color="auto"/>
        <w:bottom w:val="none" w:sz="0" w:space="0" w:color="auto"/>
        <w:right w:val="none" w:sz="0" w:space="0" w:color="auto"/>
      </w:divBdr>
    </w:div>
    <w:div w:id="1278679529">
      <w:bodyDiv w:val="1"/>
      <w:marLeft w:val="0"/>
      <w:marRight w:val="0"/>
      <w:marTop w:val="0"/>
      <w:marBottom w:val="0"/>
      <w:divBdr>
        <w:top w:val="none" w:sz="0" w:space="0" w:color="auto"/>
        <w:left w:val="none" w:sz="0" w:space="0" w:color="auto"/>
        <w:bottom w:val="none" w:sz="0" w:space="0" w:color="auto"/>
        <w:right w:val="none" w:sz="0" w:space="0" w:color="auto"/>
      </w:divBdr>
    </w:div>
    <w:div w:id="1280062516">
      <w:bodyDiv w:val="1"/>
      <w:marLeft w:val="0"/>
      <w:marRight w:val="0"/>
      <w:marTop w:val="0"/>
      <w:marBottom w:val="0"/>
      <w:divBdr>
        <w:top w:val="none" w:sz="0" w:space="0" w:color="auto"/>
        <w:left w:val="none" w:sz="0" w:space="0" w:color="auto"/>
        <w:bottom w:val="none" w:sz="0" w:space="0" w:color="auto"/>
        <w:right w:val="none" w:sz="0" w:space="0" w:color="auto"/>
      </w:divBdr>
    </w:div>
    <w:div w:id="1281110663">
      <w:bodyDiv w:val="1"/>
      <w:marLeft w:val="0"/>
      <w:marRight w:val="0"/>
      <w:marTop w:val="0"/>
      <w:marBottom w:val="0"/>
      <w:divBdr>
        <w:top w:val="none" w:sz="0" w:space="0" w:color="auto"/>
        <w:left w:val="none" w:sz="0" w:space="0" w:color="auto"/>
        <w:bottom w:val="none" w:sz="0" w:space="0" w:color="auto"/>
        <w:right w:val="none" w:sz="0" w:space="0" w:color="auto"/>
      </w:divBdr>
    </w:div>
    <w:div w:id="1285037300">
      <w:bodyDiv w:val="1"/>
      <w:marLeft w:val="0"/>
      <w:marRight w:val="0"/>
      <w:marTop w:val="0"/>
      <w:marBottom w:val="0"/>
      <w:divBdr>
        <w:top w:val="none" w:sz="0" w:space="0" w:color="auto"/>
        <w:left w:val="none" w:sz="0" w:space="0" w:color="auto"/>
        <w:bottom w:val="none" w:sz="0" w:space="0" w:color="auto"/>
        <w:right w:val="none" w:sz="0" w:space="0" w:color="auto"/>
      </w:divBdr>
    </w:div>
    <w:div w:id="1285455512">
      <w:bodyDiv w:val="1"/>
      <w:marLeft w:val="0"/>
      <w:marRight w:val="0"/>
      <w:marTop w:val="0"/>
      <w:marBottom w:val="0"/>
      <w:divBdr>
        <w:top w:val="none" w:sz="0" w:space="0" w:color="auto"/>
        <w:left w:val="none" w:sz="0" w:space="0" w:color="auto"/>
        <w:bottom w:val="none" w:sz="0" w:space="0" w:color="auto"/>
        <w:right w:val="none" w:sz="0" w:space="0" w:color="auto"/>
      </w:divBdr>
    </w:div>
    <w:div w:id="1285843461">
      <w:bodyDiv w:val="1"/>
      <w:marLeft w:val="0"/>
      <w:marRight w:val="0"/>
      <w:marTop w:val="0"/>
      <w:marBottom w:val="0"/>
      <w:divBdr>
        <w:top w:val="none" w:sz="0" w:space="0" w:color="auto"/>
        <w:left w:val="none" w:sz="0" w:space="0" w:color="auto"/>
        <w:bottom w:val="none" w:sz="0" w:space="0" w:color="auto"/>
        <w:right w:val="none" w:sz="0" w:space="0" w:color="auto"/>
      </w:divBdr>
    </w:div>
    <w:div w:id="1287853704">
      <w:bodyDiv w:val="1"/>
      <w:marLeft w:val="0"/>
      <w:marRight w:val="0"/>
      <w:marTop w:val="0"/>
      <w:marBottom w:val="0"/>
      <w:divBdr>
        <w:top w:val="none" w:sz="0" w:space="0" w:color="auto"/>
        <w:left w:val="none" w:sz="0" w:space="0" w:color="auto"/>
        <w:bottom w:val="none" w:sz="0" w:space="0" w:color="auto"/>
        <w:right w:val="none" w:sz="0" w:space="0" w:color="auto"/>
      </w:divBdr>
    </w:div>
    <w:div w:id="1287854541">
      <w:bodyDiv w:val="1"/>
      <w:marLeft w:val="0"/>
      <w:marRight w:val="0"/>
      <w:marTop w:val="0"/>
      <w:marBottom w:val="0"/>
      <w:divBdr>
        <w:top w:val="none" w:sz="0" w:space="0" w:color="auto"/>
        <w:left w:val="none" w:sz="0" w:space="0" w:color="auto"/>
        <w:bottom w:val="none" w:sz="0" w:space="0" w:color="auto"/>
        <w:right w:val="none" w:sz="0" w:space="0" w:color="auto"/>
      </w:divBdr>
    </w:div>
    <w:div w:id="1288118827">
      <w:bodyDiv w:val="1"/>
      <w:marLeft w:val="0"/>
      <w:marRight w:val="0"/>
      <w:marTop w:val="0"/>
      <w:marBottom w:val="0"/>
      <w:divBdr>
        <w:top w:val="none" w:sz="0" w:space="0" w:color="auto"/>
        <w:left w:val="none" w:sz="0" w:space="0" w:color="auto"/>
        <w:bottom w:val="none" w:sz="0" w:space="0" w:color="auto"/>
        <w:right w:val="none" w:sz="0" w:space="0" w:color="auto"/>
      </w:divBdr>
    </w:div>
    <w:div w:id="1288968139">
      <w:bodyDiv w:val="1"/>
      <w:marLeft w:val="0"/>
      <w:marRight w:val="0"/>
      <w:marTop w:val="0"/>
      <w:marBottom w:val="0"/>
      <w:divBdr>
        <w:top w:val="none" w:sz="0" w:space="0" w:color="auto"/>
        <w:left w:val="none" w:sz="0" w:space="0" w:color="auto"/>
        <w:bottom w:val="none" w:sz="0" w:space="0" w:color="auto"/>
        <w:right w:val="none" w:sz="0" w:space="0" w:color="auto"/>
      </w:divBdr>
    </w:div>
    <w:div w:id="1289899098">
      <w:bodyDiv w:val="1"/>
      <w:marLeft w:val="0"/>
      <w:marRight w:val="0"/>
      <w:marTop w:val="0"/>
      <w:marBottom w:val="0"/>
      <w:divBdr>
        <w:top w:val="none" w:sz="0" w:space="0" w:color="auto"/>
        <w:left w:val="none" w:sz="0" w:space="0" w:color="auto"/>
        <w:bottom w:val="none" w:sz="0" w:space="0" w:color="auto"/>
        <w:right w:val="none" w:sz="0" w:space="0" w:color="auto"/>
      </w:divBdr>
    </w:div>
    <w:div w:id="1290429141">
      <w:bodyDiv w:val="1"/>
      <w:marLeft w:val="0"/>
      <w:marRight w:val="0"/>
      <w:marTop w:val="0"/>
      <w:marBottom w:val="0"/>
      <w:divBdr>
        <w:top w:val="none" w:sz="0" w:space="0" w:color="auto"/>
        <w:left w:val="none" w:sz="0" w:space="0" w:color="auto"/>
        <w:bottom w:val="none" w:sz="0" w:space="0" w:color="auto"/>
        <w:right w:val="none" w:sz="0" w:space="0" w:color="auto"/>
      </w:divBdr>
    </w:div>
    <w:div w:id="1292131854">
      <w:bodyDiv w:val="1"/>
      <w:marLeft w:val="0"/>
      <w:marRight w:val="0"/>
      <w:marTop w:val="0"/>
      <w:marBottom w:val="0"/>
      <w:divBdr>
        <w:top w:val="none" w:sz="0" w:space="0" w:color="auto"/>
        <w:left w:val="none" w:sz="0" w:space="0" w:color="auto"/>
        <w:bottom w:val="none" w:sz="0" w:space="0" w:color="auto"/>
        <w:right w:val="none" w:sz="0" w:space="0" w:color="auto"/>
      </w:divBdr>
    </w:div>
    <w:div w:id="1293364332">
      <w:bodyDiv w:val="1"/>
      <w:marLeft w:val="0"/>
      <w:marRight w:val="0"/>
      <w:marTop w:val="0"/>
      <w:marBottom w:val="0"/>
      <w:divBdr>
        <w:top w:val="none" w:sz="0" w:space="0" w:color="auto"/>
        <w:left w:val="none" w:sz="0" w:space="0" w:color="auto"/>
        <w:bottom w:val="none" w:sz="0" w:space="0" w:color="auto"/>
        <w:right w:val="none" w:sz="0" w:space="0" w:color="auto"/>
      </w:divBdr>
    </w:div>
    <w:div w:id="1293633896">
      <w:bodyDiv w:val="1"/>
      <w:marLeft w:val="0"/>
      <w:marRight w:val="0"/>
      <w:marTop w:val="0"/>
      <w:marBottom w:val="0"/>
      <w:divBdr>
        <w:top w:val="none" w:sz="0" w:space="0" w:color="auto"/>
        <w:left w:val="none" w:sz="0" w:space="0" w:color="auto"/>
        <w:bottom w:val="none" w:sz="0" w:space="0" w:color="auto"/>
        <w:right w:val="none" w:sz="0" w:space="0" w:color="auto"/>
      </w:divBdr>
    </w:div>
    <w:div w:id="1294407304">
      <w:bodyDiv w:val="1"/>
      <w:marLeft w:val="0"/>
      <w:marRight w:val="0"/>
      <w:marTop w:val="0"/>
      <w:marBottom w:val="0"/>
      <w:divBdr>
        <w:top w:val="none" w:sz="0" w:space="0" w:color="auto"/>
        <w:left w:val="none" w:sz="0" w:space="0" w:color="auto"/>
        <w:bottom w:val="none" w:sz="0" w:space="0" w:color="auto"/>
        <w:right w:val="none" w:sz="0" w:space="0" w:color="auto"/>
      </w:divBdr>
    </w:div>
    <w:div w:id="1294864500">
      <w:bodyDiv w:val="1"/>
      <w:marLeft w:val="0"/>
      <w:marRight w:val="0"/>
      <w:marTop w:val="0"/>
      <w:marBottom w:val="0"/>
      <w:divBdr>
        <w:top w:val="none" w:sz="0" w:space="0" w:color="auto"/>
        <w:left w:val="none" w:sz="0" w:space="0" w:color="auto"/>
        <w:bottom w:val="none" w:sz="0" w:space="0" w:color="auto"/>
        <w:right w:val="none" w:sz="0" w:space="0" w:color="auto"/>
      </w:divBdr>
    </w:div>
    <w:div w:id="1298727791">
      <w:bodyDiv w:val="1"/>
      <w:marLeft w:val="0"/>
      <w:marRight w:val="0"/>
      <w:marTop w:val="0"/>
      <w:marBottom w:val="0"/>
      <w:divBdr>
        <w:top w:val="none" w:sz="0" w:space="0" w:color="auto"/>
        <w:left w:val="none" w:sz="0" w:space="0" w:color="auto"/>
        <w:bottom w:val="none" w:sz="0" w:space="0" w:color="auto"/>
        <w:right w:val="none" w:sz="0" w:space="0" w:color="auto"/>
      </w:divBdr>
    </w:div>
    <w:div w:id="1299920966">
      <w:bodyDiv w:val="1"/>
      <w:marLeft w:val="0"/>
      <w:marRight w:val="0"/>
      <w:marTop w:val="0"/>
      <w:marBottom w:val="0"/>
      <w:divBdr>
        <w:top w:val="none" w:sz="0" w:space="0" w:color="auto"/>
        <w:left w:val="none" w:sz="0" w:space="0" w:color="auto"/>
        <w:bottom w:val="none" w:sz="0" w:space="0" w:color="auto"/>
        <w:right w:val="none" w:sz="0" w:space="0" w:color="auto"/>
      </w:divBdr>
    </w:div>
    <w:div w:id="1299989584">
      <w:bodyDiv w:val="1"/>
      <w:marLeft w:val="0"/>
      <w:marRight w:val="0"/>
      <w:marTop w:val="0"/>
      <w:marBottom w:val="0"/>
      <w:divBdr>
        <w:top w:val="none" w:sz="0" w:space="0" w:color="auto"/>
        <w:left w:val="none" w:sz="0" w:space="0" w:color="auto"/>
        <w:bottom w:val="none" w:sz="0" w:space="0" w:color="auto"/>
        <w:right w:val="none" w:sz="0" w:space="0" w:color="auto"/>
      </w:divBdr>
    </w:div>
    <w:div w:id="1300644842">
      <w:bodyDiv w:val="1"/>
      <w:marLeft w:val="0"/>
      <w:marRight w:val="0"/>
      <w:marTop w:val="0"/>
      <w:marBottom w:val="0"/>
      <w:divBdr>
        <w:top w:val="none" w:sz="0" w:space="0" w:color="auto"/>
        <w:left w:val="none" w:sz="0" w:space="0" w:color="auto"/>
        <w:bottom w:val="none" w:sz="0" w:space="0" w:color="auto"/>
        <w:right w:val="none" w:sz="0" w:space="0" w:color="auto"/>
      </w:divBdr>
    </w:div>
    <w:div w:id="1301614968">
      <w:bodyDiv w:val="1"/>
      <w:marLeft w:val="0"/>
      <w:marRight w:val="0"/>
      <w:marTop w:val="0"/>
      <w:marBottom w:val="0"/>
      <w:divBdr>
        <w:top w:val="none" w:sz="0" w:space="0" w:color="auto"/>
        <w:left w:val="none" w:sz="0" w:space="0" w:color="auto"/>
        <w:bottom w:val="none" w:sz="0" w:space="0" w:color="auto"/>
        <w:right w:val="none" w:sz="0" w:space="0" w:color="auto"/>
      </w:divBdr>
    </w:div>
    <w:div w:id="1306543352">
      <w:bodyDiv w:val="1"/>
      <w:marLeft w:val="0"/>
      <w:marRight w:val="0"/>
      <w:marTop w:val="0"/>
      <w:marBottom w:val="0"/>
      <w:divBdr>
        <w:top w:val="none" w:sz="0" w:space="0" w:color="auto"/>
        <w:left w:val="none" w:sz="0" w:space="0" w:color="auto"/>
        <w:bottom w:val="none" w:sz="0" w:space="0" w:color="auto"/>
        <w:right w:val="none" w:sz="0" w:space="0" w:color="auto"/>
      </w:divBdr>
    </w:div>
    <w:div w:id="1308515230">
      <w:bodyDiv w:val="1"/>
      <w:marLeft w:val="0"/>
      <w:marRight w:val="0"/>
      <w:marTop w:val="0"/>
      <w:marBottom w:val="0"/>
      <w:divBdr>
        <w:top w:val="none" w:sz="0" w:space="0" w:color="auto"/>
        <w:left w:val="none" w:sz="0" w:space="0" w:color="auto"/>
        <w:bottom w:val="none" w:sz="0" w:space="0" w:color="auto"/>
        <w:right w:val="none" w:sz="0" w:space="0" w:color="auto"/>
      </w:divBdr>
    </w:div>
    <w:div w:id="1308895573">
      <w:bodyDiv w:val="1"/>
      <w:marLeft w:val="0"/>
      <w:marRight w:val="0"/>
      <w:marTop w:val="0"/>
      <w:marBottom w:val="0"/>
      <w:divBdr>
        <w:top w:val="none" w:sz="0" w:space="0" w:color="auto"/>
        <w:left w:val="none" w:sz="0" w:space="0" w:color="auto"/>
        <w:bottom w:val="none" w:sz="0" w:space="0" w:color="auto"/>
        <w:right w:val="none" w:sz="0" w:space="0" w:color="auto"/>
      </w:divBdr>
    </w:div>
    <w:div w:id="1309702158">
      <w:bodyDiv w:val="1"/>
      <w:marLeft w:val="0"/>
      <w:marRight w:val="0"/>
      <w:marTop w:val="0"/>
      <w:marBottom w:val="0"/>
      <w:divBdr>
        <w:top w:val="none" w:sz="0" w:space="0" w:color="auto"/>
        <w:left w:val="none" w:sz="0" w:space="0" w:color="auto"/>
        <w:bottom w:val="none" w:sz="0" w:space="0" w:color="auto"/>
        <w:right w:val="none" w:sz="0" w:space="0" w:color="auto"/>
      </w:divBdr>
    </w:div>
    <w:div w:id="1309824525">
      <w:bodyDiv w:val="1"/>
      <w:marLeft w:val="0"/>
      <w:marRight w:val="0"/>
      <w:marTop w:val="0"/>
      <w:marBottom w:val="0"/>
      <w:divBdr>
        <w:top w:val="none" w:sz="0" w:space="0" w:color="auto"/>
        <w:left w:val="none" w:sz="0" w:space="0" w:color="auto"/>
        <w:bottom w:val="none" w:sz="0" w:space="0" w:color="auto"/>
        <w:right w:val="none" w:sz="0" w:space="0" w:color="auto"/>
      </w:divBdr>
    </w:div>
    <w:div w:id="1311011219">
      <w:bodyDiv w:val="1"/>
      <w:marLeft w:val="0"/>
      <w:marRight w:val="0"/>
      <w:marTop w:val="0"/>
      <w:marBottom w:val="0"/>
      <w:divBdr>
        <w:top w:val="none" w:sz="0" w:space="0" w:color="auto"/>
        <w:left w:val="none" w:sz="0" w:space="0" w:color="auto"/>
        <w:bottom w:val="none" w:sz="0" w:space="0" w:color="auto"/>
        <w:right w:val="none" w:sz="0" w:space="0" w:color="auto"/>
      </w:divBdr>
    </w:div>
    <w:div w:id="1311907053">
      <w:bodyDiv w:val="1"/>
      <w:marLeft w:val="0"/>
      <w:marRight w:val="0"/>
      <w:marTop w:val="0"/>
      <w:marBottom w:val="0"/>
      <w:divBdr>
        <w:top w:val="none" w:sz="0" w:space="0" w:color="auto"/>
        <w:left w:val="none" w:sz="0" w:space="0" w:color="auto"/>
        <w:bottom w:val="none" w:sz="0" w:space="0" w:color="auto"/>
        <w:right w:val="none" w:sz="0" w:space="0" w:color="auto"/>
      </w:divBdr>
    </w:div>
    <w:div w:id="1312949118">
      <w:bodyDiv w:val="1"/>
      <w:marLeft w:val="0"/>
      <w:marRight w:val="0"/>
      <w:marTop w:val="0"/>
      <w:marBottom w:val="0"/>
      <w:divBdr>
        <w:top w:val="none" w:sz="0" w:space="0" w:color="auto"/>
        <w:left w:val="none" w:sz="0" w:space="0" w:color="auto"/>
        <w:bottom w:val="none" w:sz="0" w:space="0" w:color="auto"/>
        <w:right w:val="none" w:sz="0" w:space="0" w:color="auto"/>
      </w:divBdr>
    </w:div>
    <w:div w:id="1313216754">
      <w:bodyDiv w:val="1"/>
      <w:marLeft w:val="0"/>
      <w:marRight w:val="0"/>
      <w:marTop w:val="0"/>
      <w:marBottom w:val="0"/>
      <w:divBdr>
        <w:top w:val="none" w:sz="0" w:space="0" w:color="auto"/>
        <w:left w:val="none" w:sz="0" w:space="0" w:color="auto"/>
        <w:bottom w:val="none" w:sz="0" w:space="0" w:color="auto"/>
        <w:right w:val="none" w:sz="0" w:space="0" w:color="auto"/>
      </w:divBdr>
    </w:div>
    <w:div w:id="1314603656">
      <w:bodyDiv w:val="1"/>
      <w:marLeft w:val="0"/>
      <w:marRight w:val="0"/>
      <w:marTop w:val="0"/>
      <w:marBottom w:val="0"/>
      <w:divBdr>
        <w:top w:val="none" w:sz="0" w:space="0" w:color="auto"/>
        <w:left w:val="none" w:sz="0" w:space="0" w:color="auto"/>
        <w:bottom w:val="none" w:sz="0" w:space="0" w:color="auto"/>
        <w:right w:val="none" w:sz="0" w:space="0" w:color="auto"/>
      </w:divBdr>
    </w:div>
    <w:div w:id="1314678059">
      <w:bodyDiv w:val="1"/>
      <w:marLeft w:val="0"/>
      <w:marRight w:val="0"/>
      <w:marTop w:val="0"/>
      <w:marBottom w:val="0"/>
      <w:divBdr>
        <w:top w:val="none" w:sz="0" w:space="0" w:color="auto"/>
        <w:left w:val="none" w:sz="0" w:space="0" w:color="auto"/>
        <w:bottom w:val="none" w:sz="0" w:space="0" w:color="auto"/>
        <w:right w:val="none" w:sz="0" w:space="0" w:color="auto"/>
      </w:divBdr>
    </w:div>
    <w:div w:id="1318001252">
      <w:bodyDiv w:val="1"/>
      <w:marLeft w:val="0"/>
      <w:marRight w:val="0"/>
      <w:marTop w:val="0"/>
      <w:marBottom w:val="0"/>
      <w:divBdr>
        <w:top w:val="none" w:sz="0" w:space="0" w:color="auto"/>
        <w:left w:val="none" w:sz="0" w:space="0" w:color="auto"/>
        <w:bottom w:val="none" w:sz="0" w:space="0" w:color="auto"/>
        <w:right w:val="none" w:sz="0" w:space="0" w:color="auto"/>
      </w:divBdr>
    </w:div>
    <w:div w:id="1318072717">
      <w:bodyDiv w:val="1"/>
      <w:marLeft w:val="0"/>
      <w:marRight w:val="0"/>
      <w:marTop w:val="0"/>
      <w:marBottom w:val="0"/>
      <w:divBdr>
        <w:top w:val="none" w:sz="0" w:space="0" w:color="auto"/>
        <w:left w:val="none" w:sz="0" w:space="0" w:color="auto"/>
        <w:bottom w:val="none" w:sz="0" w:space="0" w:color="auto"/>
        <w:right w:val="none" w:sz="0" w:space="0" w:color="auto"/>
      </w:divBdr>
    </w:div>
    <w:div w:id="1320813430">
      <w:bodyDiv w:val="1"/>
      <w:marLeft w:val="0"/>
      <w:marRight w:val="0"/>
      <w:marTop w:val="0"/>
      <w:marBottom w:val="0"/>
      <w:divBdr>
        <w:top w:val="none" w:sz="0" w:space="0" w:color="auto"/>
        <w:left w:val="none" w:sz="0" w:space="0" w:color="auto"/>
        <w:bottom w:val="none" w:sz="0" w:space="0" w:color="auto"/>
        <w:right w:val="none" w:sz="0" w:space="0" w:color="auto"/>
      </w:divBdr>
    </w:div>
    <w:div w:id="1321811870">
      <w:bodyDiv w:val="1"/>
      <w:marLeft w:val="0"/>
      <w:marRight w:val="0"/>
      <w:marTop w:val="0"/>
      <w:marBottom w:val="0"/>
      <w:divBdr>
        <w:top w:val="none" w:sz="0" w:space="0" w:color="auto"/>
        <w:left w:val="none" w:sz="0" w:space="0" w:color="auto"/>
        <w:bottom w:val="none" w:sz="0" w:space="0" w:color="auto"/>
        <w:right w:val="none" w:sz="0" w:space="0" w:color="auto"/>
      </w:divBdr>
    </w:div>
    <w:div w:id="1321812598">
      <w:bodyDiv w:val="1"/>
      <w:marLeft w:val="0"/>
      <w:marRight w:val="0"/>
      <w:marTop w:val="0"/>
      <w:marBottom w:val="0"/>
      <w:divBdr>
        <w:top w:val="none" w:sz="0" w:space="0" w:color="auto"/>
        <w:left w:val="none" w:sz="0" w:space="0" w:color="auto"/>
        <w:bottom w:val="none" w:sz="0" w:space="0" w:color="auto"/>
        <w:right w:val="none" w:sz="0" w:space="0" w:color="auto"/>
      </w:divBdr>
    </w:div>
    <w:div w:id="1323315020">
      <w:bodyDiv w:val="1"/>
      <w:marLeft w:val="0"/>
      <w:marRight w:val="0"/>
      <w:marTop w:val="0"/>
      <w:marBottom w:val="0"/>
      <w:divBdr>
        <w:top w:val="none" w:sz="0" w:space="0" w:color="auto"/>
        <w:left w:val="none" w:sz="0" w:space="0" w:color="auto"/>
        <w:bottom w:val="none" w:sz="0" w:space="0" w:color="auto"/>
        <w:right w:val="none" w:sz="0" w:space="0" w:color="auto"/>
      </w:divBdr>
    </w:div>
    <w:div w:id="1324040892">
      <w:bodyDiv w:val="1"/>
      <w:marLeft w:val="0"/>
      <w:marRight w:val="0"/>
      <w:marTop w:val="0"/>
      <w:marBottom w:val="0"/>
      <w:divBdr>
        <w:top w:val="none" w:sz="0" w:space="0" w:color="auto"/>
        <w:left w:val="none" w:sz="0" w:space="0" w:color="auto"/>
        <w:bottom w:val="none" w:sz="0" w:space="0" w:color="auto"/>
        <w:right w:val="none" w:sz="0" w:space="0" w:color="auto"/>
      </w:divBdr>
    </w:div>
    <w:div w:id="1324045541">
      <w:bodyDiv w:val="1"/>
      <w:marLeft w:val="0"/>
      <w:marRight w:val="0"/>
      <w:marTop w:val="0"/>
      <w:marBottom w:val="0"/>
      <w:divBdr>
        <w:top w:val="none" w:sz="0" w:space="0" w:color="auto"/>
        <w:left w:val="none" w:sz="0" w:space="0" w:color="auto"/>
        <w:bottom w:val="none" w:sz="0" w:space="0" w:color="auto"/>
        <w:right w:val="none" w:sz="0" w:space="0" w:color="auto"/>
      </w:divBdr>
    </w:div>
    <w:div w:id="1325360292">
      <w:bodyDiv w:val="1"/>
      <w:marLeft w:val="0"/>
      <w:marRight w:val="0"/>
      <w:marTop w:val="0"/>
      <w:marBottom w:val="0"/>
      <w:divBdr>
        <w:top w:val="none" w:sz="0" w:space="0" w:color="auto"/>
        <w:left w:val="none" w:sz="0" w:space="0" w:color="auto"/>
        <w:bottom w:val="none" w:sz="0" w:space="0" w:color="auto"/>
        <w:right w:val="none" w:sz="0" w:space="0" w:color="auto"/>
      </w:divBdr>
    </w:div>
    <w:div w:id="1326938563">
      <w:bodyDiv w:val="1"/>
      <w:marLeft w:val="0"/>
      <w:marRight w:val="0"/>
      <w:marTop w:val="0"/>
      <w:marBottom w:val="0"/>
      <w:divBdr>
        <w:top w:val="none" w:sz="0" w:space="0" w:color="auto"/>
        <w:left w:val="none" w:sz="0" w:space="0" w:color="auto"/>
        <w:bottom w:val="none" w:sz="0" w:space="0" w:color="auto"/>
        <w:right w:val="none" w:sz="0" w:space="0" w:color="auto"/>
      </w:divBdr>
    </w:div>
    <w:div w:id="1327049247">
      <w:bodyDiv w:val="1"/>
      <w:marLeft w:val="0"/>
      <w:marRight w:val="0"/>
      <w:marTop w:val="0"/>
      <w:marBottom w:val="0"/>
      <w:divBdr>
        <w:top w:val="none" w:sz="0" w:space="0" w:color="auto"/>
        <w:left w:val="none" w:sz="0" w:space="0" w:color="auto"/>
        <w:bottom w:val="none" w:sz="0" w:space="0" w:color="auto"/>
        <w:right w:val="none" w:sz="0" w:space="0" w:color="auto"/>
      </w:divBdr>
    </w:div>
    <w:div w:id="1328095925">
      <w:bodyDiv w:val="1"/>
      <w:marLeft w:val="0"/>
      <w:marRight w:val="0"/>
      <w:marTop w:val="0"/>
      <w:marBottom w:val="0"/>
      <w:divBdr>
        <w:top w:val="none" w:sz="0" w:space="0" w:color="auto"/>
        <w:left w:val="none" w:sz="0" w:space="0" w:color="auto"/>
        <w:bottom w:val="none" w:sz="0" w:space="0" w:color="auto"/>
        <w:right w:val="none" w:sz="0" w:space="0" w:color="auto"/>
      </w:divBdr>
    </w:div>
    <w:div w:id="1328709471">
      <w:bodyDiv w:val="1"/>
      <w:marLeft w:val="0"/>
      <w:marRight w:val="0"/>
      <w:marTop w:val="0"/>
      <w:marBottom w:val="0"/>
      <w:divBdr>
        <w:top w:val="none" w:sz="0" w:space="0" w:color="auto"/>
        <w:left w:val="none" w:sz="0" w:space="0" w:color="auto"/>
        <w:bottom w:val="none" w:sz="0" w:space="0" w:color="auto"/>
        <w:right w:val="none" w:sz="0" w:space="0" w:color="auto"/>
      </w:divBdr>
    </w:div>
    <w:div w:id="1328902719">
      <w:bodyDiv w:val="1"/>
      <w:marLeft w:val="0"/>
      <w:marRight w:val="0"/>
      <w:marTop w:val="0"/>
      <w:marBottom w:val="0"/>
      <w:divBdr>
        <w:top w:val="none" w:sz="0" w:space="0" w:color="auto"/>
        <w:left w:val="none" w:sz="0" w:space="0" w:color="auto"/>
        <w:bottom w:val="none" w:sz="0" w:space="0" w:color="auto"/>
        <w:right w:val="none" w:sz="0" w:space="0" w:color="auto"/>
      </w:divBdr>
    </w:div>
    <w:div w:id="1329017527">
      <w:bodyDiv w:val="1"/>
      <w:marLeft w:val="0"/>
      <w:marRight w:val="0"/>
      <w:marTop w:val="0"/>
      <w:marBottom w:val="0"/>
      <w:divBdr>
        <w:top w:val="none" w:sz="0" w:space="0" w:color="auto"/>
        <w:left w:val="none" w:sz="0" w:space="0" w:color="auto"/>
        <w:bottom w:val="none" w:sz="0" w:space="0" w:color="auto"/>
        <w:right w:val="none" w:sz="0" w:space="0" w:color="auto"/>
      </w:divBdr>
    </w:div>
    <w:div w:id="1329211792">
      <w:bodyDiv w:val="1"/>
      <w:marLeft w:val="0"/>
      <w:marRight w:val="0"/>
      <w:marTop w:val="0"/>
      <w:marBottom w:val="0"/>
      <w:divBdr>
        <w:top w:val="none" w:sz="0" w:space="0" w:color="auto"/>
        <w:left w:val="none" w:sz="0" w:space="0" w:color="auto"/>
        <w:bottom w:val="none" w:sz="0" w:space="0" w:color="auto"/>
        <w:right w:val="none" w:sz="0" w:space="0" w:color="auto"/>
      </w:divBdr>
    </w:div>
    <w:div w:id="1329601486">
      <w:bodyDiv w:val="1"/>
      <w:marLeft w:val="0"/>
      <w:marRight w:val="0"/>
      <w:marTop w:val="0"/>
      <w:marBottom w:val="0"/>
      <w:divBdr>
        <w:top w:val="none" w:sz="0" w:space="0" w:color="auto"/>
        <w:left w:val="none" w:sz="0" w:space="0" w:color="auto"/>
        <w:bottom w:val="none" w:sz="0" w:space="0" w:color="auto"/>
        <w:right w:val="none" w:sz="0" w:space="0" w:color="auto"/>
      </w:divBdr>
    </w:div>
    <w:div w:id="1329867942">
      <w:bodyDiv w:val="1"/>
      <w:marLeft w:val="0"/>
      <w:marRight w:val="0"/>
      <w:marTop w:val="0"/>
      <w:marBottom w:val="0"/>
      <w:divBdr>
        <w:top w:val="none" w:sz="0" w:space="0" w:color="auto"/>
        <w:left w:val="none" w:sz="0" w:space="0" w:color="auto"/>
        <w:bottom w:val="none" w:sz="0" w:space="0" w:color="auto"/>
        <w:right w:val="none" w:sz="0" w:space="0" w:color="auto"/>
      </w:divBdr>
    </w:div>
    <w:div w:id="1330906090">
      <w:bodyDiv w:val="1"/>
      <w:marLeft w:val="0"/>
      <w:marRight w:val="0"/>
      <w:marTop w:val="0"/>
      <w:marBottom w:val="0"/>
      <w:divBdr>
        <w:top w:val="none" w:sz="0" w:space="0" w:color="auto"/>
        <w:left w:val="none" w:sz="0" w:space="0" w:color="auto"/>
        <w:bottom w:val="none" w:sz="0" w:space="0" w:color="auto"/>
        <w:right w:val="none" w:sz="0" w:space="0" w:color="auto"/>
      </w:divBdr>
    </w:div>
    <w:div w:id="1330984742">
      <w:bodyDiv w:val="1"/>
      <w:marLeft w:val="0"/>
      <w:marRight w:val="0"/>
      <w:marTop w:val="0"/>
      <w:marBottom w:val="0"/>
      <w:divBdr>
        <w:top w:val="none" w:sz="0" w:space="0" w:color="auto"/>
        <w:left w:val="none" w:sz="0" w:space="0" w:color="auto"/>
        <w:bottom w:val="none" w:sz="0" w:space="0" w:color="auto"/>
        <w:right w:val="none" w:sz="0" w:space="0" w:color="auto"/>
      </w:divBdr>
    </w:div>
    <w:div w:id="1331328382">
      <w:bodyDiv w:val="1"/>
      <w:marLeft w:val="0"/>
      <w:marRight w:val="0"/>
      <w:marTop w:val="0"/>
      <w:marBottom w:val="0"/>
      <w:divBdr>
        <w:top w:val="none" w:sz="0" w:space="0" w:color="auto"/>
        <w:left w:val="none" w:sz="0" w:space="0" w:color="auto"/>
        <w:bottom w:val="none" w:sz="0" w:space="0" w:color="auto"/>
        <w:right w:val="none" w:sz="0" w:space="0" w:color="auto"/>
      </w:divBdr>
    </w:div>
    <w:div w:id="1333220934">
      <w:bodyDiv w:val="1"/>
      <w:marLeft w:val="0"/>
      <w:marRight w:val="0"/>
      <w:marTop w:val="0"/>
      <w:marBottom w:val="0"/>
      <w:divBdr>
        <w:top w:val="none" w:sz="0" w:space="0" w:color="auto"/>
        <w:left w:val="none" w:sz="0" w:space="0" w:color="auto"/>
        <w:bottom w:val="none" w:sz="0" w:space="0" w:color="auto"/>
        <w:right w:val="none" w:sz="0" w:space="0" w:color="auto"/>
      </w:divBdr>
    </w:div>
    <w:div w:id="1333679373">
      <w:bodyDiv w:val="1"/>
      <w:marLeft w:val="0"/>
      <w:marRight w:val="0"/>
      <w:marTop w:val="0"/>
      <w:marBottom w:val="0"/>
      <w:divBdr>
        <w:top w:val="none" w:sz="0" w:space="0" w:color="auto"/>
        <w:left w:val="none" w:sz="0" w:space="0" w:color="auto"/>
        <w:bottom w:val="none" w:sz="0" w:space="0" w:color="auto"/>
        <w:right w:val="none" w:sz="0" w:space="0" w:color="auto"/>
      </w:divBdr>
    </w:div>
    <w:div w:id="1333992189">
      <w:bodyDiv w:val="1"/>
      <w:marLeft w:val="0"/>
      <w:marRight w:val="0"/>
      <w:marTop w:val="0"/>
      <w:marBottom w:val="0"/>
      <w:divBdr>
        <w:top w:val="none" w:sz="0" w:space="0" w:color="auto"/>
        <w:left w:val="none" w:sz="0" w:space="0" w:color="auto"/>
        <w:bottom w:val="none" w:sz="0" w:space="0" w:color="auto"/>
        <w:right w:val="none" w:sz="0" w:space="0" w:color="auto"/>
      </w:divBdr>
    </w:div>
    <w:div w:id="1335720156">
      <w:bodyDiv w:val="1"/>
      <w:marLeft w:val="0"/>
      <w:marRight w:val="0"/>
      <w:marTop w:val="0"/>
      <w:marBottom w:val="0"/>
      <w:divBdr>
        <w:top w:val="none" w:sz="0" w:space="0" w:color="auto"/>
        <w:left w:val="none" w:sz="0" w:space="0" w:color="auto"/>
        <w:bottom w:val="none" w:sz="0" w:space="0" w:color="auto"/>
        <w:right w:val="none" w:sz="0" w:space="0" w:color="auto"/>
      </w:divBdr>
    </w:div>
    <w:div w:id="1337807372">
      <w:bodyDiv w:val="1"/>
      <w:marLeft w:val="0"/>
      <w:marRight w:val="0"/>
      <w:marTop w:val="0"/>
      <w:marBottom w:val="0"/>
      <w:divBdr>
        <w:top w:val="none" w:sz="0" w:space="0" w:color="auto"/>
        <w:left w:val="none" w:sz="0" w:space="0" w:color="auto"/>
        <w:bottom w:val="none" w:sz="0" w:space="0" w:color="auto"/>
        <w:right w:val="none" w:sz="0" w:space="0" w:color="auto"/>
      </w:divBdr>
    </w:div>
    <w:div w:id="1339163772">
      <w:bodyDiv w:val="1"/>
      <w:marLeft w:val="0"/>
      <w:marRight w:val="0"/>
      <w:marTop w:val="0"/>
      <w:marBottom w:val="0"/>
      <w:divBdr>
        <w:top w:val="none" w:sz="0" w:space="0" w:color="auto"/>
        <w:left w:val="none" w:sz="0" w:space="0" w:color="auto"/>
        <w:bottom w:val="none" w:sz="0" w:space="0" w:color="auto"/>
        <w:right w:val="none" w:sz="0" w:space="0" w:color="auto"/>
      </w:divBdr>
    </w:div>
    <w:div w:id="1340348656">
      <w:bodyDiv w:val="1"/>
      <w:marLeft w:val="0"/>
      <w:marRight w:val="0"/>
      <w:marTop w:val="0"/>
      <w:marBottom w:val="0"/>
      <w:divBdr>
        <w:top w:val="none" w:sz="0" w:space="0" w:color="auto"/>
        <w:left w:val="none" w:sz="0" w:space="0" w:color="auto"/>
        <w:bottom w:val="none" w:sz="0" w:space="0" w:color="auto"/>
        <w:right w:val="none" w:sz="0" w:space="0" w:color="auto"/>
      </w:divBdr>
    </w:div>
    <w:div w:id="1342322041">
      <w:bodyDiv w:val="1"/>
      <w:marLeft w:val="0"/>
      <w:marRight w:val="0"/>
      <w:marTop w:val="0"/>
      <w:marBottom w:val="0"/>
      <w:divBdr>
        <w:top w:val="none" w:sz="0" w:space="0" w:color="auto"/>
        <w:left w:val="none" w:sz="0" w:space="0" w:color="auto"/>
        <w:bottom w:val="none" w:sz="0" w:space="0" w:color="auto"/>
        <w:right w:val="none" w:sz="0" w:space="0" w:color="auto"/>
      </w:divBdr>
    </w:div>
    <w:div w:id="1343126909">
      <w:bodyDiv w:val="1"/>
      <w:marLeft w:val="0"/>
      <w:marRight w:val="0"/>
      <w:marTop w:val="0"/>
      <w:marBottom w:val="0"/>
      <w:divBdr>
        <w:top w:val="none" w:sz="0" w:space="0" w:color="auto"/>
        <w:left w:val="none" w:sz="0" w:space="0" w:color="auto"/>
        <w:bottom w:val="none" w:sz="0" w:space="0" w:color="auto"/>
        <w:right w:val="none" w:sz="0" w:space="0" w:color="auto"/>
      </w:divBdr>
    </w:div>
    <w:div w:id="1345673524">
      <w:bodyDiv w:val="1"/>
      <w:marLeft w:val="0"/>
      <w:marRight w:val="0"/>
      <w:marTop w:val="0"/>
      <w:marBottom w:val="0"/>
      <w:divBdr>
        <w:top w:val="none" w:sz="0" w:space="0" w:color="auto"/>
        <w:left w:val="none" w:sz="0" w:space="0" w:color="auto"/>
        <w:bottom w:val="none" w:sz="0" w:space="0" w:color="auto"/>
        <w:right w:val="none" w:sz="0" w:space="0" w:color="auto"/>
      </w:divBdr>
    </w:div>
    <w:div w:id="1348677115">
      <w:bodyDiv w:val="1"/>
      <w:marLeft w:val="0"/>
      <w:marRight w:val="0"/>
      <w:marTop w:val="0"/>
      <w:marBottom w:val="0"/>
      <w:divBdr>
        <w:top w:val="none" w:sz="0" w:space="0" w:color="auto"/>
        <w:left w:val="none" w:sz="0" w:space="0" w:color="auto"/>
        <w:bottom w:val="none" w:sz="0" w:space="0" w:color="auto"/>
        <w:right w:val="none" w:sz="0" w:space="0" w:color="auto"/>
      </w:divBdr>
    </w:div>
    <w:div w:id="1349600886">
      <w:bodyDiv w:val="1"/>
      <w:marLeft w:val="0"/>
      <w:marRight w:val="0"/>
      <w:marTop w:val="0"/>
      <w:marBottom w:val="0"/>
      <w:divBdr>
        <w:top w:val="none" w:sz="0" w:space="0" w:color="auto"/>
        <w:left w:val="none" w:sz="0" w:space="0" w:color="auto"/>
        <w:bottom w:val="none" w:sz="0" w:space="0" w:color="auto"/>
        <w:right w:val="none" w:sz="0" w:space="0" w:color="auto"/>
      </w:divBdr>
    </w:div>
    <w:div w:id="1350716037">
      <w:bodyDiv w:val="1"/>
      <w:marLeft w:val="0"/>
      <w:marRight w:val="0"/>
      <w:marTop w:val="0"/>
      <w:marBottom w:val="0"/>
      <w:divBdr>
        <w:top w:val="none" w:sz="0" w:space="0" w:color="auto"/>
        <w:left w:val="none" w:sz="0" w:space="0" w:color="auto"/>
        <w:bottom w:val="none" w:sz="0" w:space="0" w:color="auto"/>
        <w:right w:val="none" w:sz="0" w:space="0" w:color="auto"/>
      </w:divBdr>
    </w:div>
    <w:div w:id="1352222251">
      <w:bodyDiv w:val="1"/>
      <w:marLeft w:val="0"/>
      <w:marRight w:val="0"/>
      <w:marTop w:val="0"/>
      <w:marBottom w:val="0"/>
      <w:divBdr>
        <w:top w:val="none" w:sz="0" w:space="0" w:color="auto"/>
        <w:left w:val="none" w:sz="0" w:space="0" w:color="auto"/>
        <w:bottom w:val="none" w:sz="0" w:space="0" w:color="auto"/>
        <w:right w:val="none" w:sz="0" w:space="0" w:color="auto"/>
      </w:divBdr>
    </w:div>
    <w:div w:id="1352993362">
      <w:bodyDiv w:val="1"/>
      <w:marLeft w:val="0"/>
      <w:marRight w:val="0"/>
      <w:marTop w:val="0"/>
      <w:marBottom w:val="0"/>
      <w:divBdr>
        <w:top w:val="none" w:sz="0" w:space="0" w:color="auto"/>
        <w:left w:val="none" w:sz="0" w:space="0" w:color="auto"/>
        <w:bottom w:val="none" w:sz="0" w:space="0" w:color="auto"/>
        <w:right w:val="none" w:sz="0" w:space="0" w:color="auto"/>
      </w:divBdr>
    </w:div>
    <w:div w:id="1353339694">
      <w:bodyDiv w:val="1"/>
      <w:marLeft w:val="0"/>
      <w:marRight w:val="0"/>
      <w:marTop w:val="0"/>
      <w:marBottom w:val="0"/>
      <w:divBdr>
        <w:top w:val="none" w:sz="0" w:space="0" w:color="auto"/>
        <w:left w:val="none" w:sz="0" w:space="0" w:color="auto"/>
        <w:bottom w:val="none" w:sz="0" w:space="0" w:color="auto"/>
        <w:right w:val="none" w:sz="0" w:space="0" w:color="auto"/>
      </w:divBdr>
    </w:div>
    <w:div w:id="1353454059">
      <w:bodyDiv w:val="1"/>
      <w:marLeft w:val="0"/>
      <w:marRight w:val="0"/>
      <w:marTop w:val="0"/>
      <w:marBottom w:val="0"/>
      <w:divBdr>
        <w:top w:val="none" w:sz="0" w:space="0" w:color="auto"/>
        <w:left w:val="none" w:sz="0" w:space="0" w:color="auto"/>
        <w:bottom w:val="none" w:sz="0" w:space="0" w:color="auto"/>
        <w:right w:val="none" w:sz="0" w:space="0" w:color="auto"/>
      </w:divBdr>
    </w:div>
    <w:div w:id="1353605597">
      <w:bodyDiv w:val="1"/>
      <w:marLeft w:val="0"/>
      <w:marRight w:val="0"/>
      <w:marTop w:val="0"/>
      <w:marBottom w:val="0"/>
      <w:divBdr>
        <w:top w:val="none" w:sz="0" w:space="0" w:color="auto"/>
        <w:left w:val="none" w:sz="0" w:space="0" w:color="auto"/>
        <w:bottom w:val="none" w:sz="0" w:space="0" w:color="auto"/>
        <w:right w:val="none" w:sz="0" w:space="0" w:color="auto"/>
      </w:divBdr>
    </w:div>
    <w:div w:id="1354460669">
      <w:bodyDiv w:val="1"/>
      <w:marLeft w:val="0"/>
      <w:marRight w:val="0"/>
      <w:marTop w:val="0"/>
      <w:marBottom w:val="0"/>
      <w:divBdr>
        <w:top w:val="none" w:sz="0" w:space="0" w:color="auto"/>
        <w:left w:val="none" w:sz="0" w:space="0" w:color="auto"/>
        <w:bottom w:val="none" w:sz="0" w:space="0" w:color="auto"/>
        <w:right w:val="none" w:sz="0" w:space="0" w:color="auto"/>
      </w:divBdr>
    </w:div>
    <w:div w:id="1357341590">
      <w:bodyDiv w:val="1"/>
      <w:marLeft w:val="0"/>
      <w:marRight w:val="0"/>
      <w:marTop w:val="0"/>
      <w:marBottom w:val="0"/>
      <w:divBdr>
        <w:top w:val="none" w:sz="0" w:space="0" w:color="auto"/>
        <w:left w:val="none" w:sz="0" w:space="0" w:color="auto"/>
        <w:bottom w:val="none" w:sz="0" w:space="0" w:color="auto"/>
        <w:right w:val="none" w:sz="0" w:space="0" w:color="auto"/>
      </w:divBdr>
    </w:div>
    <w:div w:id="1359623367">
      <w:bodyDiv w:val="1"/>
      <w:marLeft w:val="0"/>
      <w:marRight w:val="0"/>
      <w:marTop w:val="0"/>
      <w:marBottom w:val="0"/>
      <w:divBdr>
        <w:top w:val="none" w:sz="0" w:space="0" w:color="auto"/>
        <w:left w:val="none" w:sz="0" w:space="0" w:color="auto"/>
        <w:bottom w:val="none" w:sz="0" w:space="0" w:color="auto"/>
        <w:right w:val="none" w:sz="0" w:space="0" w:color="auto"/>
      </w:divBdr>
    </w:div>
    <w:div w:id="1360281310">
      <w:bodyDiv w:val="1"/>
      <w:marLeft w:val="0"/>
      <w:marRight w:val="0"/>
      <w:marTop w:val="0"/>
      <w:marBottom w:val="0"/>
      <w:divBdr>
        <w:top w:val="none" w:sz="0" w:space="0" w:color="auto"/>
        <w:left w:val="none" w:sz="0" w:space="0" w:color="auto"/>
        <w:bottom w:val="none" w:sz="0" w:space="0" w:color="auto"/>
        <w:right w:val="none" w:sz="0" w:space="0" w:color="auto"/>
      </w:divBdr>
    </w:div>
    <w:div w:id="1361249235">
      <w:bodyDiv w:val="1"/>
      <w:marLeft w:val="0"/>
      <w:marRight w:val="0"/>
      <w:marTop w:val="0"/>
      <w:marBottom w:val="0"/>
      <w:divBdr>
        <w:top w:val="none" w:sz="0" w:space="0" w:color="auto"/>
        <w:left w:val="none" w:sz="0" w:space="0" w:color="auto"/>
        <w:bottom w:val="none" w:sz="0" w:space="0" w:color="auto"/>
        <w:right w:val="none" w:sz="0" w:space="0" w:color="auto"/>
      </w:divBdr>
    </w:div>
    <w:div w:id="1362315082">
      <w:bodyDiv w:val="1"/>
      <w:marLeft w:val="0"/>
      <w:marRight w:val="0"/>
      <w:marTop w:val="0"/>
      <w:marBottom w:val="0"/>
      <w:divBdr>
        <w:top w:val="none" w:sz="0" w:space="0" w:color="auto"/>
        <w:left w:val="none" w:sz="0" w:space="0" w:color="auto"/>
        <w:bottom w:val="none" w:sz="0" w:space="0" w:color="auto"/>
        <w:right w:val="none" w:sz="0" w:space="0" w:color="auto"/>
      </w:divBdr>
    </w:div>
    <w:div w:id="1362434252">
      <w:bodyDiv w:val="1"/>
      <w:marLeft w:val="0"/>
      <w:marRight w:val="0"/>
      <w:marTop w:val="0"/>
      <w:marBottom w:val="0"/>
      <w:divBdr>
        <w:top w:val="none" w:sz="0" w:space="0" w:color="auto"/>
        <w:left w:val="none" w:sz="0" w:space="0" w:color="auto"/>
        <w:bottom w:val="none" w:sz="0" w:space="0" w:color="auto"/>
        <w:right w:val="none" w:sz="0" w:space="0" w:color="auto"/>
      </w:divBdr>
    </w:div>
    <w:div w:id="1362785085">
      <w:bodyDiv w:val="1"/>
      <w:marLeft w:val="0"/>
      <w:marRight w:val="0"/>
      <w:marTop w:val="0"/>
      <w:marBottom w:val="0"/>
      <w:divBdr>
        <w:top w:val="none" w:sz="0" w:space="0" w:color="auto"/>
        <w:left w:val="none" w:sz="0" w:space="0" w:color="auto"/>
        <w:bottom w:val="none" w:sz="0" w:space="0" w:color="auto"/>
        <w:right w:val="none" w:sz="0" w:space="0" w:color="auto"/>
      </w:divBdr>
    </w:div>
    <w:div w:id="1366757612">
      <w:bodyDiv w:val="1"/>
      <w:marLeft w:val="0"/>
      <w:marRight w:val="0"/>
      <w:marTop w:val="0"/>
      <w:marBottom w:val="0"/>
      <w:divBdr>
        <w:top w:val="none" w:sz="0" w:space="0" w:color="auto"/>
        <w:left w:val="none" w:sz="0" w:space="0" w:color="auto"/>
        <w:bottom w:val="none" w:sz="0" w:space="0" w:color="auto"/>
        <w:right w:val="none" w:sz="0" w:space="0" w:color="auto"/>
      </w:divBdr>
    </w:div>
    <w:div w:id="1367213296">
      <w:bodyDiv w:val="1"/>
      <w:marLeft w:val="0"/>
      <w:marRight w:val="0"/>
      <w:marTop w:val="0"/>
      <w:marBottom w:val="0"/>
      <w:divBdr>
        <w:top w:val="none" w:sz="0" w:space="0" w:color="auto"/>
        <w:left w:val="none" w:sz="0" w:space="0" w:color="auto"/>
        <w:bottom w:val="none" w:sz="0" w:space="0" w:color="auto"/>
        <w:right w:val="none" w:sz="0" w:space="0" w:color="auto"/>
      </w:divBdr>
    </w:div>
    <w:div w:id="1370452337">
      <w:bodyDiv w:val="1"/>
      <w:marLeft w:val="0"/>
      <w:marRight w:val="0"/>
      <w:marTop w:val="0"/>
      <w:marBottom w:val="0"/>
      <w:divBdr>
        <w:top w:val="none" w:sz="0" w:space="0" w:color="auto"/>
        <w:left w:val="none" w:sz="0" w:space="0" w:color="auto"/>
        <w:bottom w:val="none" w:sz="0" w:space="0" w:color="auto"/>
        <w:right w:val="none" w:sz="0" w:space="0" w:color="auto"/>
      </w:divBdr>
    </w:div>
    <w:div w:id="1371346279">
      <w:bodyDiv w:val="1"/>
      <w:marLeft w:val="0"/>
      <w:marRight w:val="0"/>
      <w:marTop w:val="0"/>
      <w:marBottom w:val="0"/>
      <w:divBdr>
        <w:top w:val="none" w:sz="0" w:space="0" w:color="auto"/>
        <w:left w:val="none" w:sz="0" w:space="0" w:color="auto"/>
        <w:bottom w:val="none" w:sz="0" w:space="0" w:color="auto"/>
        <w:right w:val="none" w:sz="0" w:space="0" w:color="auto"/>
      </w:divBdr>
    </w:div>
    <w:div w:id="1371491648">
      <w:bodyDiv w:val="1"/>
      <w:marLeft w:val="0"/>
      <w:marRight w:val="0"/>
      <w:marTop w:val="0"/>
      <w:marBottom w:val="0"/>
      <w:divBdr>
        <w:top w:val="none" w:sz="0" w:space="0" w:color="auto"/>
        <w:left w:val="none" w:sz="0" w:space="0" w:color="auto"/>
        <w:bottom w:val="none" w:sz="0" w:space="0" w:color="auto"/>
        <w:right w:val="none" w:sz="0" w:space="0" w:color="auto"/>
      </w:divBdr>
    </w:div>
    <w:div w:id="1372923692">
      <w:bodyDiv w:val="1"/>
      <w:marLeft w:val="0"/>
      <w:marRight w:val="0"/>
      <w:marTop w:val="0"/>
      <w:marBottom w:val="0"/>
      <w:divBdr>
        <w:top w:val="none" w:sz="0" w:space="0" w:color="auto"/>
        <w:left w:val="none" w:sz="0" w:space="0" w:color="auto"/>
        <w:bottom w:val="none" w:sz="0" w:space="0" w:color="auto"/>
        <w:right w:val="none" w:sz="0" w:space="0" w:color="auto"/>
      </w:divBdr>
    </w:div>
    <w:div w:id="1373578326">
      <w:bodyDiv w:val="1"/>
      <w:marLeft w:val="0"/>
      <w:marRight w:val="0"/>
      <w:marTop w:val="0"/>
      <w:marBottom w:val="0"/>
      <w:divBdr>
        <w:top w:val="none" w:sz="0" w:space="0" w:color="auto"/>
        <w:left w:val="none" w:sz="0" w:space="0" w:color="auto"/>
        <w:bottom w:val="none" w:sz="0" w:space="0" w:color="auto"/>
        <w:right w:val="none" w:sz="0" w:space="0" w:color="auto"/>
      </w:divBdr>
    </w:div>
    <w:div w:id="1373991753">
      <w:bodyDiv w:val="1"/>
      <w:marLeft w:val="0"/>
      <w:marRight w:val="0"/>
      <w:marTop w:val="0"/>
      <w:marBottom w:val="0"/>
      <w:divBdr>
        <w:top w:val="none" w:sz="0" w:space="0" w:color="auto"/>
        <w:left w:val="none" w:sz="0" w:space="0" w:color="auto"/>
        <w:bottom w:val="none" w:sz="0" w:space="0" w:color="auto"/>
        <w:right w:val="none" w:sz="0" w:space="0" w:color="auto"/>
      </w:divBdr>
    </w:div>
    <w:div w:id="1375229207">
      <w:bodyDiv w:val="1"/>
      <w:marLeft w:val="0"/>
      <w:marRight w:val="0"/>
      <w:marTop w:val="0"/>
      <w:marBottom w:val="0"/>
      <w:divBdr>
        <w:top w:val="none" w:sz="0" w:space="0" w:color="auto"/>
        <w:left w:val="none" w:sz="0" w:space="0" w:color="auto"/>
        <w:bottom w:val="none" w:sz="0" w:space="0" w:color="auto"/>
        <w:right w:val="none" w:sz="0" w:space="0" w:color="auto"/>
      </w:divBdr>
    </w:div>
    <w:div w:id="1376197753">
      <w:bodyDiv w:val="1"/>
      <w:marLeft w:val="0"/>
      <w:marRight w:val="0"/>
      <w:marTop w:val="0"/>
      <w:marBottom w:val="0"/>
      <w:divBdr>
        <w:top w:val="none" w:sz="0" w:space="0" w:color="auto"/>
        <w:left w:val="none" w:sz="0" w:space="0" w:color="auto"/>
        <w:bottom w:val="none" w:sz="0" w:space="0" w:color="auto"/>
        <w:right w:val="none" w:sz="0" w:space="0" w:color="auto"/>
      </w:divBdr>
    </w:div>
    <w:div w:id="1376352428">
      <w:bodyDiv w:val="1"/>
      <w:marLeft w:val="0"/>
      <w:marRight w:val="0"/>
      <w:marTop w:val="0"/>
      <w:marBottom w:val="0"/>
      <w:divBdr>
        <w:top w:val="none" w:sz="0" w:space="0" w:color="auto"/>
        <w:left w:val="none" w:sz="0" w:space="0" w:color="auto"/>
        <w:bottom w:val="none" w:sz="0" w:space="0" w:color="auto"/>
        <w:right w:val="none" w:sz="0" w:space="0" w:color="auto"/>
      </w:divBdr>
    </w:div>
    <w:div w:id="1376663200">
      <w:bodyDiv w:val="1"/>
      <w:marLeft w:val="0"/>
      <w:marRight w:val="0"/>
      <w:marTop w:val="0"/>
      <w:marBottom w:val="0"/>
      <w:divBdr>
        <w:top w:val="none" w:sz="0" w:space="0" w:color="auto"/>
        <w:left w:val="none" w:sz="0" w:space="0" w:color="auto"/>
        <w:bottom w:val="none" w:sz="0" w:space="0" w:color="auto"/>
        <w:right w:val="none" w:sz="0" w:space="0" w:color="auto"/>
      </w:divBdr>
    </w:div>
    <w:div w:id="1377119242">
      <w:bodyDiv w:val="1"/>
      <w:marLeft w:val="0"/>
      <w:marRight w:val="0"/>
      <w:marTop w:val="0"/>
      <w:marBottom w:val="0"/>
      <w:divBdr>
        <w:top w:val="none" w:sz="0" w:space="0" w:color="auto"/>
        <w:left w:val="none" w:sz="0" w:space="0" w:color="auto"/>
        <w:bottom w:val="none" w:sz="0" w:space="0" w:color="auto"/>
        <w:right w:val="none" w:sz="0" w:space="0" w:color="auto"/>
      </w:divBdr>
    </w:div>
    <w:div w:id="1379356039">
      <w:bodyDiv w:val="1"/>
      <w:marLeft w:val="0"/>
      <w:marRight w:val="0"/>
      <w:marTop w:val="0"/>
      <w:marBottom w:val="0"/>
      <w:divBdr>
        <w:top w:val="none" w:sz="0" w:space="0" w:color="auto"/>
        <w:left w:val="none" w:sz="0" w:space="0" w:color="auto"/>
        <w:bottom w:val="none" w:sz="0" w:space="0" w:color="auto"/>
        <w:right w:val="none" w:sz="0" w:space="0" w:color="auto"/>
      </w:divBdr>
    </w:div>
    <w:div w:id="1379819764">
      <w:bodyDiv w:val="1"/>
      <w:marLeft w:val="0"/>
      <w:marRight w:val="0"/>
      <w:marTop w:val="0"/>
      <w:marBottom w:val="0"/>
      <w:divBdr>
        <w:top w:val="none" w:sz="0" w:space="0" w:color="auto"/>
        <w:left w:val="none" w:sz="0" w:space="0" w:color="auto"/>
        <w:bottom w:val="none" w:sz="0" w:space="0" w:color="auto"/>
        <w:right w:val="none" w:sz="0" w:space="0" w:color="auto"/>
      </w:divBdr>
    </w:div>
    <w:div w:id="1380083788">
      <w:bodyDiv w:val="1"/>
      <w:marLeft w:val="0"/>
      <w:marRight w:val="0"/>
      <w:marTop w:val="0"/>
      <w:marBottom w:val="0"/>
      <w:divBdr>
        <w:top w:val="none" w:sz="0" w:space="0" w:color="auto"/>
        <w:left w:val="none" w:sz="0" w:space="0" w:color="auto"/>
        <w:bottom w:val="none" w:sz="0" w:space="0" w:color="auto"/>
        <w:right w:val="none" w:sz="0" w:space="0" w:color="auto"/>
      </w:divBdr>
    </w:div>
    <w:div w:id="1381054196">
      <w:bodyDiv w:val="1"/>
      <w:marLeft w:val="0"/>
      <w:marRight w:val="0"/>
      <w:marTop w:val="0"/>
      <w:marBottom w:val="0"/>
      <w:divBdr>
        <w:top w:val="none" w:sz="0" w:space="0" w:color="auto"/>
        <w:left w:val="none" w:sz="0" w:space="0" w:color="auto"/>
        <w:bottom w:val="none" w:sz="0" w:space="0" w:color="auto"/>
        <w:right w:val="none" w:sz="0" w:space="0" w:color="auto"/>
      </w:divBdr>
    </w:div>
    <w:div w:id="1381708355">
      <w:bodyDiv w:val="1"/>
      <w:marLeft w:val="0"/>
      <w:marRight w:val="0"/>
      <w:marTop w:val="0"/>
      <w:marBottom w:val="0"/>
      <w:divBdr>
        <w:top w:val="none" w:sz="0" w:space="0" w:color="auto"/>
        <w:left w:val="none" w:sz="0" w:space="0" w:color="auto"/>
        <w:bottom w:val="none" w:sz="0" w:space="0" w:color="auto"/>
        <w:right w:val="none" w:sz="0" w:space="0" w:color="auto"/>
      </w:divBdr>
    </w:div>
    <w:div w:id="1382825059">
      <w:bodyDiv w:val="1"/>
      <w:marLeft w:val="0"/>
      <w:marRight w:val="0"/>
      <w:marTop w:val="0"/>
      <w:marBottom w:val="0"/>
      <w:divBdr>
        <w:top w:val="none" w:sz="0" w:space="0" w:color="auto"/>
        <w:left w:val="none" w:sz="0" w:space="0" w:color="auto"/>
        <w:bottom w:val="none" w:sz="0" w:space="0" w:color="auto"/>
        <w:right w:val="none" w:sz="0" w:space="0" w:color="auto"/>
      </w:divBdr>
    </w:div>
    <w:div w:id="1383213475">
      <w:bodyDiv w:val="1"/>
      <w:marLeft w:val="0"/>
      <w:marRight w:val="0"/>
      <w:marTop w:val="0"/>
      <w:marBottom w:val="0"/>
      <w:divBdr>
        <w:top w:val="none" w:sz="0" w:space="0" w:color="auto"/>
        <w:left w:val="none" w:sz="0" w:space="0" w:color="auto"/>
        <w:bottom w:val="none" w:sz="0" w:space="0" w:color="auto"/>
        <w:right w:val="none" w:sz="0" w:space="0" w:color="auto"/>
      </w:divBdr>
    </w:div>
    <w:div w:id="1383821844">
      <w:bodyDiv w:val="1"/>
      <w:marLeft w:val="0"/>
      <w:marRight w:val="0"/>
      <w:marTop w:val="0"/>
      <w:marBottom w:val="0"/>
      <w:divBdr>
        <w:top w:val="none" w:sz="0" w:space="0" w:color="auto"/>
        <w:left w:val="none" w:sz="0" w:space="0" w:color="auto"/>
        <w:bottom w:val="none" w:sz="0" w:space="0" w:color="auto"/>
        <w:right w:val="none" w:sz="0" w:space="0" w:color="auto"/>
      </w:divBdr>
    </w:div>
    <w:div w:id="1383948018">
      <w:bodyDiv w:val="1"/>
      <w:marLeft w:val="0"/>
      <w:marRight w:val="0"/>
      <w:marTop w:val="0"/>
      <w:marBottom w:val="0"/>
      <w:divBdr>
        <w:top w:val="none" w:sz="0" w:space="0" w:color="auto"/>
        <w:left w:val="none" w:sz="0" w:space="0" w:color="auto"/>
        <w:bottom w:val="none" w:sz="0" w:space="0" w:color="auto"/>
        <w:right w:val="none" w:sz="0" w:space="0" w:color="auto"/>
      </w:divBdr>
    </w:div>
    <w:div w:id="1384603336">
      <w:bodyDiv w:val="1"/>
      <w:marLeft w:val="0"/>
      <w:marRight w:val="0"/>
      <w:marTop w:val="0"/>
      <w:marBottom w:val="0"/>
      <w:divBdr>
        <w:top w:val="none" w:sz="0" w:space="0" w:color="auto"/>
        <w:left w:val="none" w:sz="0" w:space="0" w:color="auto"/>
        <w:bottom w:val="none" w:sz="0" w:space="0" w:color="auto"/>
        <w:right w:val="none" w:sz="0" w:space="0" w:color="auto"/>
      </w:divBdr>
    </w:div>
    <w:div w:id="1384791222">
      <w:bodyDiv w:val="1"/>
      <w:marLeft w:val="0"/>
      <w:marRight w:val="0"/>
      <w:marTop w:val="0"/>
      <w:marBottom w:val="0"/>
      <w:divBdr>
        <w:top w:val="none" w:sz="0" w:space="0" w:color="auto"/>
        <w:left w:val="none" w:sz="0" w:space="0" w:color="auto"/>
        <w:bottom w:val="none" w:sz="0" w:space="0" w:color="auto"/>
        <w:right w:val="none" w:sz="0" w:space="0" w:color="auto"/>
      </w:divBdr>
    </w:div>
    <w:div w:id="1384864382">
      <w:bodyDiv w:val="1"/>
      <w:marLeft w:val="0"/>
      <w:marRight w:val="0"/>
      <w:marTop w:val="0"/>
      <w:marBottom w:val="0"/>
      <w:divBdr>
        <w:top w:val="none" w:sz="0" w:space="0" w:color="auto"/>
        <w:left w:val="none" w:sz="0" w:space="0" w:color="auto"/>
        <w:bottom w:val="none" w:sz="0" w:space="0" w:color="auto"/>
        <w:right w:val="none" w:sz="0" w:space="0" w:color="auto"/>
      </w:divBdr>
    </w:div>
    <w:div w:id="1385449592">
      <w:bodyDiv w:val="1"/>
      <w:marLeft w:val="0"/>
      <w:marRight w:val="0"/>
      <w:marTop w:val="0"/>
      <w:marBottom w:val="0"/>
      <w:divBdr>
        <w:top w:val="none" w:sz="0" w:space="0" w:color="auto"/>
        <w:left w:val="none" w:sz="0" w:space="0" w:color="auto"/>
        <w:bottom w:val="none" w:sz="0" w:space="0" w:color="auto"/>
        <w:right w:val="none" w:sz="0" w:space="0" w:color="auto"/>
      </w:divBdr>
    </w:div>
    <w:div w:id="1385715450">
      <w:bodyDiv w:val="1"/>
      <w:marLeft w:val="0"/>
      <w:marRight w:val="0"/>
      <w:marTop w:val="0"/>
      <w:marBottom w:val="0"/>
      <w:divBdr>
        <w:top w:val="none" w:sz="0" w:space="0" w:color="auto"/>
        <w:left w:val="none" w:sz="0" w:space="0" w:color="auto"/>
        <w:bottom w:val="none" w:sz="0" w:space="0" w:color="auto"/>
        <w:right w:val="none" w:sz="0" w:space="0" w:color="auto"/>
      </w:divBdr>
    </w:div>
    <w:div w:id="1386175398">
      <w:bodyDiv w:val="1"/>
      <w:marLeft w:val="0"/>
      <w:marRight w:val="0"/>
      <w:marTop w:val="0"/>
      <w:marBottom w:val="0"/>
      <w:divBdr>
        <w:top w:val="none" w:sz="0" w:space="0" w:color="auto"/>
        <w:left w:val="none" w:sz="0" w:space="0" w:color="auto"/>
        <w:bottom w:val="none" w:sz="0" w:space="0" w:color="auto"/>
        <w:right w:val="none" w:sz="0" w:space="0" w:color="auto"/>
      </w:divBdr>
    </w:div>
    <w:div w:id="1386634857">
      <w:bodyDiv w:val="1"/>
      <w:marLeft w:val="0"/>
      <w:marRight w:val="0"/>
      <w:marTop w:val="0"/>
      <w:marBottom w:val="0"/>
      <w:divBdr>
        <w:top w:val="none" w:sz="0" w:space="0" w:color="auto"/>
        <w:left w:val="none" w:sz="0" w:space="0" w:color="auto"/>
        <w:bottom w:val="none" w:sz="0" w:space="0" w:color="auto"/>
        <w:right w:val="none" w:sz="0" w:space="0" w:color="auto"/>
      </w:divBdr>
    </w:div>
    <w:div w:id="1387023386">
      <w:bodyDiv w:val="1"/>
      <w:marLeft w:val="0"/>
      <w:marRight w:val="0"/>
      <w:marTop w:val="0"/>
      <w:marBottom w:val="0"/>
      <w:divBdr>
        <w:top w:val="none" w:sz="0" w:space="0" w:color="auto"/>
        <w:left w:val="none" w:sz="0" w:space="0" w:color="auto"/>
        <w:bottom w:val="none" w:sz="0" w:space="0" w:color="auto"/>
        <w:right w:val="none" w:sz="0" w:space="0" w:color="auto"/>
      </w:divBdr>
    </w:div>
    <w:div w:id="1388605947">
      <w:bodyDiv w:val="1"/>
      <w:marLeft w:val="0"/>
      <w:marRight w:val="0"/>
      <w:marTop w:val="0"/>
      <w:marBottom w:val="0"/>
      <w:divBdr>
        <w:top w:val="none" w:sz="0" w:space="0" w:color="auto"/>
        <w:left w:val="none" w:sz="0" w:space="0" w:color="auto"/>
        <w:bottom w:val="none" w:sz="0" w:space="0" w:color="auto"/>
        <w:right w:val="none" w:sz="0" w:space="0" w:color="auto"/>
      </w:divBdr>
    </w:div>
    <w:div w:id="1389456052">
      <w:bodyDiv w:val="1"/>
      <w:marLeft w:val="0"/>
      <w:marRight w:val="0"/>
      <w:marTop w:val="0"/>
      <w:marBottom w:val="0"/>
      <w:divBdr>
        <w:top w:val="none" w:sz="0" w:space="0" w:color="auto"/>
        <w:left w:val="none" w:sz="0" w:space="0" w:color="auto"/>
        <w:bottom w:val="none" w:sz="0" w:space="0" w:color="auto"/>
        <w:right w:val="none" w:sz="0" w:space="0" w:color="auto"/>
      </w:divBdr>
    </w:div>
    <w:div w:id="1391340969">
      <w:bodyDiv w:val="1"/>
      <w:marLeft w:val="0"/>
      <w:marRight w:val="0"/>
      <w:marTop w:val="0"/>
      <w:marBottom w:val="0"/>
      <w:divBdr>
        <w:top w:val="none" w:sz="0" w:space="0" w:color="auto"/>
        <w:left w:val="none" w:sz="0" w:space="0" w:color="auto"/>
        <w:bottom w:val="none" w:sz="0" w:space="0" w:color="auto"/>
        <w:right w:val="none" w:sz="0" w:space="0" w:color="auto"/>
      </w:divBdr>
    </w:div>
    <w:div w:id="1391417700">
      <w:bodyDiv w:val="1"/>
      <w:marLeft w:val="0"/>
      <w:marRight w:val="0"/>
      <w:marTop w:val="0"/>
      <w:marBottom w:val="0"/>
      <w:divBdr>
        <w:top w:val="none" w:sz="0" w:space="0" w:color="auto"/>
        <w:left w:val="none" w:sz="0" w:space="0" w:color="auto"/>
        <w:bottom w:val="none" w:sz="0" w:space="0" w:color="auto"/>
        <w:right w:val="none" w:sz="0" w:space="0" w:color="auto"/>
      </w:divBdr>
    </w:div>
    <w:div w:id="1393388050">
      <w:bodyDiv w:val="1"/>
      <w:marLeft w:val="0"/>
      <w:marRight w:val="0"/>
      <w:marTop w:val="0"/>
      <w:marBottom w:val="0"/>
      <w:divBdr>
        <w:top w:val="none" w:sz="0" w:space="0" w:color="auto"/>
        <w:left w:val="none" w:sz="0" w:space="0" w:color="auto"/>
        <w:bottom w:val="none" w:sz="0" w:space="0" w:color="auto"/>
        <w:right w:val="none" w:sz="0" w:space="0" w:color="auto"/>
      </w:divBdr>
    </w:div>
    <w:div w:id="1393432859">
      <w:bodyDiv w:val="1"/>
      <w:marLeft w:val="0"/>
      <w:marRight w:val="0"/>
      <w:marTop w:val="0"/>
      <w:marBottom w:val="0"/>
      <w:divBdr>
        <w:top w:val="none" w:sz="0" w:space="0" w:color="auto"/>
        <w:left w:val="none" w:sz="0" w:space="0" w:color="auto"/>
        <w:bottom w:val="none" w:sz="0" w:space="0" w:color="auto"/>
        <w:right w:val="none" w:sz="0" w:space="0" w:color="auto"/>
      </w:divBdr>
    </w:div>
    <w:div w:id="1396127802">
      <w:bodyDiv w:val="1"/>
      <w:marLeft w:val="0"/>
      <w:marRight w:val="0"/>
      <w:marTop w:val="0"/>
      <w:marBottom w:val="0"/>
      <w:divBdr>
        <w:top w:val="none" w:sz="0" w:space="0" w:color="auto"/>
        <w:left w:val="none" w:sz="0" w:space="0" w:color="auto"/>
        <w:bottom w:val="none" w:sz="0" w:space="0" w:color="auto"/>
        <w:right w:val="none" w:sz="0" w:space="0" w:color="auto"/>
      </w:divBdr>
    </w:div>
    <w:div w:id="1396471598">
      <w:bodyDiv w:val="1"/>
      <w:marLeft w:val="0"/>
      <w:marRight w:val="0"/>
      <w:marTop w:val="0"/>
      <w:marBottom w:val="0"/>
      <w:divBdr>
        <w:top w:val="none" w:sz="0" w:space="0" w:color="auto"/>
        <w:left w:val="none" w:sz="0" w:space="0" w:color="auto"/>
        <w:bottom w:val="none" w:sz="0" w:space="0" w:color="auto"/>
        <w:right w:val="none" w:sz="0" w:space="0" w:color="auto"/>
      </w:divBdr>
    </w:div>
    <w:div w:id="1397245560">
      <w:bodyDiv w:val="1"/>
      <w:marLeft w:val="0"/>
      <w:marRight w:val="0"/>
      <w:marTop w:val="0"/>
      <w:marBottom w:val="0"/>
      <w:divBdr>
        <w:top w:val="none" w:sz="0" w:space="0" w:color="auto"/>
        <w:left w:val="none" w:sz="0" w:space="0" w:color="auto"/>
        <w:bottom w:val="none" w:sz="0" w:space="0" w:color="auto"/>
        <w:right w:val="none" w:sz="0" w:space="0" w:color="auto"/>
      </w:divBdr>
    </w:div>
    <w:div w:id="1398821761">
      <w:bodyDiv w:val="1"/>
      <w:marLeft w:val="0"/>
      <w:marRight w:val="0"/>
      <w:marTop w:val="0"/>
      <w:marBottom w:val="0"/>
      <w:divBdr>
        <w:top w:val="none" w:sz="0" w:space="0" w:color="auto"/>
        <w:left w:val="none" w:sz="0" w:space="0" w:color="auto"/>
        <w:bottom w:val="none" w:sz="0" w:space="0" w:color="auto"/>
        <w:right w:val="none" w:sz="0" w:space="0" w:color="auto"/>
      </w:divBdr>
    </w:div>
    <w:div w:id="1401900363">
      <w:bodyDiv w:val="1"/>
      <w:marLeft w:val="0"/>
      <w:marRight w:val="0"/>
      <w:marTop w:val="0"/>
      <w:marBottom w:val="0"/>
      <w:divBdr>
        <w:top w:val="none" w:sz="0" w:space="0" w:color="auto"/>
        <w:left w:val="none" w:sz="0" w:space="0" w:color="auto"/>
        <w:bottom w:val="none" w:sz="0" w:space="0" w:color="auto"/>
        <w:right w:val="none" w:sz="0" w:space="0" w:color="auto"/>
      </w:divBdr>
    </w:div>
    <w:div w:id="1405374134">
      <w:bodyDiv w:val="1"/>
      <w:marLeft w:val="0"/>
      <w:marRight w:val="0"/>
      <w:marTop w:val="0"/>
      <w:marBottom w:val="0"/>
      <w:divBdr>
        <w:top w:val="none" w:sz="0" w:space="0" w:color="auto"/>
        <w:left w:val="none" w:sz="0" w:space="0" w:color="auto"/>
        <w:bottom w:val="none" w:sz="0" w:space="0" w:color="auto"/>
        <w:right w:val="none" w:sz="0" w:space="0" w:color="auto"/>
      </w:divBdr>
    </w:div>
    <w:div w:id="1406146381">
      <w:bodyDiv w:val="1"/>
      <w:marLeft w:val="0"/>
      <w:marRight w:val="0"/>
      <w:marTop w:val="0"/>
      <w:marBottom w:val="0"/>
      <w:divBdr>
        <w:top w:val="none" w:sz="0" w:space="0" w:color="auto"/>
        <w:left w:val="none" w:sz="0" w:space="0" w:color="auto"/>
        <w:bottom w:val="none" w:sz="0" w:space="0" w:color="auto"/>
        <w:right w:val="none" w:sz="0" w:space="0" w:color="auto"/>
      </w:divBdr>
    </w:div>
    <w:div w:id="1406221744">
      <w:bodyDiv w:val="1"/>
      <w:marLeft w:val="0"/>
      <w:marRight w:val="0"/>
      <w:marTop w:val="0"/>
      <w:marBottom w:val="0"/>
      <w:divBdr>
        <w:top w:val="none" w:sz="0" w:space="0" w:color="auto"/>
        <w:left w:val="none" w:sz="0" w:space="0" w:color="auto"/>
        <w:bottom w:val="none" w:sz="0" w:space="0" w:color="auto"/>
        <w:right w:val="none" w:sz="0" w:space="0" w:color="auto"/>
      </w:divBdr>
    </w:div>
    <w:div w:id="1406802532">
      <w:bodyDiv w:val="1"/>
      <w:marLeft w:val="0"/>
      <w:marRight w:val="0"/>
      <w:marTop w:val="0"/>
      <w:marBottom w:val="0"/>
      <w:divBdr>
        <w:top w:val="none" w:sz="0" w:space="0" w:color="auto"/>
        <w:left w:val="none" w:sz="0" w:space="0" w:color="auto"/>
        <w:bottom w:val="none" w:sz="0" w:space="0" w:color="auto"/>
        <w:right w:val="none" w:sz="0" w:space="0" w:color="auto"/>
      </w:divBdr>
    </w:div>
    <w:div w:id="1406873078">
      <w:bodyDiv w:val="1"/>
      <w:marLeft w:val="0"/>
      <w:marRight w:val="0"/>
      <w:marTop w:val="0"/>
      <w:marBottom w:val="0"/>
      <w:divBdr>
        <w:top w:val="none" w:sz="0" w:space="0" w:color="auto"/>
        <w:left w:val="none" w:sz="0" w:space="0" w:color="auto"/>
        <w:bottom w:val="none" w:sz="0" w:space="0" w:color="auto"/>
        <w:right w:val="none" w:sz="0" w:space="0" w:color="auto"/>
      </w:divBdr>
    </w:div>
    <w:div w:id="1407260523">
      <w:bodyDiv w:val="1"/>
      <w:marLeft w:val="0"/>
      <w:marRight w:val="0"/>
      <w:marTop w:val="0"/>
      <w:marBottom w:val="0"/>
      <w:divBdr>
        <w:top w:val="none" w:sz="0" w:space="0" w:color="auto"/>
        <w:left w:val="none" w:sz="0" w:space="0" w:color="auto"/>
        <w:bottom w:val="none" w:sz="0" w:space="0" w:color="auto"/>
        <w:right w:val="none" w:sz="0" w:space="0" w:color="auto"/>
      </w:divBdr>
    </w:div>
    <w:div w:id="1407412469">
      <w:bodyDiv w:val="1"/>
      <w:marLeft w:val="0"/>
      <w:marRight w:val="0"/>
      <w:marTop w:val="0"/>
      <w:marBottom w:val="0"/>
      <w:divBdr>
        <w:top w:val="none" w:sz="0" w:space="0" w:color="auto"/>
        <w:left w:val="none" w:sz="0" w:space="0" w:color="auto"/>
        <w:bottom w:val="none" w:sz="0" w:space="0" w:color="auto"/>
        <w:right w:val="none" w:sz="0" w:space="0" w:color="auto"/>
      </w:divBdr>
    </w:div>
    <w:div w:id="1408501591">
      <w:bodyDiv w:val="1"/>
      <w:marLeft w:val="0"/>
      <w:marRight w:val="0"/>
      <w:marTop w:val="0"/>
      <w:marBottom w:val="0"/>
      <w:divBdr>
        <w:top w:val="none" w:sz="0" w:space="0" w:color="auto"/>
        <w:left w:val="none" w:sz="0" w:space="0" w:color="auto"/>
        <w:bottom w:val="none" w:sz="0" w:space="0" w:color="auto"/>
        <w:right w:val="none" w:sz="0" w:space="0" w:color="auto"/>
      </w:divBdr>
    </w:div>
    <w:div w:id="1408648834">
      <w:bodyDiv w:val="1"/>
      <w:marLeft w:val="0"/>
      <w:marRight w:val="0"/>
      <w:marTop w:val="0"/>
      <w:marBottom w:val="0"/>
      <w:divBdr>
        <w:top w:val="none" w:sz="0" w:space="0" w:color="auto"/>
        <w:left w:val="none" w:sz="0" w:space="0" w:color="auto"/>
        <w:bottom w:val="none" w:sz="0" w:space="0" w:color="auto"/>
        <w:right w:val="none" w:sz="0" w:space="0" w:color="auto"/>
      </w:divBdr>
    </w:div>
    <w:div w:id="1409765774">
      <w:bodyDiv w:val="1"/>
      <w:marLeft w:val="0"/>
      <w:marRight w:val="0"/>
      <w:marTop w:val="0"/>
      <w:marBottom w:val="0"/>
      <w:divBdr>
        <w:top w:val="none" w:sz="0" w:space="0" w:color="auto"/>
        <w:left w:val="none" w:sz="0" w:space="0" w:color="auto"/>
        <w:bottom w:val="none" w:sz="0" w:space="0" w:color="auto"/>
        <w:right w:val="none" w:sz="0" w:space="0" w:color="auto"/>
      </w:divBdr>
    </w:div>
    <w:div w:id="1409812502">
      <w:bodyDiv w:val="1"/>
      <w:marLeft w:val="0"/>
      <w:marRight w:val="0"/>
      <w:marTop w:val="0"/>
      <w:marBottom w:val="0"/>
      <w:divBdr>
        <w:top w:val="none" w:sz="0" w:space="0" w:color="auto"/>
        <w:left w:val="none" w:sz="0" w:space="0" w:color="auto"/>
        <w:bottom w:val="none" w:sz="0" w:space="0" w:color="auto"/>
        <w:right w:val="none" w:sz="0" w:space="0" w:color="auto"/>
      </w:divBdr>
    </w:div>
    <w:div w:id="1410469467">
      <w:bodyDiv w:val="1"/>
      <w:marLeft w:val="0"/>
      <w:marRight w:val="0"/>
      <w:marTop w:val="0"/>
      <w:marBottom w:val="0"/>
      <w:divBdr>
        <w:top w:val="none" w:sz="0" w:space="0" w:color="auto"/>
        <w:left w:val="none" w:sz="0" w:space="0" w:color="auto"/>
        <w:bottom w:val="none" w:sz="0" w:space="0" w:color="auto"/>
        <w:right w:val="none" w:sz="0" w:space="0" w:color="auto"/>
      </w:divBdr>
    </w:div>
    <w:div w:id="1410542678">
      <w:bodyDiv w:val="1"/>
      <w:marLeft w:val="0"/>
      <w:marRight w:val="0"/>
      <w:marTop w:val="0"/>
      <w:marBottom w:val="0"/>
      <w:divBdr>
        <w:top w:val="none" w:sz="0" w:space="0" w:color="auto"/>
        <w:left w:val="none" w:sz="0" w:space="0" w:color="auto"/>
        <w:bottom w:val="none" w:sz="0" w:space="0" w:color="auto"/>
        <w:right w:val="none" w:sz="0" w:space="0" w:color="auto"/>
      </w:divBdr>
    </w:div>
    <w:div w:id="1410925355">
      <w:bodyDiv w:val="1"/>
      <w:marLeft w:val="0"/>
      <w:marRight w:val="0"/>
      <w:marTop w:val="0"/>
      <w:marBottom w:val="0"/>
      <w:divBdr>
        <w:top w:val="none" w:sz="0" w:space="0" w:color="auto"/>
        <w:left w:val="none" w:sz="0" w:space="0" w:color="auto"/>
        <w:bottom w:val="none" w:sz="0" w:space="0" w:color="auto"/>
        <w:right w:val="none" w:sz="0" w:space="0" w:color="auto"/>
      </w:divBdr>
    </w:div>
    <w:div w:id="1410997848">
      <w:bodyDiv w:val="1"/>
      <w:marLeft w:val="0"/>
      <w:marRight w:val="0"/>
      <w:marTop w:val="0"/>
      <w:marBottom w:val="0"/>
      <w:divBdr>
        <w:top w:val="none" w:sz="0" w:space="0" w:color="auto"/>
        <w:left w:val="none" w:sz="0" w:space="0" w:color="auto"/>
        <w:bottom w:val="none" w:sz="0" w:space="0" w:color="auto"/>
        <w:right w:val="none" w:sz="0" w:space="0" w:color="auto"/>
      </w:divBdr>
    </w:div>
    <w:div w:id="1411393009">
      <w:bodyDiv w:val="1"/>
      <w:marLeft w:val="0"/>
      <w:marRight w:val="0"/>
      <w:marTop w:val="0"/>
      <w:marBottom w:val="0"/>
      <w:divBdr>
        <w:top w:val="none" w:sz="0" w:space="0" w:color="auto"/>
        <w:left w:val="none" w:sz="0" w:space="0" w:color="auto"/>
        <w:bottom w:val="none" w:sz="0" w:space="0" w:color="auto"/>
        <w:right w:val="none" w:sz="0" w:space="0" w:color="auto"/>
      </w:divBdr>
    </w:div>
    <w:div w:id="1412310408">
      <w:bodyDiv w:val="1"/>
      <w:marLeft w:val="0"/>
      <w:marRight w:val="0"/>
      <w:marTop w:val="0"/>
      <w:marBottom w:val="0"/>
      <w:divBdr>
        <w:top w:val="none" w:sz="0" w:space="0" w:color="auto"/>
        <w:left w:val="none" w:sz="0" w:space="0" w:color="auto"/>
        <w:bottom w:val="none" w:sz="0" w:space="0" w:color="auto"/>
        <w:right w:val="none" w:sz="0" w:space="0" w:color="auto"/>
      </w:divBdr>
    </w:div>
    <w:div w:id="1412464634">
      <w:bodyDiv w:val="1"/>
      <w:marLeft w:val="0"/>
      <w:marRight w:val="0"/>
      <w:marTop w:val="0"/>
      <w:marBottom w:val="0"/>
      <w:divBdr>
        <w:top w:val="none" w:sz="0" w:space="0" w:color="auto"/>
        <w:left w:val="none" w:sz="0" w:space="0" w:color="auto"/>
        <w:bottom w:val="none" w:sz="0" w:space="0" w:color="auto"/>
        <w:right w:val="none" w:sz="0" w:space="0" w:color="auto"/>
      </w:divBdr>
    </w:div>
    <w:div w:id="1412579712">
      <w:bodyDiv w:val="1"/>
      <w:marLeft w:val="0"/>
      <w:marRight w:val="0"/>
      <w:marTop w:val="0"/>
      <w:marBottom w:val="0"/>
      <w:divBdr>
        <w:top w:val="none" w:sz="0" w:space="0" w:color="auto"/>
        <w:left w:val="none" w:sz="0" w:space="0" w:color="auto"/>
        <w:bottom w:val="none" w:sz="0" w:space="0" w:color="auto"/>
        <w:right w:val="none" w:sz="0" w:space="0" w:color="auto"/>
      </w:divBdr>
    </w:div>
    <w:div w:id="1414014156">
      <w:bodyDiv w:val="1"/>
      <w:marLeft w:val="0"/>
      <w:marRight w:val="0"/>
      <w:marTop w:val="0"/>
      <w:marBottom w:val="0"/>
      <w:divBdr>
        <w:top w:val="none" w:sz="0" w:space="0" w:color="auto"/>
        <w:left w:val="none" w:sz="0" w:space="0" w:color="auto"/>
        <w:bottom w:val="none" w:sz="0" w:space="0" w:color="auto"/>
        <w:right w:val="none" w:sz="0" w:space="0" w:color="auto"/>
      </w:divBdr>
    </w:div>
    <w:div w:id="1415779040">
      <w:bodyDiv w:val="1"/>
      <w:marLeft w:val="0"/>
      <w:marRight w:val="0"/>
      <w:marTop w:val="0"/>
      <w:marBottom w:val="0"/>
      <w:divBdr>
        <w:top w:val="none" w:sz="0" w:space="0" w:color="auto"/>
        <w:left w:val="none" w:sz="0" w:space="0" w:color="auto"/>
        <w:bottom w:val="none" w:sz="0" w:space="0" w:color="auto"/>
        <w:right w:val="none" w:sz="0" w:space="0" w:color="auto"/>
      </w:divBdr>
    </w:div>
    <w:div w:id="1416171611">
      <w:bodyDiv w:val="1"/>
      <w:marLeft w:val="0"/>
      <w:marRight w:val="0"/>
      <w:marTop w:val="0"/>
      <w:marBottom w:val="0"/>
      <w:divBdr>
        <w:top w:val="none" w:sz="0" w:space="0" w:color="auto"/>
        <w:left w:val="none" w:sz="0" w:space="0" w:color="auto"/>
        <w:bottom w:val="none" w:sz="0" w:space="0" w:color="auto"/>
        <w:right w:val="none" w:sz="0" w:space="0" w:color="auto"/>
      </w:divBdr>
    </w:div>
    <w:div w:id="1417049083">
      <w:bodyDiv w:val="1"/>
      <w:marLeft w:val="0"/>
      <w:marRight w:val="0"/>
      <w:marTop w:val="0"/>
      <w:marBottom w:val="0"/>
      <w:divBdr>
        <w:top w:val="none" w:sz="0" w:space="0" w:color="auto"/>
        <w:left w:val="none" w:sz="0" w:space="0" w:color="auto"/>
        <w:bottom w:val="none" w:sz="0" w:space="0" w:color="auto"/>
        <w:right w:val="none" w:sz="0" w:space="0" w:color="auto"/>
      </w:divBdr>
    </w:div>
    <w:div w:id="1417438009">
      <w:bodyDiv w:val="1"/>
      <w:marLeft w:val="0"/>
      <w:marRight w:val="0"/>
      <w:marTop w:val="0"/>
      <w:marBottom w:val="0"/>
      <w:divBdr>
        <w:top w:val="none" w:sz="0" w:space="0" w:color="auto"/>
        <w:left w:val="none" w:sz="0" w:space="0" w:color="auto"/>
        <w:bottom w:val="none" w:sz="0" w:space="0" w:color="auto"/>
        <w:right w:val="none" w:sz="0" w:space="0" w:color="auto"/>
      </w:divBdr>
    </w:div>
    <w:div w:id="1417746075">
      <w:bodyDiv w:val="1"/>
      <w:marLeft w:val="0"/>
      <w:marRight w:val="0"/>
      <w:marTop w:val="0"/>
      <w:marBottom w:val="0"/>
      <w:divBdr>
        <w:top w:val="none" w:sz="0" w:space="0" w:color="auto"/>
        <w:left w:val="none" w:sz="0" w:space="0" w:color="auto"/>
        <w:bottom w:val="none" w:sz="0" w:space="0" w:color="auto"/>
        <w:right w:val="none" w:sz="0" w:space="0" w:color="auto"/>
      </w:divBdr>
    </w:div>
    <w:div w:id="1418212870">
      <w:bodyDiv w:val="1"/>
      <w:marLeft w:val="0"/>
      <w:marRight w:val="0"/>
      <w:marTop w:val="0"/>
      <w:marBottom w:val="0"/>
      <w:divBdr>
        <w:top w:val="none" w:sz="0" w:space="0" w:color="auto"/>
        <w:left w:val="none" w:sz="0" w:space="0" w:color="auto"/>
        <w:bottom w:val="none" w:sz="0" w:space="0" w:color="auto"/>
        <w:right w:val="none" w:sz="0" w:space="0" w:color="auto"/>
      </w:divBdr>
    </w:div>
    <w:div w:id="1419129765">
      <w:bodyDiv w:val="1"/>
      <w:marLeft w:val="0"/>
      <w:marRight w:val="0"/>
      <w:marTop w:val="0"/>
      <w:marBottom w:val="0"/>
      <w:divBdr>
        <w:top w:val="none" w:sz="0" w:space="0" w:color="auto"/>
        <w:left w:val="none" w:sz="0" w:space="0" w:color="auto"/>
        <w:bottom w:val="none" w:sz="0" w:space="0" w:color="auto"/>
        <w:right w:val="none" w:sz="0" w:space="0" w:color="auto"/>
      </w:divBdr>
    </w:div>
    <w:div w:id="1420633858">
      <w:bodyDiv w:val="1"/>
      <w:marLeft w:val="0"/>
      <w:marRight w:val="0"/>
      <w:marTop w:val="0"/>
      <w:marBottom w:val="0"/>
      <w:divBdr>
        <w:top w:val="none" w:sz="0" w:space="0" w:color="auto"/>
        <w:left w:val="none" w:sz="0" w:space="0" w:color="auto"/>
        <w:bottom w:val="none" w:sz="0" w:space="0" w:color="auto"/>
        <w:right w:val="none" w:sz="0" w:space="0" w:color="auto"/>
      </w:divBdr>
    </w:div>
    <w:div w:id="1420836288">
      <w:bodyDiv w:val="1"/>
      <w:marLeft w:val="0"/>
      <w:marRight w:val="0"/>
      <w:marTop w:val="0"/>
      <w:marBottom w:val="0"/>
      <w:divBdr>
        <w:top w:val="none" w:sz="0" w:space="0" w:color="auto"/>
        <w:left w:val="none" w:sz="0" w:space="0" w:color="auto"/>
        <w:bottom w:val="none" w:sz="0" w:space="0" w:color="auto"/>
        <w:right w:val="none" w:sz="0" w:space="0" w:color="auto"/>
      </w:divBdr>
    </w:div>
    <w:div w:id="1421178636">
      <w:bodyDiv w:val="1"/>
      <w:marLeft w:val="0"/>
      <w:marRight w:val="0"/>
      <w:marTop w:val="0"/>
      <w:marBottom w:val="0"/>
      <w:divBdr>
        <w:top w:val="none" w:sz="0" w:space="0" w:color="auto"/>
        <w:left w:val="none" w:sz="0" w:space="0" w:color="auto"/>
        <w:bottom w:val="none" w:sz="0" w:space="0" w:color="auto"/>
        <w:right w:val="none" w:sz="0" w:space="0" w:color="auto"/>
      </w:divBdr>
    </w:div>
    <w:div w:id="1422529702">
      <w:bodyDiv w:val="1"/>
      <w:marLeft w:val="0"/>
      <w:marRight w:val="0"/>
      <w:marTop w:val="0"/>
      <w:marBottom w:val="0"/>
      <w:divBdr>
        <w:top w:val="none" w:sz="0" w:space="0" w:color="auto"/>
        <w:left w:val="none" w:sz="0" w:space="0" w:color="auto"/>
        <w:bottom w:val="none" w:sz="0" w:space="0" w:color="auto"/>
        <w:right w:val="none" w:sz="0" w:space="0" w:color="auto"/>
      </w:divBdr>
    </w:div>
    <w:div w:id="1422802269">
      <w:bodyDiv w:val="1"/>
      <w:marLeft w:val="0"/>
      <w:marRight w:val="0"/>
      <w:marTop w:val="0"/>
      <w:marBottom w:val="0"/>
      <w:divBdr>
        <w:top w:val="none" w:sz="0" w:space="0" w:color="auto"/>
        <w:left w:val="none" w:sz="0" w:space="0" w:color="auto"/>
        <w:bottom w:val="none" w:sz="0" w:space="0" w:color="auto"/>
        <w:right w:val="none" w:sz="0" w:space="0" w:color="auto"/>
      </w:divBdr>
    </w:div>
    <w:div w:id="1425952388">
      <w:bodyDiv w:val="1"/>
      <w:marLeft w:val="0"/>
      <w:marRight w:val="0"/>
      <w:marTop w:val="0"/>
      <w:marBottom w:val="0"/>
      <w:divBdr>
        <w:top w:val="none" w:sz="0" w:space="0" w:color="auto"/>
        <w:left w:val="none" w:sz="0" w:space="0" w:color="auto"/>
        <w:bottom w:val="none" w:sz="0" w:space="0" w:color="auto"/>
        <w:right w:val="none" w:sz="0" w:space="0" w:color="auto"/>
      </w:divBdr>
    </w:div>
    <w:div w:id="1426077492">
      <w:bodyDiv w:val="1"/>
      <w:marLeft w:val="0"/>
      <w:marRight w:val="0"/>
      <w:marTop w:val="0"/>
      <w:marBottom w:val="0"/>
      <w:divBdr>
        <w:top w:val="none" w:sz="0" w:space="0" w:color="auto"/>
        <w:left w:val="none" w:sz="0" w:space="0" w:color="auto"/>
        <w:bottom w:val="none" w:sz="0" w:space="0" w:color="auto"/>
        <w:right w:val="none" w:sz="0" w:space="0" w:color="auto"/>
      </w:divBdr>
    </w:div>
    <w:div w:id="1426535714">
      <w:bodyDiv w:val="1"/>
      <w:marLeft w:val="0"/>
      <w:marRight w:val="0"/>
      <w:marTop w:val="0"/>
      <w:marBottom w:val="0"/>
      <w:divBdr>
        <w:top w:val="none" w:sz="0" w:space="0" w:color="auto"/>
        <w:left w:val="none" w:sz="0" w:space="0" w:color="auto"/>
        <w:bottom w:val="none" w:sz="0" w:space="0" w:color="auto"/>
        <w:right w:val="none" w:sz="0" w:space="0" w:color="auto"/>
      </w:divBdr>
    </w:div>
    <w:div w:id="1428117690">
      <w:bodyDiv w:val="1"/>
      <w:marLeft w:val="0"/>
      <w:marRight w:val="0"/>
      <w:marTop w:val="0"/>
      <w:marBottom w:val="0"/>
      <w:divBdr>
        <w:top w:val="none" w:sz="0" w:space="0" w:color="auto"/>
        <w:left w:val="none" w:sz="0" w:space="0" w:color="auto"/>
        <w:bottom w:val="none" w:sz="0" w:space="0" w:color="auto"/>
        <w:right w:val="none" w:sz="0" w:space="0" w:color="auto"/>
      </w:divBdr>
    </w:div>
    <w:div w:id="1429421711">
      <w:bodyDiv w:val="1"/>
      <w:marLeft w:val="0"/>
      <w:marRight w:val="0"/>
      <w:marTop w:val="0"/>
      <w:marBottom w:val="0"/>
      <w:divBdr>
        <w:top w:val="none" w:sz="0" w:space="0" w:color="auto"/>
        <w:left w:val="none" w:sz="0" w:space="0" w:color="auto"/>
        <w:bottom w:val="none" w:sz="0" w:space="0" w:color="auto"/>
        <w:right w:val="none" w:sz="0" w:space="0" w:color="auto"/>
      </w:divBdr>
    </w:div>
    <w:div w:id="1430807475">
      <w:bodyDiv w:val="1"/>
      <w:marLeft w:val="0"/>
      <w:marRight w:val="0"/>
      <w:marTop w:val="0"/>
      <w:marBottom w:val="0"/>
      <w:divBdr>
        <w:top w:val="none" w:sz="0" w:space="0" w:color="auto"/>
        <w:left w:val="none" w:sz="0" w:space="0" w:color="auto"/>
        <w:bottom w:val="none" w:sz="0" w:space="0" w:color="auto"/>
        <w:right w:val="none" w:sz="0" w:space="0" w:color="auto"/>
      </w:divBdr>
    </w:div>
    <w:div w:id="1432504496">
      <w:bodyDiv w:val="1"/>
      <w:marLeft w:val="0"/>
      <w:marRight w:val="0"/>
      <w:marTop w:val="0"/>
      <w:marBottom w:val="0"/>
      <w:divBdr>
        <w:top w:val="none" w:sz="0" w:space="0" w:color="auto"/>
        <w:left w:val="none" w:sz="0" w:space="0" w:color="auto"/>
        <w:bottom w:val="none" w:sz="0" w:space="0" w:color="auto"/>
        <w:right w:val="none" w:sz="0" w:space="0" w:color="auto"/>
      </w:divBdr>
    </w:div>
    <w:div w:id="1432701029">
      <w:bodyDiv w:val="1"/>
      <w:marLeft w:val="0"/>
      <w:marRight w:val="0"/>
      <w:marTop w:val="0"/>
      <w:marBottom w:val="0"/>
      <w:divBdr>
        <w:top w:val="none" w:sz="0" w:space="0" w:color="auto"/>
        <w:left w:val="none" w:sz="0" w:space="0" w:color="auto"/>
        <w:bottom w:val="none" w:sz="0" w:space="0" w:color="auto"/>
        <w:right w:val="none" w:sz="0" w:space="0" w:color="auto"/>
      </w:divBdr>
    </w:div>
    <w:div w:id="1434085645">
      <w:bodyDiv w:val="1"/>
      <w:marLeft w:val="0"/>
      <w:marRight w:val="0"/>
      <w:marTop w:val="0"/>
      <w:marBottom w:val="0"/>
      <w:divBdr>
        <w:top w:val="none" w:sz="0" w:space="0" w:color="auto"/>
        <w:left w:val="none" w:sz="0" w:space="0" w:color="auto"/>
        <w:bottom w:val="none" w:sz="0" w:space="0" w:color="auto"/>
        <w:right w:val="none" w:sz="0" w:space="0" w:color="auto"/>
      </w:divBdr>
    </w:div>
    <w:div w:id="1434864705">
      <w:bodyDiv w:val="1"/>
      <w:marLeft w:val="0"/>
      <w:marRight w:val="0"/>
      <w:marTop w:val="0"/>
      <w:marBottom w:val="0"/>
      <w:divBdr>
        <w:top w:val="none" w:sz="0" w:space="0" w:color="auto"/>
        <w:left w:val="none" w:sz="0" w:space="0" w:color="auto"/>
        <w:bottom w:val="none" w:sz="0" w:space="0" w:color="auto"/>
        <w:right w:val="none" w:sz="0" w:space="0" w:color="auto"/>
      </w:divBdr>
    </w:div>
    <w:div w:id="1435052968">
      <w:bodyDiv w:val="1"/>
      <w:marLeft w:val="0"/>
      <w:marRight w:val="0"/>
      <w:marTop w:val="0"/>
      <w:marBottom w:val="0"/>
      <w:divBdr>
        <w:top w:val="none" w:sz="0" w:space="0" w:color="auto"/>
        <w:left w:val="none" w:sz="0" w:space="0" w:color="auto"/>
        <w:bottom w:val="none" w:sz="0" w:space="0" w:color="auto"/>
        <w:right w:val="none" w:sz="0" w:space="0" w:color="auto"/>
      </w:divBdr>
    </w:div>
    <w:div w:id="1437678896">
      <w:bodyDiv w:val="1"/>
      <w:marLeft w:val="0"/>
      <w:marRight w:val="0"/>
      <w:marTop w:val="0"/>
      <w:marBottom w:val="0"/>
      <w:divBdr>
        <w:top w:val="none" w:sz="0" w:space="0" w:color="auto"/>
        <w:left w:val="none" w:sz="0" w:space="0" w:color="auto"/>
        <w:bottom w:val="none" w:sz="0" w:space="0" w:color="auto"/>
        <w:right w:val="none" w:sz="0" w:space="0" w:color="auto"/>
      </w:divBdr>
    </w:div>
    <w:div w:id="1438211952">
      <w:bodyDiv w:val="1"/>
      <w:marLeft w:val="0"/>
      <w:marRight w:val="0"/>
      <w:marTop w:val="0"/>
      <w:marBottom w:val="0"/>
      <w:divBdr>
        <w:top w:val="none" w:sz="0" w:space="0" w:color="auto"/>
        <w:left w:val="none" w:sz="0" w:space="0" w:color="auto"/>
        <w:bottom w:val="none" w:sz="0" w:space="0" w:color="auto"/>
        <w:right w:val="none" w:sz="0" w:space="0" w:color="auto"/>
      </w:divBdr>
    </w:div>
    <w:div w:id="1438410349">
      <w:bodyDiv w:val="1"/>
      <w:marLeft w:val="0"/>
      <w:marRight w:val="0"/>
      <w:marTop w:val="0"/>
      <w:marBottom w:val="0"/>
      <w:divBdr>
        <w:top w:val="none" w:sz="0" w:space="0" w:color="auto"/>
        <w:left w:val="none" w:sz="0" w:space="0" w:color="auto"/>
        <w:bottom w:val="none" w:sz="0" w:space="0" w:color="auto"/>
        <w:right w:val="none" w:sz="0" w:space="0" w:color="auto"/>
      </w:divBdr>
    </w:div>
    <w:div w:id="1439056941">
      <w:bodyDiv w:val="1"/>
      <w:marLeft w:val="0"/>
      <w:marRight w:val="0"/>
      <w:marTop w:val="0"/>
      <w:marBottom w:val="0"/>
      <w:divBdr>
        <w:top w:val="none" w:sz="0" w:space="0" w:color="auto"/>
        <w:left w:val="none" w:sz="0" w:space="0" w:color="auto"/>
        <w:bottom w:val="none" w:sz="0" w:space="0" w:color="auto"/>
        <w:right w:val="none" w:sz="0" w:space="0" w:color="auto"/>
      </w:divBdr>
    </w:div>
    <w:div w:id="1439645538">
      <w:bodyDiv w:val="1"/>
      <w:marLeft w:val="0"/>
      <w:marRight w:val="0"/>
      <w:marTop w:val="0"/>
      <w:marBottom w:val="0"/>
      <w:divBdr>
        <w:top w:val="none" w:sz="0" w:space="0" w:color="auto"/>
        <w:left w:val="none" w:sz="0" w:space="0" w:color="auto"/>
        <w:bottom w:val="none" w:sz="0" w:space="0" w:color="auto"/>
        <w:right w:val="none" w:sz="0" w:space="0" w:color="auto"/>
      </w:divBdr>
    </w:div>
    <w:div w:id="1442451387">
      <w:bodyDiv w:val="1"/>
      <w:marLeft w:val="0"/>
      <w:marRight w:val="0"/>
      <w:marTop w:val="0"/>
      <w:marBottom w:val="0"/>
      <w:divBdr>
        <w:top w:val="none" w:sz="0" w:space="0" w:color="auto"/>
        <w:left w:val="none" w:sz="0" w:space="0" w:color="auto"/>
        <w:bottom w:val="none" w:sz="0" w:space="0" w:color="auto"/>
        <w:right w:val="none" w:sz="0" w:space="0" w:color="auto"/>
      </w:divBdr>
    </w:div>
    <w:div w:id="1447965794">
      <w:bodyDiv w:val="1"/>
      <w:marLeft w:val="0"/>
      <w:marRight w:val="0"/>
      <w:marTop w:val="0"/>
      <w:marBottom w:val="0"/>
      <w:divBdr>
        <w:top w:val="none" w:sz="0" w:space="0" w:color="auto"/>
        <w:left w:val="none" w:sz="0" w:space="0" w:color="auto"/>
        <w:bottom w:val="none" w:sz="0" w:space="0" w:color="auto"/>
        <w:right w:val="none" w:sz="0" w:space="0" w:color="auto"/>
      </w:divBdr>
    </w:div>
    <w:div w:id="1451244627">
      <w:bodyDiv w:val="1"/>
      <w:marLeft w:val="0"/>
      <w:marRight w:val="0"/>
      <w:marTop w:val="0"/>
      <w:marBottom w:val="0"/>
      <w:divBdr>
        <w:top w:val="none" w:sz="0" w:space="0" w:color="auto"/>
        <w:left w:val="none" w:sz="0" w:space="0" w:color="auto"/>
        <w:bottom w:val="none" w:sz="0" w:space="0" w:color="auto"/>
        <w:right w:val="none" w:sz="0" w:space="0" w:color="auto"/>
      </w:divBdr>
    </w:div>
    <w:div w:id="1453524618">
      <w:bodyDiv w:val="1"/>
      <w:marLeft w:val="0"/>
      <w:marRight w:val="0"/>
      <w:marTop w:val="0"/>
      <w:marBottom w:val="0"/>
      <w:divBdr>
        <w:top w:val="none" w:sz="0" w:space="0" w:color="auto"/>
        <w:left w:val="none" w:sz="0" w:space="0" w:color="auto"/>
        <w:bottom w:val="none" w:sz="0" w:space="0" w:color="auto"/>
        <w:right w:val="none" w:sz="0" w:space="0" w:color="auto"/>
      </w:divBdr>
    </w:div>
    <w:div w:id="1453790407">
      <w:bodyDiv w:val="1"/>
      <w:marLeft w:val="0"/>
      <w:marRight w:val="0"/>
      <w:marTop w:val="0"/>
      <w:marBottom w:val="0"/>
      <w:divBdr>
        <w:top w:val="none" w:sz="0" w:space="0" w:color="auto"/>
        <w:left w:val="none" w:sz="0" w:space="0" w:color="auto"/>
        <w:bottom w:val="none" w:sz="0" w:space="0" w:color="auto"/>
        <w:right w:val="none" w:sz="0" w:space="0" w:color="auto"/>
      </w:divBdr>
    </w:div>
    <w:div w:id="1455370676">
      <w:bodyDiv w:val="1"/>
      <w:marLeft w:val="0"/>
      <w:marRight w:val="0"/>
      <w:marTop w:val="0"/>
      <w:marBottom w:val="0"/>
      <w:divBdr>
        <w:top w:val="none" w:sz="0" w:space="0" w:color="auto"/>
        <w:left w:val="none" w:sz="0" w:space="0" w:color="auto"/>
        <w:bottom w:val="none" w:sz="0" w:space="0" w:color="auto"/>
        <w:right w:val="none" w:sz="0" w:space="0" w:color="auto"/>
      </w:divBdr>
    </w:div>
    <w:div w:id="1456558087">
      <w:bodyDiv w:val="1"/>
      <w:marLeft w:val="0"/>
      <w:marRight w:val="0"/>
      <w:marTop w:val="0"/>
      <w:marBottom w:val="0"/>
      <w:divBdr>
        <w:top w:val="none" w:sz="0" w:space="0" w:color="auto"/>
        <w:left w:val="none" w:sz="0" w:space="0" w:color="auto"/>
        <w:bottom w:val="none" w:sz="0" w:space="0" w:color="auto"/>
        <w:right w:val="none" w:sz="0" w:space="0" w:color="auto"/>
      </w:divBdr>
    </w:div>
    <w:div w:id="1456564056">
      <w:bodyDiv w:val="1"/>
      <w:marLeft w:val="0"/>
      <w:marRight w:val="0"/>
      <w:marTop w:val="0"/>
      <w:marBottom w:val="0"/>
      <w:divBdr>
        <w:top w:val="none" w:sz="0" w:space="0" w:color="auto"/>
        <w:left w:val="none" w:sz="0" w:space="0" w:color="auto"/>
        <w:bottom w:val="none" w:sz="0" w:space="0" w:color="auto"/>
        <w:right w:val="none" w:sz="0" w:space="0" w:color="auto"/>
      </w:divBdr>
    </w:div>
    <w:div w:id="1457333193">
      <w:bodyDiv w:val="1"/>
      <w:marLeft w:val="0"/>
      <w:marRight w:val="0"/>
      <w:marTop w:val="0"/>
      <w:marBottom w:val="0"/>
      <w:divBdr>
        <w:top w:val="none" w:sz="0" w:space="0" w:color="auto"/>
        <w:left w:val="none" w:sz="0" w:space="0" w:color="auto"/>
        <w:bottom w:val="none" w:sz="0" w:space="0" w:color="auto"/>
        <w:right w:val="none" w:sz="0" w:space="0" w:color="auto"/>
      </w:divBdr>
    </w:div>
    <w:div w:id="1458255604">
      <w:bodyDiv w:val="1"/>
      <w:marLeft w:val="0"/>
      <w:marRight w:val="0"/>
      <w:marTop w:val="0"/>
      <w:marBottom w:val="0"/>
      <w:divBdr>
        <w:top w:val="none" w:sz="0" w:space="0" w:color="auto"/>
        <w:left w:val="none" w:sz="0" w:space="0" w:color="auto"/>
        <w:bottom w:val="none" w:sz="0" w:space="0" w:color="auto"/>
        <w:right w:val="none" w:sz="0" w:space="0" w:color="auto"/>
      </w:divBdr>
    </w:div>
    <w:div w:id="1460878750">
      <w:bodyDiv w:val="1"/>
      <w:marLeft w:val="0"/>
      <w:marRight w:val="0"/>
      <w:marTop w:val="0"/>
      <w:marBottom w:val="0"/>
      <w:divBdr>
        <w:top w:val="none" w:sz="0" w:space="0" w:color="auto"/>
        <w:left w:val="none" w:sz="0" w:space="0" w:color="auto"/>
        <w:bottom w:val="none" w:sz="0" w:space="0" w:color="auto"/>
        <w:right w:val="none" w:sz="0" w:space="0" w:color="auto"/>
      </w:divBdr>
    </w:div>
    <w:div w:id="1461144712">
      <w:bodyDiv w:val="1"/>
      <w:marLeft w:val="0"/>
      <w:marRight w:val="0"/>
      <w:marTop w:val="0"/>
      <w:marBottom w:val="0"/>
      <w:divBdr>
        <w:top w:val="none" w:sz="0" w:space="0" w:color="auto"/>
        <w:left w:val="none" w:sz="0" w:space="0" w:color="auto"/>
        <w:bottom w:val="none" w:sz="0" w:space="0" w:color="auto"/>
        <w:right w:val="none" w:sz="0" w:space="0" w:color="auto"/>
      </w:divBdr>
    </w:div>
    <w:div w:id="1461728682">
      <w:bodyDiv w:val="1"/>
      <w:marLeft w:val="0"/>
      <w:marRight w:val="0"/>
      <w:marTop w:val="0"/>
      <w:marBottom w:val="0"/>
      <w:divBdr>
        <w:top w:val="none" w:sz="0" w:space="0" w:color="auto"/>
        <w:left w:val="none" w:sz="0" w:space="0" w:color="auto"/>
        <w:bottom w:val="none" w:sz="0" w:space="0" w:color="auto"/>
        <w:right w:val="none" w:sz="0" w:space="0" w:color="auto"/>
      </w:divBdr>
    </w:div>
    <w:div w:id="1463307885">
      <w:bodyDiv w:val="1"/>
      <w:marLeft w:val="0"/>
      <w:marRight w:val="0"/>
      <w:marTop w:val="0"/>
      <w:marBottom w:val="0"/>
      <w:divBdr>
        <w:top w:val="none" w:sz="0" w:space="0" w:color="auto"/>
        <w:left w:val="none" w:sz="0" w:space="0" w:color="auto"/>
        <w:bottom w:val="none" w:sz="0" w:space="0" w:color="auto"/>
        <w:right w:val="none" w:sz="0" w:space="0" w:color="auto"/>
      </w:divBdr>
    </w:div>
    <w:div w:id="1464156468">
      <w:bodyDiv w:val="1"/>
      <w:marLeft w:val="0"/>
      <w:marRight w:val="0"/>
      <w:marTop w:val="0"/>
      <w:marBottom w:val="0"/>
      <w:divBdr>
        <w:top w:val="none" w:sz="0" w:space="0" w:color="auto"/>
        <w:left w:val="none" w:sz="0" w:space="0" w:color="auto"/>
        <w:bottom w:val="none" w:sz="0" w:space="0" w:color="auto"/>
        <w:right w:val="none" w:sz="0" w:space="0" w:color="auto"/>
      </w:divBdr>
    </w:div>
    <w:div w:id="1464496613">
      <w:bodyDiv w:val="1"/>
      <w:marLeft w:val="0"/>
      <w:marRight w:val="0"/>
      <w:marTop w:val="0"/>
      <w:marBottom w:val="0"/>
      <w:divBdr>
        <w:top w:val="none" w:sz="0" w:space="0" w:color="auto"/>
        <w:left w:val="none" w:sz="0" w:space="0" w:color="auto"/>
        <w:bottom w:val="none" w:sz="0" w:space="0" w:color="auto"/>
        <w:right w:val="none" w:sz="0" w:space="0" w:color="auto"/>
      </w:divBdr>
    </w:div>
    <w:div w:id="1466238042">
      <w:bodyDiv w:val="1"/>
      <w:marLeft w:val="0"/>
      <w:marRight w:val="0"/>
      <w:marTop w:val="0"/>
      <w:marBottom w:val="0"/>
      <w:divBdr>
        <w:top w:val="none" w:sz="0" w:space="0" w:color="auto"/>
        <w:left w:val="none" w:sz="0" w:space="0" w:color="auto"/>
        <w:bottom w:val="none" w:sz="0" w:space="0" w:color="auto"/>
        <w:right w:val="none" w:sz="0" w:space="0" w:color="auto"/>
      </w:divBdr>
    </w:div>
    <w:div w:id="1467776138">
      <w:bodyDiv w:val="1"/>
      <w:marLeft w:val="0"/>
      <w:marRight w:val="0"/>
      <w:marTop w:val="0"/>
      <w:marBottom w:val="0"/>
      <w:divBdr>
        <w:top w:val="none" w:sz="0" w:space="0" w:color="auto"/>
        <w:left w:val="none" w:sz="0" w:space="0" w:color="auto"/>
        <w:bottom w:val="none" w:sz="0" w:space="0" w:color="auto"/>
        <w:right w:val="none" w:sz="0" w:space="0" w:color="auto"/>
      </w:divBdr>
    </w:div>
    <w:div w:id="1467970483">
      <w:bodyDiv w:val="1"/>
      <w:marLeft w:val="0"/>
      <w:marRight w:val="0"/>
      <w:marTop w:val="0"/>
      <w:marBottom w:val="0"/>
      <w:divBdr>
        <w:top w:val="none" w:sz="0" w:space="0" w:color="auto"/>
        <w:left w:val="none" w:sz="0" w:space="0" w:color="auto"/>
        <w:bottom w:val="none" w:sz="0" w:space="0" w:color="auto"/>
        <w:right w:val="none" w:sz="0" w:space="0" w:color="auto"/>
      </w:divBdr>
    </w:div>
    <w:div w:id="1468090557">
      <w:bodyDiv w:val="1"/>
      <w:marLeft w:val="0"/>
      <w:marRight w:val="0"/>
      <w:marTop w:val="0"/>
      <w:marBottom w:val="0"/>
      <w:divBdr>
        <w:top w:val="none" w:sz="0" w:space="0" w:color="auto"/>
        <w:left w:val="none" w:sz="0" w:space="0" w:color="auto"/>
        <w:bottom w:val="none" w:sz="0" w:space="0" w:color="auto"/>
        <w:right w:val="none" w:sz="0" w:space="0" w:color="auto"/>
      </w:divBdr>
    </w:div>
    <w:div w:id="1469055964">
      <w:bodyDiv w:val="1"/>
      <w:marLeft w:val="0"/>
      <w:marRight w:val="0"/>
      <w:marTop w:val="0"/>
      <w:marBottom w:val="0"/>
      <w:divBdr>
        <w:top w:val="none" w:sz="0" w:space="0" w:color="auto"/>
        <w:left w:val="none" w:sz="0" w:space="0" w:color="auto"/>
        <w:bottom w:val="none" w:sz="0" w:space="0" w:color="auto"/>
        <w:right w:val="none" w:sz="0" w:space="0" w:color="auto"/>
      </w:divBdr>
    </w:div>
    <w:div w:id="1470978775">
      <w:bodyDiv w:val="1"/>
      <w:marLeft w:val="0"/>
      <w:marRight w:val="0"/>
      <w:marTop w:val="0"/>
      <w:marBottom w:val="0"/>
      <w:divBdr>
        <w:top w:val="none" w:sz="0" w:space="0" w:color="auto"/>
        <w:left w:val="none" w:sz="0" w:space="0" w:color="auto"/>
        <w:bottom w:val="none" w:sz="0" w:space="0" w:color="auto"/>
        <w:right w:val="none" w:sz="0" w:space="0" w:color="auto"/>
      </w:divBdr>
    </w:div>
    <w:div w:id="1471895878">
      <w:bodyDiv w:val="1"/>
      <w:marLeft w:val="0"/>
      <w:marRight w:val="0"/>
      <w:marTop w:val="0"/>
      <w:marBottom w:val="0"/>
      <w:divBdr>
        <w:top w:val="none" w:sz="0" w:space="0" w:color="auto"/>
        <w:left w:val="none" w:sz="0" w:space="0" w:color="auto"/>
        <w:bottom w:val="none" w:sz="0" w:space="0" w:color="auto"/>
        <w:right w:val="none" w:sz="0" w:space="0" w:color="auto"/>
      </w:divBdr>
    </w:div>
    <w:div w:id="1471903759">
      <w:bodyDiv w:val="1"/>
      <w:marLeft w:val="0"/>
      <w:marRight w:val="0"/>
      <w:marTop w:val="0"/>
      <w:marBottom w:val="0"/>
      <w:divBdr>
        <w:top w:val="none" w:sz="0" w:space="0" w:color="auto"/>
        <w:left w:val="none" w:sz="0" w:space="0" w:color="auto"/>
        <w:bottom w:val="none" w:sz="0" w:space="0" w:color="auto"/>
        <w:right w:val="none" w:sz="0" w:space="0" w:color="auto"/>
      </w:divBdr>
    </w:div>
    <w:div w:id="1472357115">
      <w:bodyDiv w:val="1"/>
      <w:marLeft w:val="0"/>
      <w:marRight w:val="0"/>
      <w:marTop w:val="0"/>
      <w:marBottom w:val="0"/>
      <w:divBdr>
        <w:top w:val="none" w:sz="0" w:space="0" w:color="auto"/>
        <w:left w:val="none" w:sz="0" w:space="0" w:color="auto"/>
        <w:bottom w:val="none" w:sz="0" w:space="0" w:color="auto"/>
        <w:right w:val="none" w:sz="0" w:space="0" w:color="auto"/>
      </w:divBdr>
    </w:div>
    <w:div w:id="1472478345">
      <w:bodyDiv w:val="1"/>
      <w:marLeft w:val="0"/>
      <w:marRight w:val="0"/>
      <w:marTop w:val="0"/>
      <w:marBottom w:val="0"/>
      <w:divBdr>
        <w:top w:val="none" w:sz="0" w:space="0" w:color="auto"/>
        <w:left w:val="none" w:sz="0" w:space="0" w:color="auto"/>
        <w:bottom w:val="none" w:sz="0" w:space="0" w:color="auto"/>
        <w:right w:val="none" w:sz="0" w:space="0" w:color="auto"/>
      </w:divBdr>
    </w:div>
    <w:div w:id="1472793637">
      <w:bodyDiv w:val="1"/>
      <w:marLeft w:val="0"/>
      <w:marRight w:val="0"/>
      <w:marTop w:val="0"/>
      <w:marBottom w:val="0"/>
      <w:divBdr>
        <w:top w:val="none" w:sz="0" w:space="0" w:color="auto"/>
        <w:left w:val="none" w:sz="0" w:space="0" w:color="auto"/>
        <w:bottom w:val="none" w:sz="0" w:space="0" w:color="auto"/>
        <w:right w:val="none" w:sz="0" w:space="0" w:color="auto"/>
      </w:divBdr>
    </w:div>
    <w:div w:id="1475832797">
      <w:bodyDiv w:val="1"/>
      <w:marLeft w:val="0"/>
      <w:marRight w:val="0"/>
      <w:marTop w:val="0"/>
      <w:marBottom w:val="0"/>
      <w:divBdr>
        <w:top w:val="none" w:sz="0" w:space="0" w:color="auto"/>
        <w:left w:val="none" w:sz="0" w:space="0" w:color="auto"/>
        <w:bottom w:val="none" w:sz="0" w:space="0" w:color="auto"/>
        <w:right w:val="none" w:sz="0" w:space="0" w:color="auto"/>
      </w:divBdr>
    </w:div>
    <w:div w:id="1476407028">
      <w:bodyDiv w:val="1"/>
      <w:marLeft w:val="0"/>
      <w:marRight w:val="0"/>
      <w:marTop w:val="0"/>
      <w:marBottom w:val="0"/>
      <w:divBdr>
        <w:top w:val="none" w:sz="0" w:space="0" w:color="auto"/>
        <w:left w:val="none" w:sz="0" w:space="0" w:color="auto"/>
        <w:bottom w:val="none" w:sz="0" w:space="0" w:color="auto"/>
        <w:right w:val="none" w:sz="0" w:space="0" w:color="auto"/>
      </w:divBdr>
    </w:div>
    <w:div w:id="1478182368">
      <w:bodyDiv w:val="1"/>
      <w:marLeft w:val="0"/>
      <w:marRight w:val="0"/>
      <w:marTop w:val="0"/>
      <w:marBottom w:val="0"/>
      <w:divBdr>
        <w:top w:val="none" w:sz="0" w:space="0" w:color="auto"/>
        <w:left w:val="none" w:sz="0" w:space="0" w:color="auto"/>
        <w:bottom w:val="none" w:sz="0" w:space="0" w:color="auto"/>
        <w:right w:val="none" w:sz="0" w:space="0" w:color="auto"/>
      </w:divBdr>
    </w:div>
    <w:div w:id="1480077533">
      <w:bodyDiv w:val="1"/>
      <w:marLeft w:val="0"/>
      <w:marRight w:val="0"/>
      <w:marTop w:val="0"/>
      <w:marBottom w:val="0"/>
      <w:divBdr>
        <w:top w:val="none" w:sz="0" w:space="0" w:color="auto"/>
        <w:left w:val="none" w:sz="0" w:space="0" w:color="auto"/>
        <w:bottom w:val="none" w:sz="0" w:space="0" w:color="auto"/>
        <w:right w:val="none" w:sz="0" w:space="0" w:color="auto"/>
      </w:divBdr>
    </w:div>
    <w:div w:id="1480224320">
      <w:bodyDiv w:val="1"/>
      <w:marLeft w:val="0"/>
      <w:marRight w:val="0"/>
      <w:marTop w:val="0"/>
      <w:marBottom w:val="0"/>
      <w:divBdr>
        <w:top w:val="none" w:sz="0" w:space="0" w:color="auto"/>
        <w:left w:val="none" w:sz="0" w:space="0" w:color="auto"/>
        <w:bottom w:val="none" w:sz="0" w:space="0" w:color="auto"/>
        <w:right w:val="none" w:sz="0" w:space="0" w:color="auto"/>
      </w:divBdr>
    </w:div>
    <w:div w:id="1480413858">
      <w:bodyDiv w:val="1"/>
      <w:marLeft w:val="0"/>
      <w:marRight w:val="0"/>
      <w:marTop w:val="0"/>
      <w:marBottom w:val="0"/>
      <w:divBdr>
        <w:top w:val="none" w:sz="0" w:space="0" w:color="auto"/>
        <w:left w:val="none" w:sz="0" w:space="0" w:color="auto"/>
        <w:bottom w:val="none" w:sz="0" w:space="0" w:color="auto"/>
        <w:right w:val="none" w:sz="0" w:space="0" w:color="auto"/>
      </w:divBdr>
    </w:div>
    <w:div w:id="1481072226">
      <w:bodyDiv w:val="1"/>
      <w:marLeft w:val="0"/>
      <w:marRight w:val="0"/>
      <w:marTop w:val="0"/>
      <w:marBottom w:val="0"/>
      <w:divBdr>
        <w:top w:val="none" w:sz="0" w:space="0" w:color="auto"/>
        <w:left w:val="none" w:sz="0" w:space="0" w:color="auto"/>
        <w:bottom w:val="none" w:sz="0" w:space="0" w:color="auto"/>
        <w:right w:val="none" w:sz="0" w:space="0" w:color="auto"/>
      </w:divBdr>
    </w:div>
    <w:div w:id="1481310320">
      <w:bodyDiv w:val="1"/>
      <w:marLeft w:val="0"/>
      <w:marRight w:val="0"/>
      <w:marTop w:val="0"/>
      <w:marBottom w:val="0"/>
      <w:divBdr>
        <w:top w:val="none" w:sz="0" w:space="0" w:color="auto"/>
        <w:left w:val="none" w:sz="0" w:space="0" w:color="auto"/>
        <w:bottom w:val="none" w:sz="0" w:space="0" w:color="auto"/>
        <w:right w:val="none" w:sz="0" w:space="0" w:color="auto"/>
      </w:divBdr>
    </w:div>
    <w:div w:id="1482888548">
      <w:bodyDiv w:val="1"/>
      <w:marLeft w:val="0"/>
      <w:marRight w:val="0"/>
      <w:marTop w:val="0"/>
      <w:marBottom w:val="0"/>
      <w:divBdr>
        <w:top w:val="none" w:sz="0" w:space="0" w:color="auto"/>
        <w:left w:val="none" w:sz="0" w:space="0" w:color="auto"/>
        <w:bottom w:val="none" w:sz="0" w:space="0" w:color="auto"/>
        <w:right w:val="none" w:sz="0" w:space="0" w:color="auto"/>
      </w:divBdr>
    </w:div>
    <w:div w:id="1483231462">
      <w:bodyDiv w:val="1"/>
      <w:marLeft w:val="0"/>
      <w:marRight w:val="0"/>
      <w:marTop w:val="0"/>
      <w:marBottom w:val="0"/>
      <w:divBdr>
        <w:top w:val="none" w:sz="0" w:space="0" w:color="auto"/>
        <w:left w:val="none" w:sz="0" w:space="0" w:color="auto"/>
        <w:bottom w:val="none" w:sz="0" w:space="0" w:color="auto"/>
        <w:right w:val="none" w:sz="0" w:space="0" w:color="auto"/>
      </w:divBdr>
    </w:div>
    <w:div w:id="1483737122">
      <w:bodyDiv w:val="1"/>
      <w:marLeft w:val="0"/>
      <w:marRight w:val="0"/>
      <w:marTop w:val="0"/>
      <w:marBottom w:val="0"/>
      <w:divBdr>
        <w:top w:val="none" w:sz="0" w:space="0" w:color="auto"/>
        <w:left w:val="none" w:sz="0" w:space="0" w:color="auto"/>
        <w:bottom w:val="none" w:sz="0" w:space="0" w:color="auto"/>
        <w:right w:val="none" w:sz="0" w:space="0" w:color="auto"/>
      </w:divBdr>
    </w:div>
    <w:div w:id="1483888425">
      <w:bodyDiv w:val="1"/>
      <w:marLeft w:val="0"/>
      <w:marRight w:val="0"/>
      <w:marTop w:val="0"/>
      <w:marBottom w:val="0"/>
      <w:divBdr>
        <w:top w:val="none" w:sz="0" w:space="0" w:color="auto"/>
        <w:left w:val="none" w:sz="0" w:space="0" w:color="auto"/>
        <w:bottom w:val="none" w:sz="0" w:space="0" w:color="auto"/>
        <w:right w:val="none" w:sz="0" w:space="0" w:color="auto"/>
      </w:divBdr>
    </w:div>
    <w:div w:id="1484811884">
      <w:bodyDiv w:val="1"/>
      <w:marLeft w:val="0"/>
      <w:marRight w:val="0"/>
      <w:marTop w:val="0"/>
      <w:marBottom w:val="0"/>
      <w:divBdr>
        <w:top w:val="none" w:sz="0" w:space="0" w:color="auto"/>
        <w:left w:val="none" w:sz="0" w:space="0" w:color="auto"/>
        <w:bottom w:val="none" w:sz="0" w:space="0" w:color="auto"/>
        <w:right w:val="none" w:sz="0" w:space="0" w:color="auto"/>
      </w:divBdr>
    </w:div>
    <w:div w:id="1486893911">
      <w:bodyDiv w:val="1"/>
      <w:marLeft w:val="0"/>
      <w:marRight w:val="0"/>
      <w:marTop w:val="0"/>
      <w:marBottom w:val="0"/>
      <w:divBdr>
        <w:top w:val="none" w:sz="0" w:space="0" w:color="auto"/>
        <w:left w:val="none" w:sz="0" w:space="0" w:color="auto"/>
        <w:bottom w:val="none" w:sz="0" w:space="0" w:color="auto"/>
        <w:right w:val="none" w:sz="0" w:space="0" w:color="auto"/>
      </w:divBdr>
    </w:div>
    <w:div w:id="1487550648">
      <w:bodyDiv w:val="1"/>
      <w:marLeft w:val="0"/>
      <w:marRight w:val="0"/>
      <w:marTop w:val="0"/>
      <w:marBottom w:val="0"/>
      <w:divBdr>
        <w:top w:val="none" w:sz="0" w:space="0" w:color="auto"/>
        <w:left w:val="none" w:sz="0" w:space="0" w:color="auto"/>
        <w:bottom w:val="none" w:sz="0" w:space="0" w:color="auto"/>
        <w:right w:val="none" w:sz="0" w:space="0" w:color="auto"/>
      </w:divBdr>
    </w:div>
    <w:div w:id="1488284231">
      <w:bodyDiv w:val="1"/>
      <w:marLeft w:val="0"/>
      <w:marRight w:val="0"/>
      <w:marTop w:val="0"/>
      <w:marBottom w:val="0"/>
      <w:divBdr>
        <w:top w:val="none" w:sz="0" w:space="0" w:color="auto"/>
        <w:left w:val="none" w:sz="0" w:space="0" w:color="auto"/>
        <w:bottom w:val="none" w:sz="0" w:space="0" w:color="auto"/>
        <w:right w:val="none" w:sz="0" w:space="0" w:color="auto"/>
      </w:divBdr>
    </w:div>
    <w:div w:id="1488748253">
      <w:bodyDiv w:val="1"/>
      <w:marLeft w:val="0"/>
      <w:marRight w:val="0"/>
      <w:marTop w:val="0"/>
      <w:marBottom w:val="0"/>
      <w:divBdr>
        <w:top w:val="none" w:sz="0" w:space="0" w:color="auto"/>
        <w:left w:val="none" w:sz="0" w:space="0" w:color="auto"/>
        <w:bottom w:val="none" w:sz="0" w:space="0" w:color="auto"/>
        <w:right w:val="none" w:sz="0" w:space="0" w:color="auto"/>
      </w:divBdr>
    </w:div>
    <w:div w:id="1490949803">
      <w:bodyDiv w:val="1"/>
      <w:marLeft w:val="0"/>
      <w:marRight w:val="0"/>
      <w:marTop w:val="0"/>
      <w:marBottom w:val="0"/>
      <w:divBdr>
        <w:top w:val="none" w:sz="0" w:space="0" w:color="auto"/>
        <w:left w:val="none" w:sz="0" w:space="0" w:color="auto"/>
        <w:bottom w:val="none" w:sz="0" w:space="0" w:color="auto"/>
        <w:right w:val="none" w:sz="0" w:space="0" w:color="auto"/>
      </w:divBdr>
    </w:div>
    <w:div w:id="1493642590">
      <w:bodyDiv w:val="1"/>
      <w:marLeft w:val="0"/>
      <w:marRight w:val="0"/>
      <w:marTop w:val="0"/>
      <w:marBottom w:val="0"/>
      <w:divBdr>
        <w:top w:val="none" w:sz="0" w:space="0" w:color="auto"/>
        <w:left w:val="none" w:sz="0" w:space="0" w:color="auto"/>
        <w:bottom w:val="none" w:sz="0" w:space="0" w:color="auto"/>
        <w:right w:val="none" w:sz="0" w:space="0" w:color="auto"/>
      </w:divBdr>
    </w:div>
    <w:div w:id="1496409810">
      <w:bodyDiv w:val="1"/>
      <w:marLeft w:val="0"/>
      <w:marRight w:val="0"/>
      <w:marTop w:val="0"/>
      <w:marBottom w:val="0"/>
      <w:divBdr>
        <w:top w:val="none" w:sz="0" w:space="0" w:color="auto"/>
        <w:left w:val="none" w:sz="0" w:space="0" w:color="auto"/>
        <w:bottom w:val="none" w:sz="0" w:space="0" w:color="auto"/>
        <w:right w:val="none" w:sz="0" w:space="0" w:color="auto"/>
      </w:divBdr>
    </w:div>
    <w:div w:id="1498763009">
      <w:bodyDiv w:val="1"/>
      <w:marLeft w:val="0"/>
      <w:marRight w:val="0"/>
      <w:marTop w:val="0"/>
      <w:marBottom w:val="0"/>
      <w:divBdr>
        <w:top w:val="none" w:sz="0" w:space="0" w:color="auto"/>
        <w:left w:val="none" w:sz="0" w:space="0" w:color="auto"/>
        <w:bottom w:val="none" w:sz="0" w:space="0" w:color="auto"/>
        <w:right w:val="none" w:sz="0" w:space="0" w:color="auto"/>
      </w:divBdr>
    </w:div>
    <w:div w:id="1498839100">
      <w:bodyDiv w:val="1"/>
      <w:marLeft w:val="0"/>
      <w:marRight w:val="0"/>
      <w:marTop w:val="0"/>
      <w:marBottom w:val="0"/>
      <w:divBdr>
        <w:top w:val="none" w:sz="0" w:space="0" w:color="auto"/>
        <w:left w:val="none" w:sz="0" w:space="0" w:color="auto"/>
        <w:bottom w:val="none" w:sz="0" w:space="0" w:color="auto"/>
        <w:right w:val="none" w:sz="0" w:space="0" w:color="auto"/>
      </w:divBdr>
    </w:div>
    <w:div w:id="1498885236">
      <w:bodyDiv w:val="1"/>
      <w:marLeft w:val="0"/>
      <w:marRight w:val="0"/>
      <w:marTop w:val="0"/>
      <w:marBottom w:val="0"/>
      <w:divBdr>
        <w:top w:val="none" w:sz="0" w:space="0" w:color="auto"/>
        <w:left w:val="none" w:sz="0" w:space="0" w:color="auto"/>
        <w:bottom w:val="none" w:sz="0" w:space="0" w:color="auto"/>
        <w:right w:val="none" w:sz="0" w:space="0" w:color="auto"/>
      </w:divBdr>
    </w:div>
    <w:div w:id="1501389373">
      <w:bodyDiv w:val="1"/>
      <w:marLeft w:val="0"/>
      <w:marRight w:val="0"/>
      <w:marTop w:val="0"/>
      <w:marBottom w:val="0"/>
      <w:divBdr>
        <w:top w:val="none" w:sz="0" w:space="0" w:color="auto"/>
        <w:left w:val="none" w:sz="0" w:space="0" w:color="auto"/>
        <w:bottom w:val="none" w:sz="0" w:space="0" w:color="auto"/>
        <w:right w:val="none" w:sz="0" w:space="0" w:color="auto"/>
      </w:divBdr>
    </w:div>
    <w:div w:id="1501893205">
      <w:bodyDiv w:val="1"/>
      <w:marLeft w:val="0"/>
      <w:marRight w:val="0"/>
      <w:marTop w:val="0"/>
      <w:marBottom w:val="0"/>
      <w:divBdr>
        <w:top w:val="none" w:sz="0" w:space="0" w:color="auto"/>
        <w:left w:val="none" w:sz="0" w:space="0" w:color="auto"/>
        <w:bottom w:val="none" w:sz="0" w:space="0" w:color="auto"/>
        <w:right w:val="none" w:sz="0" w:space="0" w:color="auto"/>
      </w:divBdr>
    </w:div>
    <w:div w:id="1504588341">
      <w:bodyDiv w:val="1"/>
      <w:marLeft w:val="0"/>
      <w:marRight w:val="0"/>
      <w:marTop w:val="0"/>
      <w:marBottom w:val="0"/>
      <w:divBdr>
        <w:top w:val="none" w:sz="0" w:space="0" w:color="auto"/>
        <w:left w:val="none" w:sz="0" w:space="0" w:color="auto"/>
        <w:bottom w:val="none" w:sz="0" w:space="0" w:color="auto"/>
        <w:right w:val="none" w:sz="0" w:space="0" w:color="auto"/>
      </w:divBdr>
    </w:div>
    <w:div w:id="1505626860">
      <w:bodyDiv w:val="1"/>
      <w:marLeft w:val="0"/>
      <w:marRight w:val="0"/>
      <w:marTop w:val="0"/>
      <w:marBottom w:val="0"/>
      <w:divBdr>
        <w:top w:val="none" w:sz="0" w:space="0" w:color="auto"/>
        <w:left w:val="none" w:sz="0" w:space="0" w:color="auto"/>
        <w:bottom w:val="none" w:sz="0" w:space="0" w:color="auto"/>
        <w:right w:val="none" w:sz="0" w:space="0" w:color="auto"/>
      </w:divBdr>
    </w:div>
    <w:div w:id="1505971582">
      <w:bodyDiv w:val="1"/>
      <w:marLeft w:val="0"/>
      <w:marRight w:val="0"/>
      <w:marTop w:val="0"/>
      <w:marBottom w:val="0"/>
      <w:divBdr>
        <w:top w:val="none" w:sz="0" w:space="0" w:color="auto"/>
        <w:left w:val="none" w:sz="0" w:space="0" w:color="auto"/>
        <w:bottom w:val="none" w:sz="0" w:space="0" w:color="auto"/>
        <w:right w:val="none" w:sz="0" w:space="0" w:color="auto"/>
      </w:divBdr>
    </w:div>
    <w:div w:id="1511485380">
      <w:bodyDiv w:val="1"/>
      <w:marLeft w:val="0"/>
      <w:marRight w:val="0"/>
      <w:marTop w:val="0"/>
      <w:marBottom w:val="0"/>
      <w:divBdr>
        <w:top w:val="none" w:sz="0" w:space="0" w:color="auto"/>
        <w:left w:val="none" w:sz="0" w:space="0" w:color="auto"/>
        <w:bottom w:val="none" w:sz="0" w:space="0" w:color="auto"/>
        <w:right w:val="none" w:sz="0" w:space="0" w:color="auto"/>
      </w:divBdr>
    </w:div>
    <w:div w:id="1515918206">
      <w:bodyDiv w:val="1"/>
      <w:marLeft w:val="0"/>
      <w:marRight w:val="0"/>
      <w:marTop w:val="0"/>
      <w:marBottom w:val="0"/>
      <w:divBdr>
        <w:top w:val="none" w:sz="0" w:space="0" w:color="auto"/>
        <w:left w:val="none" w:sz="0" w:space="0" w:color="auto"/>
        <w:bottom w:val="none" w:sz="0" w:space="0" w:color="auto"/>
        <w:right w:val="none" w:sz="0" w:space="0" w:color="auto"/>
      </w:divBdr>
    </w:div>
    <w:div w:id="1519345285">
      <w:bodyDiv w:val="1"/>
      <w:marLeft w:val="0"/>
      <w:marRight w:val="0"/>
      <w:marTop w:val="0"/>
      <w:marBottom w:val="0"/>
      <w:divBdr>
        <w:top w:val="none" w:sz="0" w:space="0" w:color="auto"/>
        <w:left w:val="none" w:sz="0" w:space="0" w:color="auto"/>
        <w:bottom w:val="none" w:sz="0" w:space="0" w:color="auto"/>
        <w:right w:val="none" w:sz="0" w:space="0" w:color="auto"/>
      </w:divBdr>
    </w:div>
    <w:div w:id="1520387473">
      <w:bodyDiv w:val="1"/>
      <w:marLeft w:val="0"/>
      <w:marRight w:val="0"/>
      <w:marTop w:val="0"/>
      <w:marBottom w:val="0"/>
      <w:divBdr>
        <w:top w:val="none" w:sz="0" w:space="0" w:color="auto"/>
        <w:left w:val="none" w:sz="0" w:space="0" w:color="auto"/>
        <w:bottom w:val="none" w:sz="0" w:space="0" w:color="auto"/>
        <w:right w:val="none" w:sz="0" w:space="0" w:color="auto"/>
      </w:divBdr>
    </w:div>
    <w:div w:id="1520586814">
      <w:bodyDiv w:val="1"/>
      <w:marLeft w:val="0"/>
      <w:marRight w:val="0"/>
      <w:marTop w:val="0"/>
      <w:marBottom w:val="0"/>
      <w:divBdr>
        <w:top w:val="none" w:sz="0" w:space="0" w:color="auto"/>
        <w:left w:val="none" w:sz="0" w:space="0" w:color="auto"/>
        <w:bottom w:val="none" w:sz="0" w:space="0" w:color="auto"/>
        <w:right w:val="none" w:sz="0" w:space="0" w:color="auto"/>
      </w:divBdr>
    </w:div>
    <w:div w:id="1521972094">
      <w:bodyDiv w:val="1"/>
      <w:marLeft w:val="0"/>
      <w:marRight w:val="0"/>
      <w:marTop w:val="0"/>
      <w:marBottom w:val="0"/>
      <w:divBdr>
        <w:top w:val="none" w:sz="0" w:space="0" w:color="auto"/>
        <w:left w:val="none" w:sz="0" w:space="0" w:color="auto"/>
        <w:bottom w:val="none" w:sz="0" w:space="0" w:color="auto"/>
        <w:right w:val="none" w:sz="0" w:space="0" w:color="auto"/>
      </w:divBdr>
    </w:div>
    <w:div w:id="1522431106">
      <w:bodyDiv w:val="1"/>
      <w:marLeft w:val="0"/>
      <w:marRight w:val="0"/>
      <w:marTop w:val="0"/>
      <w:marBottom w:val="0"/>
      <w:divBdr>
        <w:top w:val="none" w:sz="0" w:space="0" w:color="auto"/>
        <w:left w:val="none" w:sz="0" w:space="0" w:color="auto"/>
        <w:bottom w:val="none" w:sz="0" w:space="0" w:color="auto"/>
        <w:right w:val="none" w:sz="0" w:space="0" w:color="auto"/>
      </w:divBdr>
    </w:div>
    <w:div w:id="1524630419">
      <w:bodyDiv w:val="1"/>
      <w:marLeft w:val="0"/>
      <w:marRight w:val="0"/>
      <w:marTop w:val="0"/>
      <w:marBottom w:val="0"/>
      <w:divBdr>
        <w:top w:val="none" w:sz="0" w:space="0" w:color="auto"/>
        <w:left w:val="none" w:sz="0" w:space="0" w:color="auto"/>
        <w:bottom w:val="none" w:sz="0" w:space="0" w:color="auto"/>
        <w:right w:val="none" w:sz="0" w:space="0" w:color="auto"/>
      </w:divBdr>
    </w:div>
    <w:div w:id="1526019421">
      <w:bodyDiv w:val="1"/>
      <w:marLeft w:val="0"/>
      <w:marRight w:val="0"/>
      <w:marTop w:val="0"/>
      <w:marBottom w:val="0"/>
      <w:divBdr>
        <w:top w:val="none" w:sz="0" w:space="0" w:color="auto"/>
        <w:left w:val="none" w:sz="0" w:space="0" w:color="auto"/>
        <w:bottom w:val="none" w:sz="0" w:space="0" w:color="auto"/>
        <w:right w:val="none" w:sz="0" w:space="0" w:color="auto"/>
      </w:divBdr>
    </w:div>
    <w:div w:id="1526405268">
      <w:bodyDiv w:val="1"/>
      <w:marLeft w:val="0"/>
      <w:marRight w:val="0"/>
      <w:marTop w:val="0"/>
      <w:marBottom w:val="0"/>
      <w:divBdr>
        <w:top w:val="none" w:sz="0" w:space="0" w:color="auto"/>
        <w:left w:val="none" w:sz="0" w:space="0" w:color="auto"/>
        <w:bottom w:val="none" w:sz="0" w:space="0" w:color="auto"/>
        <w:right w:val="none" w:sz="0" w:space="0" w:color="auto"/>
      </w:divBdr>
    </w:div>
    <w:div w:id="1527013225">
      <w:bodyDiv w:val="1"/>
      <w:marLeft w:val="0"/>
      <w:marRight w:val="0"/>
      <w:marTop w:val="0"/>
      <w:marBottom w:val="0"/>
      <w:divBdr>
        <w:top w:val="none" w:sz="0" w:space="0" w:color="auto"/>
        <w:left w:val="none" w:sz="0" w:space="0" w:color="auto"/>
        <w:bottom w:val="none" w:sz="0" w:space="0" w:color="auto"/>
        <w:right w:val="none" w:sz="0" w:space="0" w:color="auto"/>
      </w:divBdr>
    </w:div>
    <w:div w:id="1527644393">
      <w:bodyDiv w:val="1"/>
      <w:marLeft w:val="0"/>
      <w:marRight w:val="0"/>
      <w:marTop w:val="0"/>
      <w:marBottom w:val="0"/>
      <w:divBdr>
        <w:top w:val="none" w:sz="0" w:space="0" w:color="auto"/>
        <w:left w:val="none" w:sz="0" w:space="0" w:color="auto"/>
        <w:bottom w:val="none" w:sz="0" w:space="0" w:color="auto"/>
        <w:right w:val="none" w:sz="0" w:space="0" w:color="auto"/>
      </w:divBdr>
    </w:div>
    <w:div w:id="1527983457">
      <w:bodyDiv w:val="1"/>
      <w:marLeft w:val="0"/>
      <w:marRight w:val="0"/>
      <w:marTop w:val="0"/>
      <w:marBottom w:val="0"/>
      <w:divBdr>
        <w:top w:val="none" w:sz="0" w:space="0" w:color="auto"/>
        <w:left w:val="none" w:sz="0" w:space="0" w:color="auto"/>
        <w:bottom w:val="none" w:sz="0" w:space="0" w:color="auto"/>
        <w:right w:val="none" w:sz="0" w:space="0" w:color="auto"/>
      </w:divBdr>
    </w:div>
    <w:div w:id="1529175586">
      <w:bodyDiv w:val="1"/>
      <w:marLeft w:val="0"/>
      <w:marRight w:val="0"/>
      <w:marTop w:val="0"/>
      <w:marBottom w:val="0"/>
      <w:divBdr>
        <w:top w:val="none" w:sz="0" w:space="0" w:color="auto"/>
        <w:left w:val="none" w:sz="0" w:space="0" w:color="auto"/>
        <w:bottom w:val="none" w:sz="0" w:space="0" w:color="auto"/>
        <w:right w:val="none" w:sz="0" w:space="0" w:color="auto"/>
      </w:divBdr>
    </w:div>
    <w:div w:id="1529441405">
      <w:bodyDiv w:val="1"/>
      <w:marLeft w:val="0"/>
      <w:marRight w:val="0"/>
      <w:marTop w:val="0"/>
      <w:marBottom w:val="0"/>
      <w:divBdr>
        <w:top w:val="none" w:sz="0" w:space="0" w:color="auto"/>
        <w:left w:val="none" w:sz="0" w:space="0" w:color="auto"/>
        <w:bottom w:val="none" w:sz="0" w:space="0" w:color="auto"/>
        <w:right w:val="none" w:sz="0" w:space="0" w:color="auto"/>
      </w:divBdr>
    </w:div>
    <w:div w:id="1532575267">
      <w:bodyDiv w:val="1"/>
      <w:marLeft w:val="0"/>
      <w:marRight w:val="0"/>
      <w:marTop w:val="0"/>
      <w:marBottom w:val="0"/>
      <w:divBdr>
        <w:top w:val="none" w:sz="0" w:space="0" w:color="auto"/>
        <w:left w:val="none" w:sz="0" w:space="0" w:color="auto"/>
        <w:bottom w:val="none" w:sz="0" w:space="0" w:color="auto"/>
        <w:right w:val="none" w:sz="0" w:space="0" w:color="auto"/>
      </w:divBdr>
    </w:div>
    <w:div w:id="1532693563">
      <w:bodyDiv w:val="1"/>
      <w:marLeft w:val="0"/>
      <w:marRight w:val="0"/>
      <w:marTop w:val="0"/>
      <w:marBottom w:val="0"/>
      <w:divBdr>
        <w:top w:val="none" w:sz="0" w:space="0" w:color="auto"/>
        <w:left w:val="none" w:sz="0" w:space="0" w:color="auto"/>
        <w:bottom w:val="none" w:sz="0" w:space="0" w:color="auto"/>
        <w:right w:val="none" w:sz="0" w:space="0" w:color="auto"/>
      </w:divBdr>
    </w:div>
    <w:div w:id="1532766758">
      <w:bodyDiv w:val="1"/>
      <w:marLeft w:val="0"/>
      <w:marRight w:val="0"/>
      <w:marTop w:val="0"/>
      <w:marBottom w:val="0"/>
      <w:divBdr>
        <w:top w:val="none" w:sz="0" w:space="0" w:color="auto"/>
        <w:left w:val="none" w:sz="0" w:space="0" w:color="auto"/>
        <w:bottom w:val="none" w:sz="0" w:space="0" w:color="auto"/>
        <w:right w:val="none" w:sz="0" w:space="0" w:color="auto"/>
      </w:divBdr>
    </w:div>
    <w:div w:id="1533153372">
      <w:bodyDiv w:val="1"/>
      <w:marLeft w:val="0"/>
      <w:marRight w:val="0"/>
      <w:marTop w:val="0"/>
      <w:marBottom w:val="0"/>
      <w:divBdr>
        <w:top w:val="none" w:sz="0" w:space="0" w:color="auto"/>
        <w:left w:val="none" w:sz="0" w:space="0" w:color="auto"/>
        <w:bottom w:val="none" w:sz="0" w:space="0" w:color="auto"/>
        <w:right w:val="none" w:sz="0" w:space="0" w:color="auto"/>
      </w:divBdr>
    </w:div>
    <w:div w:id="1533154433">
      <w:bodyDiv w:val="1"/>
      <w:marLeft w:val="0"/>
      <w:marRight w:val="0"/>
      <w:marTop w:val="0"/>
      <w:marBottom w:val="0"/>
      <w:divBdr>
        <w:top w:val="none" w:sz="0" w:space="0" w:color="auto"/>
        <w:left w:val="none" w:sz="0" w:space="0" w:color="auto"/>
        <w:bottom w:val="none" w:sz="0" w:space="0" w:color="auto"/>
        <w:right w:val="none" w:sz="0" w:space="0" w:color="auto"/>
      </w:divBdr>
    </w:div>
    <w:div w:id="1533498494">
      <w:bodyDiv w:val="1"/>
      <w:marLeft w:val="0"/>
      <w:marRight w:val="0"/>
      <w:marTop w:val="0"/>
      <w:marBottom w:val="0"/>
      <w:divBdr>
        <w:top w:val="none" w:sz="0" w:space="0" w:color="auto"/>
        <w:left w:val="none" w:sz="0" w:space="0" w:color="auto"/>
        <w:bottom w:val="none" w:sz="0" w:space="0" w:color="auto"/>
        <w:right w:val="none" w:sz="0" w:space="0" w:color="auto"/>
      </w:divBdr>
    </w:div>
    <w:div w:id="1534001234">
      <w:bodyDiv w:val="1"/>
      <w:marLeft w:val="0"/>
      <w:marRight w:val="0"/>
      <w:marTop w:val="0"/>
      <w:marBottom w:val="0"/>
      <w:divBdr>
        <w:top w:val="none" w:sz="0" w:space="0" w:color="auto"/>
        <w:left w:val="none" w:sz="0" w:space="0" w:color="auto"/>
        <w:bottom w:val="none" w:sz="0" w:space="0" w:color="auto"/>
        <w:right w:val="none" w:sz="0" w:space="0" w:color="auto"/>
      </w:divBdr>
    </w:div>
    <w:div w:id="1534807880">
      <w:bodyDiv w:val="1"/>
      <w:marLeft w:val="0"/>
      <w:marRight w:val="0"/>
      <w:marTop w:val="0"/>
      <w:marBottom w:val="0"/>
      <w:divBdr>
        <w:top w:val="none" w:sz="0" w:space="0" w:color="auto"/>
        <w:left w:val="none" w:sz="0" w:space="0" w:color="auto"/>
        <w:bottom w:val="none" w:sz="0" w:space="0" w:color="auto"/>
        <w:right w:val="none" w:sz="0" w:space="0" w:color="auto"/>
      </w:divBdr>
    </w:div>
    <w:div w:id="1535849966">
      <w:bodyDiv w:val="1"/>
      <w:marLeft w:val="0"/>
      <w:marRight w:val="0"/>
      <w:marTop w:val="0"/>
      <w:marBottom w:val="0"/>
      <w:divBdr>
        <w:top w:val="none" w:sz="0" w:space="0" w:color="auto"/>
        <w:left w:val="none" w:sz="0" w:space="0" w:color="auto"/>
        <w:bottom w:val="none" w:sz="0" w:space="0" w:color="auto"/>
        <w:right w:val="none" w:sz="0" w:space="0" w:color="auto"/>
      </w:divBdr>
    </w:div>
    <w:div w:id="1535851578">
      <w:bodyDiv w:val="1"/>
      <w:marLeft w:val="0"/>
      <w:marRight w:val="0"/>
      <w:marTop w:val="0"/>
      <w:marBottom w:val="0"/>
      <w:divBdr>
        <w:top w:val="none" w:sz="0" w:space="0" w:color="auto"/>
        <w:left w:val="none" w:sz="0" w:space="0" w:color="auto"/>
        <w:bottom w:val="none" w:sz="0" w:space="0" w:color="auto"/>
        <w:right w:val="none" w:sz="0" w:space="0" w:color="auto"/>
      </w:divBdr>
    </w:div>
    <w:div w:id="1537308239">
      <w:bodyDiv w:val="1"/>
      <w:marLeft w:val="0"/>
      <w:marRight w:val="0"/>
      <w:marTop w:val="0"/>
      <w:marBottom w:val="0"/>
      <w:divBdr>
        <w:top w:val="none" w:sz="0" w:space="0" w:color="auto"/>
        <w:left w:val="none" w:sz="0" w:space="0" w:color="auto"/>
        <w:bottom w:val="none" w:sz="0" w:space="0" w:color="auto"/>
        <w:right w:val="none" w:sz="0" w:space="0" w:color="auto"/>
      </w:divBdr>
    </w:div>
    <w:div w:id="1537351986">
      <w:bodyDiv w:val="1"/>
      <w:marLeft w:val="0"/>
      <w:marRight w:val="0"/>
      <w:marTop w:val="0"/>
      <w:marBottom w:val="0"/>
      <w:divBdr>
        <w:top w:val="none" w:sz="0" w:space="0" w:color="auto"/>
        <w:left w:val="none" w:sz="0" w:space="0" w:color="auto"/>
        <w:bottom w:val="none" w:sz="0" w:space="0" w:color="auto"/>
        <w:right w:val="none" w:sz="0" w:space="0" w:color="auto"/>
      </w:divBdr>
    </w:div>
    <w:div w:id="1539511842">
      <w:bodyDiv w:val="1"/>
      <w:marLeft w:val="0"/>
      <w:marRight w:val="0"/>
      <w:marTop w:val="0"/>
      <w:marBottom w:val="0"/>
      <w:divBdr>
        <w:top w:val="none" w:sz="0" w:space="0" w:color="auto"/>
        <w:left w:val="none" w:sz="0" w:space="0" w:color="auto"/>
        <w:bottom w:val="none" w:sz="0" w:space="0" w:color="auto"/>
        <w:right w:val="none" w:sz="0" w:space="0" w:color="auto"/>
      </w:divBdr>
    </w:div>
    <w:div w:id="1540701023">
      <w:bodyDiv w:val="1"/>
      <w:marLeft w:val="0"/>
      <w:marRight w:val="0"/>
      <w:marTop w:val="0"/>
      <w:marBottom w:val="0"/>
      <w:divBdr>
        <w:top w:val="none" w:sz="0" w:space="0" w:color="auto"/>
        <w:left w:val="none" w:sz="0" w:space="0" w:color="auto"/>
        <w:bottom w:val="none" w:sz="0" w:space="0" w:color="auto"/>
        <w:right w:val="none" w:sz="0" w:space="0" w:color="auto"/>
      </w:divBdr>
    </w:div>
    <w:div w:id="1542667842">
      <w:bodyDiv w:val="1"/>
      <w:marLeft w:val="0"/>
      <w:marRight w:val="0"/>
      <w:marTop w:val="0"/>
      <w:marBottom w:val="0"/>
      <w:divBdr>
        <w:top w:val="none" w:sz="0" w:space="0" w:color="auto"/>
        <w:left w:val="none" w:sz="0" w:space="0" w:color="auto"/>
        <w:bottom w:val="none" w:sz="0" w:space="0" w:color="auto"/>
        <w:right w:val="none" w:sz="0" w:space="0" w:color="auto"/>
      </w:divBdr>
    </w:div>
    <w:div w:id="1543127586">
      <w:bodyDiv w:val="1"/>
      <w:marLeft w:val="0"/>
      <w:marRight w:val="0"/>
      <w:marTop w:val="0"/>
      <w:marBottom w:val="0"/>
      <w:divBdr>
        <w:top w:val="none" w:sz="0" w:space="0" w:color="auto"/>
        <w:left w:val="none" w:sz="0" w:space="0" w:color="auto"/>
        <w:bottom w:val="none" w:sz="0" w:space="0" w:color="auto"/>
        <w:right w:val="none" w:sz="0" w:space="0" w:color="auto"/>
      </w:divBdr>
    </w:div>
    <w:div w:id="1543519473">
      <w:bodyDiv w:val="1"/>
      <w:marLeft w:val="0"/>
      <w:marRight w:val="0"/>
      <w:marTop w:val="0"/>
      <w:marBottom w:val="0"/>
      <w:divBdr>
        <w:top w:val="none" w:sz="0" w:space="0" w:color="auto"/>
        <w:left w:val="none" w:sz="0" w:space="0" w:color="auto"/>
        <w:bottom w:val="none" w:sz="0" w:space="0" w:color="auto"/>
        <w:right w:val="none" w:sz="0" w:space="0" w:color="auto"/>
      </w:divBdr>
    </w:div>
    <w:div w:id="1545169277">
      <w:bodyDiv w:val="1"/>
      <w:marLeft w:val="0"/>
      <w:marRight w:val="0"/>
      <w:marTop w:val="0"/>
      <w:marBottom w:val="0"/>
      <w:divBdr>
        <w:top w:val="none" w:sz="0" w:space="0" w:color="auto"/>
        <w:left w:val="none" w:sz="0" w:space="0" w:color="auto"/>
        <w:bottom w:val="none" w:sz="0" w:space="0" w:color="auto"/>
        <w:right w:val="none" w:sz="0" w:space="0" w:color="auto"/>
      </w:divBdr>
    </w:div>
    <w:div w:id="1546335443">
      <w:bodyDiv w:val="1"/>
      <w:marLeft w:val="0"/>
      <w:marRight w:val="0"/>
      <w:marTop w:val="0"/>
      <w:marBottom w:val="0"/>
      <w:divBdr>
        <w:top w:val="none" w:sz="0" w:space="0" w:color="auto"/>
        <w:left w:val="none" w:sz="0" w:space="0" w:color="auto"/>
        <w:bottom w:val="none" w:sz="0" w:space="0" w:color="auto"/>
        <w:right w:val="none" w:sz="0" w:space="0" w:color="auto"/>
      </w:divBdr>
    </w:div>
    <w:div w:id="1546718014">
      <w:bodyDiv w:val="1"/>
      <w:marLeft w:val="0"/>
      <w:marRight w:val="0"/>
      <w:marTop w:val="0"/>
      <w:marBottom w:val="0"/>
      <w:divBdr>
        <w:top w:val="none" w:sz="0" w:space="0" w:color="auto"/>
        <w:left w:val="none" w:sz="0" w:space="0" w:color="auto"/>
        <w:bottom w:val="none" w:sz="0" w:space="0" w:color="auto"/>
        <w:right w:val="none" w:sz="0" w:space="0" w:color="auto"/>
      </w:divBdr>
    </w:div>
    <w:div w:id="1546791784">
      <w:bodyDiv w:val="1"/>
      <w:marLeft w:val="0"/>
      <w:marRight w:val="0"/>
      <w:marTop w:val="0"/>
      <w:marBottom w:val="0"/>
      <w:divBdr>
        <w:top w:val="none" w:sz="0" w:space="0" w:color="auto"/>
        <w:left w:val="none" w:sz="0" w:space="0" w:color="auto"/>
        <w:bottom w:val="none" w:sz="0" w:space="0" w:color="auto"/>
        <w:right w:val="none" w:sz="0" w:space="0" w:color="auto"/>
      </w:divBdr>
    </w:div>
    <w:div w:id="1546867183">
      <w:bodyDiv w:val="1"/>
      <w:marLeft w:val="0"/>
      <w:marRight w:val="0"/>
      <w:marTop w:val="0"/>
      <w:marBottom w:val="0"/>
      <w:divBdr>
        <w:top w:val="none" w:sz="0" w:space="0" w:color="auto"/>
        <w:left w:val="none" w:sz="0" w:space="0" w:color="auto"/>
        <w:bottom w:val="none" w:sz="0" w:space="0" w:color="auto"/>
        <w:right w:val="none" w:sz="0" w:space="0" w:color="auto"/>
      </w:divBdr>
    </w:div>
    <w:div w:id="1547179210">
      <w:bodyDiv w:val="1"/>
      <w:marLeft w:val="0"/>
      <w:marRight w:val="0"/>
      <w:marTop w:val="0"/>
      <w:marBottom w:val="0"/>
      <w:divBdr>
        <w:top w:val="none" w:sz="0" w:space="0" w:color="auto"/>
        <w:left w:val="none" w:sz="0" w:space="0" w:color="auto"/>
        <w:bottom w:val="none" w:sz="0" w:space="0" w:color="auto"/>
        <w:right w:val="none" w:sz="0" w:space="0" w:color="auto"/>
      </w:divBdr>
    </w:div>
    <w:div w:id="1547831897">
      <w:bodyDiv w:val="1"/>
      <w:marLeft w:val="0"/>
      <w:marRight w:val="0"/>
      <w:marTop w:val="0"/>
      <w:marBottom w:val="0"/>
      <w:divBdr>
        <w:top w:val="none" w:sz="0" w:space="0" w:color="auto"/>
        <w:left w:val="none" w:sz="0" w:space="0" w:color="auto"/>
        <w:bottom w:val="none" w:sz="0" w:space="0" w:color="auto"/>
        <w:right w:val="none" w:sz="0" w:space="0" w:color="auto"/>
      </w:divBdr>
    </w:div>
    <w:div w:id="1548487322">
      <w:bodyDiv w:val="1"/>
      <w:marLeft w:val="0"/>
      <w:marRight w:val="0"/>
      <w:marTop w:val="0"/>
      <w:marBottom w:val="0"/>
      <w:divBdr>
        <w:top w:val="none" w:sz="0" w:space="0" w:color="auto"/>
        <w:left w:val="none" w:sz="0" w:space="0" w:color="auto"/>
        <w:bottom w:val="none" w:sz="0" w:space="0" w:color="auto"/>
        <w:right w:val="none" w:sz="0" w:space="0" w:color="auto"/>
      </w:divBdr>
    </w:div>
    <w:div w:id="1550653317">
      <w:bodyDiv w:val="1"/>
      <w:marLeft w:val="0"/>
      <w:marRight w:val="0"/>
      <w:marTop w:val="0"/>
      <w:marBottom w:val="0"/>
      <w:divBdr>
        <w:top w:val="none" w:sz="0" w:space="0" w:color="auto"/>
        <w:left w:val="none" w:sz="0" w:space="0" w:color="auto"/>
        <w:bottom w:val="none" w:sz="0" w:space="0" w:color="auto"/>
        <w:right w:val="none" w:sz="0" w:space="0" w:color="auto"/>
      </w:divBdr>
    </w:div>
    <w:div w:id="1551187890">
      <w:bodyDiv w:val="1"/>
      <w:marLeft w:val="0"/>
      <w:marRight w:val="0"/>
      <w:marTop w:val="0"/>
      <w:marBottom w:val="0"/>
      <w:divBdr>
        <w:top w:val="none" w:sz="0" w:space="0" w:color="auto"/>
        <w:left w:val="none" w:sz="0" w:space="0" w:color="auto"/>
        <w:bottom w:val="none" w:sz="0" w:space="0" w:color="auto"/>
        <w:right w:val="none" w:sz="0" w:space="0" w:color="auto"/>
      </w:divBdr>
    </w:div>
    <w:div w:id="1551264708">
      <w:bodyDiv w:val="1"/>
      <w:marLeft w:val="0"/>
      <w:marRight w:val="0"/>
      <w:marTop w:val="0"/>
      <w:marBottom w:val="0"/>
      <w:divBdr>
        <w:top w:val="none" w:sz="0" w:space="0" w:color="auto"/>
        <w:left w:val="none" w:sz="0" w:space="0" w:color="auto"/>
        <w:bottom w:val="none" w:sz="0" w:space="0" w:color="auto"/>
        <w:right w:val="none" w:sz="0" w:space="0" w:color="auto"/>
      </w:divBdr>
    </w:div>
    <w:div w:id="1551573209">
      <w:bodyDiv w:val="1"/>
      <w:marLeft w:val="0"/>
      <w:marRight w:val="0"/>
      <w:marTop w:val="0"/>
      <w:marBottom w:val="0"/>
      <w:divBdr>
        <w:top w:val="none" w:sz="0" w:space="0" w:color="auto"/>
        <w:left w:val="none" w:sz="0" w:space="0" w:color="auto"/>
        <w:bottom w:val="none" w:sz="0" w:space="0" w:color="auto"/>
        <w:right w:val="none" w:sz="0" w:space="0" w:color="auto"/>
      </w:divBdr>
    </w:div>
    <w:div w:id="1551771792">
      <w:bodyDiv w:val="1"/>
      <w:marLeft w:val="0"/>
      <w:marRight w:val="0"/>
      <w:marTop w:val="0"/>
      <w:marBottom w:val="0"/>
      <w:divBdr>
        <w:top w:val="none" w:sz="0" w:space="0" w:color="auto"/>
        <w:left w:val="none" w:sz="0" w:space="0" w:color="auto"/>
        <w:bottom w:val="none" w:sz="0" w:space="0" w:color="auto"/>
        <w:right w:val="none" w:sz="0" w:space="0" w:color="auto"/>
      </w:divBdr>
    </w:div>
    <w:div w:id="1555308192">
      <w:bodyDiv w:val="1"/>
      <w:marLeft w:val="0"/>
      <w:marRight w:val="0"/>
      <w:marTop w:val="0"/>
      <w:marBottom w:val="0"/>
      <w:divBdr>
        <w:top w:val="none" w:sz="0" w:space="0" w:color="auto"/>
        <w:left w:val="none" w:sz="0" w:space="0" w:color="auto"/>
        <w:bottom w:val="none" w:sz="0" w:space="0" w:color="auto"/>
        <w:right w:val="none" w:sz="0" w:space="0" w:color="auto"/>
      </w:divBdr>
    </w:div>
    <w:div w:id="1555703385">
      <w:bodyDiv w:val="1"/>
      <w:marLeft w:val="0"/>
      <w:marRight w:val="0"/>
      <w:marTop w:val="0"/>
      <w:marBottom w:val="0"/>
      <w:divBdr>
        <w:top w:val="none" w:sz="0" w:space="0" w:color="auto"/>
        <w:left w:val="none" w:sz="0" w:space="0" w:color="auto"/>
        <w:bottom w:val="none" w:sz="0" w:space="0" w:color="auto"/>
        <w:right w:val="none" w:sz="0" w:space="0" w:color="auto"/>
      </w:divBdr>
    </w:div>
    <w:div w:id="1555971908">
      <w:bodyDiv w:val="1"/>
      <w:marLeft w:val="0"/>
      <w:marRight w:val="0"/>
      <w:marTop w:val="0"/>
      <w:marBottom w:val="0"/>
      <w:divBdr>
        <w:top w:val="none" w:sz="0" w:space="0" w:color="auto"/>
        <w:left w:val="none" w:sz="0" w:space="0" w:color="auto"/>
        <w:bottom w:val="none" w:sz="0" w:space="0" w:color="auto"/>
        <w:right w:val="none" w:sz="0" w:space="0" w:color="auto"/>
      </w:divBdr>
    </w:div>
    <w:div w:id="1556431437">
      <w:bodyDiv w:val="1"/>
      <w:marLeft w:val="0"/>
      <w:marRight w:val="0"/>
      <w:marTop w:val="0"/>
      <w:marBottom w:val="0"/>
      <w:divBdr>
        <w:top w:val="none" w:sz="0" w:space="0" w:color="auto"/>
        <w:left w:val="none" w:sz="0" w:space="0" w:color="auto"/>
        <w:bottom w:val="none" w:sz="0" w:space="0" w:color="auto"/>
        <w:right w:val="none" w:sz="0" w:space="0" w:color="auto"/>
      </w:divBdr>
    </w:div>
    <w:div w:id="1556433845">
      <w:bodyDiv w:val="1"/>
      <w:marLeft w:val="0"/>
      <w:marRight w:val="0"/>
      <w:marTop w:val="0"/>
      <w:marBottom w:val="0"/>
      <w:divBdr>
        <w:top w:val="none" w:sz="0" w:space="0" w:color="auto"/>
        <w:left w:val="none" w:sz="0" w:space="0" w:color="auto"/>
        <w:bottom w:val="none" w:sz="0" w:space="0" w:color="auto"/>
        <w:right w:val="none" w:sz="0" w:space="0" w:color="auto"/>
      </w:divBdr>
    </w:div>
    <w:div w:id="1557011261">
      <w:bodyDiv w:val="1"/>
      <w:marLeft w:val="0"/>
      <w:marRight w:val="0"/>
      <w:marTop w:val="0"/>
      <w:marBottom w:val="0"/>
      <w:divBdr>
        <w:top w:val="none" w:sz="0" w:space="0" w:color="auto"/>
        <w:left w:val="none" w:sz="0" w:space="0" w:color="auto"/>
        <w:bottom w:val="none" w:sz="0" w:space="0" w:color="auto"/>
        <w:right w:val="none" w:sz="0" w:space="0" w:color="auto"/>
      </w:divBdr>
    </w:div>
    <w:div w:id="1560431800">
      <w:bodyDiv w:val="1"/>
      <w:marLeft w:val="0"/>
      <w:marRight w:val="0"/>
      <w:marTop w:val="0"/>
      <w:marBottom w:val="0"/>
      <w:divBdr>
        <w:top w:val="none" w:sz="0" w:space="0" w:color="auto"/>
        <w:left w:val="none" w:sz="0" w:space="0" w:color="auto"/>
        <w:bottom w:val="none" w:sz="0" w:space="0" w:color="auto"/>
        <w:right w:val="none" w:sz="0" w:space="0" w:color="auto"/>
      </w:divBdr>
    </w:div>
    <w:div w:id="1562206144">
      <w:bodyDiv w:val="1"/>
      <w:marLeft w:val="0"/>
      <w:marRight w:val="0"/>
      <w:marTop w:val="0"/>
      <w:marBottom w:val="0"/>
      <w:divBdr>
        <w:top w:val="none" w:sz="0" w:space="0" w:color="auto"/>
        <w:left w:val="none" w:sz="0" w:space="0" w:color="auto"/>
        <w:bottom w:val="none" w:sz="0" w:space="0" w:color="auto"/>
        <w:right w:val="none" w:sz="0" w:space="0" w:color="auto"/>
      </w:divBdr>
    </w:div>
    <w:div w:id="1562515547">
      <w:bodyDiv w:val="1"/>
      <w:marLeft w:val="0"/>
      <w:marRight w:val="0"/>
      <w:marTop w:val="0"/>
      <w:marBottom w:val="0"/>
      <w:divBdr>
        <w:top w:val="none" w:sz="0" w:space="0" w:color="auto"/>
        <w:left w:val="none" w:sz="0" w:space="0" w:color="auto"/>
        <w:bottom w:val="none" w:sz="0" w:space="0" w:color="auto"/>
        <w:right w:val="none" w:sz="0" w:space="0" w:color="auto"/>
      </w:divBdr>
    </w:div>
    <w:div w:id="1563323288">
      <w:bodyDiv w:val="1"/>
      <w:marLeft w:val="0"/>
      <w:marRight w:val="0"/>
      <w:marTop w:val="0"/>
      <w:marBottom w:val="0"/>
      <w:divBdr>
        <w:top w:val="none" w:sz="0" w:space="0" w:color="auto"/>
        <w:left w:val="none" w:sz="0" w:space="0" w:color="auto"/>
        <w:bottom w:val="none" w:sz="0" w:space="0" w:color="auto"/>
        <w:right w:val="none" w:sz="0" w:space="0" w:color="auto"/>
      </w:divBdr>
    </w:div>
    <w:div w:id="1563323519">
      <w:bodyDiv w:val="1"/>
      <w:marLeft w:val="0"/>
      <w:marRight w:val="0"/>
      <w:marTop w:val="0"/>
      <w:marBottom w:val="0"/>
      <w:divBdr>
        <w:top w:val="none" w:sz="0" w:space="0" w:color="auto"/>
        <w:left w:val="none" w:sz="0" w:space="0" w:color="auto"/>
        <w:bottom w:val="none" w:sz="0" w:space="0" w:color="auto"/>
        <w:right w:val="none" w:sz="0" w:space="0" w:color="auto"/>
      </w:divBdr>
    </w:div>
    <w:div w:id="1563714453">
      <w:bodyDiv w:val="1"/>
      <w:marLeft w:val="0"/>
      <w:marRight w:val="0"/>
      <w:marTop w:val="0"/>
      <w:marBottom w:val="0"/>
      <w:divBdr>
        <w:top w:val="none" w:sz="0" w:space="0" w:color="auto"/>
        <w:left w:val="none" w:sz="0" w:space="0" w:color="auto"/>
        <w:bottom w:val="none" w:sz="0" w:space="0" w:color="auto"/>
        <w:right w:val="none" w:sz="0" w:space="0" w:color="auto"/>
      </w:divBdr>
    </w:div>
    <w:div w:id="1565141302">
      <w:bodyDiv w:val="1"/>
      <w:marLeft w:val="0"/>
      <w:marRight w:val="0"/>
      <w:marTop w:val="0"/>
      <w:marBottom w:val="0"/>
      <w:divBdr>
        <w:top w:val="none" w:sz="0" w:space="0" w:color="auto"/>
        <w:left w:val="none" w:sz="0" w:space="0" w:color="auto"/>
        <w:bottom w:val="none" w:sz="0" w:space="0" w:color="auto"/>
        <w:right w:val="none" w:sz="0" w:space="0" w:color="auto"/>
      </w:divBdr>
    </w:div>
    <w:div w:id="1565489381">
      <w:bodyDiv w:val="1"/>
      <w:marLeft w:val="0"/>
      <w:marRight w:val="0"/>
      <w:marTop w:val="0"/>
      <w:marBottom w:val="0"/>
      <w:divBdr>
        <w:top w:val="none" w:sz="0" w:space="0" w:color="auto"/>
        <w:left w:val="none" w:sz="0" w:space="0" w:color="auto"/>
        <w:bottom w:val="none" w:sz="0" w:space="0" w:color="auto"/>
        <w:right w:val="none" w:sz="0" w:space="0" w:color="auto"/>
      </w:divBdr>
    </w:div>
    <w:div w:id="1566991255">
      <w:bodyDiv w:val="1"/>
      <w:marLeft w:val="0"/>
      <w:marRight w:val="0"/>
      <w:marTop w:val="0"/>
      <w:marBottom w:val="0"/>
      <w:divBdr>
        <w:top w:val="none" w:sz="0" w:space="0" w:color="auto"/>
        <w:left w:val="none" w:sz="0" w:space="0" w:color="auto"/>
        <w:bottom w:val="none" w:sz="0" w:space="0" w:color="auto"/>
        <w:right w:val="none" w:sz="0" w:space="0" w:color="auto"/>
      </w:divBdr>
    </w:div>
    <w:div w:id="1569075987">
      <w:bodyDiv w:val="1"/>
      <w:marLeft w:val="0"/>
      <w:marRight w:val="0"/>
      <w:marTop w:val="0"/>
      <w:marBottom w:val="0"/>
      <w:divBdr>
        <w:top w:val="none" w:sz="0" w:space="0" w:color="auto"/>
        <w:left w:val="none" w:sz="0" w:space="0" w:color="auto"/>
        <w:bottom w:val="none" w:sz="0" w:space="0" w:color="auto"/>
        <w:right w:val="none" w:sz="0" w:space="0" w:color="auto"/>
      </w:divBdr>
    </w:div>
    <w:div w:id="1570385488">
      <w:bodyDiv w:val="1"/>
      <w:marLeft w:val="0"/>
      <w:marRight w:val="0"/>
      <w:marTop w:val="0"/>
      <w:marBottom w:val="0"/>
      <w:divBdr>
        <w:top w:val="none" w:sz="0" w:space="0" w:color="auto"/>
        <w:left w:val="none" w:sz="0" w:space="0" w:color="auto"/>
        <w:bottom w:val="none" w:sz="0" w:space="0" w:color="auto"/>
        <w:right w:val="none" w:sz="0" w:space="0" w:color="auto"/>
      </w:divBdr>
    </w:div>
    <w:div w:id="1570848057">
      <w:bodyDiv w:val="1"/>
      <w:marLeft w:val="0"/>
      <w:marRight w:val="0"/>
      <w:marTop w:val="0"/>
      <w:marBottom w:val="0"/>
      <w:divBdr>
        <w:top w:val="none" w:sz="0" w:space="0" w:color="auto"/>
        <w:left w:val="none" w:sz="0" w:space="0" w:color="auto"/>
        <w:bottom w:val="none" w:sz="0" w:space="0" w:color="auto"/>
        <w:right w:val="none" w:sz="0" w:space="0" w:color="auto"/>
      </w:divBdr>
    </w:div>
    <w:div w:id="1571500148">
      <w:bodyDiv w:val="1"/>
      <w:marLeft w:val="0"/>
      <w:marRight w:val="0"/>
      <w:marTop w:val="0"/>
      <w:marBottom w:val="0"/>
      <w:divBdr>
        <w:top w:val="none" w:sz="0" w:space="0" w:color="auto"/>
        <w:left w:val="none" w:sz="0" w:space="0" w:color="auto"/>
        <w:bottom w:val="none" w:sz="0" w:space="0" w:color="auto"/>
        <w:right w:val="none" w:sz="0" w:space="0" w:color="auto"/>
      </w:divBdr>
    </w:div>
    <w:div w:id="1572813504">
      <w:bodyDiv w:val="1"/>
      <w:marLeft w:val="0"/>
      <w:marRight w:val="0"/>
      <w:marTop w:val="0"/>
      <w:marBottom w:val="0"/>
      <w:divBdr>
        <w:top w:val="none" w:sz="0" w:space="0" w:color="auto"/>
        <w:left w:val="none" w:sz="0" w:space="0" w:color="auto"/>
        <w:bottom w:val="none" w:sz="0" w:space="0" w:color="auto"/>
        <w:right w:val="none" w:sz="0" w:space="0" w:color="auto"/>
      </w:divBdr>
    </w:div>
    <w:div w:id="1572813998">
      <w:bodyDiv w:val="1"/>
      <w:marLeft w:val="0"/>
      <w:marRight w:val="0"/>
      <w:marTop w:val="0"/>
      <w:marBottom w:val="0"/>
      <w:divBdr>
        <w:top w:val="none" w:sz="0" w:space="0" w:color="auto"/>
        <w:left w:val="none" w:sz="0" w:space="0" w:color="auto"/>
        <w:bottom w:val="none" w:sz="0" w:space="0" w:color="auto"/>
        <w:right w:val="none" w:sz="0" w:space="0" w:color="auto"/>
      </w:divBdr>
    </w:div>
    <w:div w:id="1573463367">
      <w:bodyDiv w:val="1"/>
      <w:marLeft w:val="0"/>
      <w:marRight w:val="0"/>
      <w:marTop w:val="0"/>
      <w:marBottom w:val="0"/>
      <w:divBdr>
        <w:top w:val="none" w:sz="0" w:space="0" w:color="auto"/>
        <w:left w:val="none" w:sz="0" w:space="0" w:color="auto"/>
        <w:bottom w:val="none" w:sz="0" w:space="0" w:color="auto"/>
        <w:right w:val="none" w:sz="0" w:space="0" w:color="auto"/>
      </w:divBdr>
    </w:div>
    <w:div w:id="1573924787">
      <w:bodyDiv w:val="1"/>
      <w:marLeft w:val="0"/>
      <w:marRight w:val="0"/>
      <w:marTop w:val="0"/>
      <w:marBottom w:val="0"/>
      <w:divBdr>
        <w:top w:val="none" w:sz="0" w:space="0" w:color="auto"/>
        <w:left w:val="none" w:sz="0" w:space="0" w:color="auto"/>
        <w:bottom w:val="none" w:sz="0" w:space="0" w:color="auto"/>
        <w:right w:val="none" w:sz="0" w:space="0" w:color="auto"/>
      </w:divBdr>
    </w:div>
    <w:div w:id="1575122999">
      <w:bodyDiv w:val="1"/>
      <w:marLeft w:val="0"/>
      <w:marRight w:val="0"/>
      <w:marTop w:val="0"/>
      <w:marBottom w:val="0"/>
      <w:divBdr>
        <w:top w:val="none" w:sz="0" w:space="0" w:color="auto"/>
        <w:left w:val="none" w:sz="0" w:space="0" w:color="auto"/>
        <w:bottom w:val="none" w:sz="0" w:space="0" w:color="auto"/>
        <w:right w:val="none" w:sz="0" w:space="0" w:color="auto"/>
      </w:divBdr>
    </w:div>
    <w:div w:id="1575704775">
      <w:bodyDiv w:val="1"/>
      <w:marLeft w:val="0"/>
      <w:marRight w:val="0"/>
      <w:marTop w:val="0"/>
      <w:marBottom w:val="0"/>
      <w:divBdr>
        <w:top w:val="none" w:sz="0" w:space="0" w:color="auto"/>
        <w:left w:val="none" w:sz="0" w:space="0" w:color="auto"/>
        <w:bottom w:val="none" w:sz="0" w:space="0" w:color="auto"/>
        <w:right w:val="none" w:sz="0" w:space="0" w:color="auto"/>
      </w:divBdr>
    </w:div>
    <w:div w:id="1577086837">
      <w:bodyDiv w:val="1"/>
      <w:marLeft w:val="0"/>
      <w:marRight w:val="0"/>
      <w:marTop w:val="0"/>
      <w:marBottom w:val="0"/>
      <w:divBdr>
        <w:top w:val="none" w:sz="0" w:space="0" w:color="auto"/>
        <w:left w:val="none" w:sz="0" w:space="0" w:color="auto"/>
        <w:bottom w:val="none" w:sz="0" w:space="0" w:color="auto"/>
        <w:right w:val="none" w:sz="0" w:space="0" w:color="auto"/>
      </w:divBdr>
    </w:div>
    <w:div w:id="1577125634">
      <w:bodyDiv w:val="1"/>
      <w:marLeft w:val="0"/>
      <w:marRight w:val="0"/>
      <w:marTop w:val="0"/>
      <w:marBottom w:val="0"/>
      <w:divBdr>
        <w:top w:val="none" w:sz="0" w:space="0" w:color="auto"/>
        <w:left w:val="none" w:sz="0" w:space="0" w:color="auto"/>
        <w:bottom w:val="none" w:sz="0" w:space="0" w:color="auto"/>
        <w:right w:val="none" w:sz="0" w:space="0" w:color="auto"/>
      </w:divBdr>
    </w:div>
    <w:div w:id="1578437577">
      <w:bodyDiv w:val="1"/>
      <w:marLeft w:val="0"/>
      <w:marRight w:val="0"/>
      <w:marTop w:val="0"/>
      <w:marBottom w:val="0"/>
      <w:divBdr>
        <w:top w:val="none" w:sz="0" w:space="0" w:color="auto"/>
        <w:left w:val="none" w:sz="0" w:space="0" w:color="auto"/>
        <w:bottom w:val="none" w:sz="0" w:space="0" w:color="auto"/>
        <w:right w:val="none" w:sz="0" w:space="0" w:color="auto"/>
      </w:divBdr>
    </w:div>
    <w:div w:id="1578708684">
      <w:bodyDiv w:val="1"/>
      <w:marLeft w:val="0"/>
      <w:marRight w:val="0"/>
      <w:marTop w:val="0"/>
      <w:marBottom w:val="0"/>
      <w:divBdr>
        <w:top w:val="none" w:sz="0" w:space="0" w:color="auto"/>
        <w:left w:val="none" w:sz="0" w:space="0" w:color="auto"/>
        <w:bottom w:val="none" w:sz="0" w:space="0" w:color="auto"/>
        <w:right w:val="none" w:sz="0" w:space="0" w:color="auto"/>
      </w:divBdr>
    </w:div>
    <w:div w:id="1579051553">
      <w:bodyDiv w:val="1"/>
      <w:marLeft w:val="0"/>
      <w:marRight w:val="0"/>
      <w:marTop w:val="0"/>
      <w:marBottom w:val="0"/>
      <w:divBdr>
        <w:top w:val="none" w:sz="0" w:space="0" w:color="auto"/>
        <w:left w:val="none" w:sz="0" w:space="0" w:color="auto"/>
        <w:bottom w:val="none" w:sz="0" w:space="0" w:color="auto"/>
        <w:right w:val="none" w:sz="0" w:space="0" w:color="auto"/>
      </w:divBdr>
    </w:div>
    <w:div w:id="1579558231">
      <w:bodyDiv w:val="1"/>
      <w:marLeft w:val="0"/>
      <w:marRight w:val="0"/>
      <w:marTop w:val="0"/>
      <w:marBottom w:val="0"/>
      <w:divBdr>
        <w:top w:val="none" w:sz="0" w:space="0" w:color="auto"/>
        <w:left w:val="none" w:sz="0" w:space="0" w:color="auto"/>
        <w:bottom w:val="none" w:sz="0" w:space="0" w:color="auto"/>
        <w:right w:val="none" w:sz="0" w:space="0" w:color="auto"/>
      </w:divBdr>
    </w:div>
    <w:div w:id="1579902083">
      <w:bodyDiv w:val="1"/>
      <w:marLeft w:val="0"/>
      <w:marRight w:val="0"/>
      <w:marTop w:val="0"/>
      <w:marBottom w:val="0"/>
      <w:divBdr>
        <w:top w:val="none" w:sz="0" w:space="0" w:color="auto"/>
        <w:left w:val="none" w:sz="0" w:space="0" w:color="auto"/>
        <w:bottom w:val="none" w:sz="0" w:space="0" w:color="auto"/>
        <w:right w:val="none" w:sz="0" w:space="0" w:color="auto"/>
      </w:divBdr>
    </w:div>
    <w:div w:id="1581864532">
      <w:bodyDiv w:val="1"/>
      <w:marLeft w:val="0"/>
      <w:marRight w:val="0"/>
      <w:marTop w:val="0"/>
      <w:marBottom w:val="0"/>
      <w:divBdr>
        <w:top w:val="none" w:sz="0" w:space="0" w:color="auto"/>
        <w:left w:val="none" w:sz="0" w:space="0" w:color="auto"/>
        <w:bottom w:val="none" w:sz="0" w:space="0" w:color="auto"/>
        <w:right w:val="none" w:sz="0" w:space="0" w:color="auto"/>
      </w:divBdr>
    </w:div>
    <w:div w:id="1581986633">
      <w:bodyDiv w:val="1"/>
      <w:marLeft w:val="0"/>
      <w:marRight w:val="0"/>
      <w:marTop w:val="0"/>
      <w:marBottom w:val="0"/>
      <w:divBdr>
        <w:top w:val="none" w:sz="0" w:space="0" w:color="auto"/>
        <w:left w:val="none" w:sz="0" w:space="0" w:color="auto"/>
        <w:bottom w:val="none" w:sz="0" w:space="0" w:color="auto"/>
        <w:right w:val="none" w:sz="0" w:space="0" w:color="auto"/>
      </w:divBdr>
    </w:div>
    <w:div w:id="1583372091">
      <w:bodyDiv w:val="1"/>
      <w:marLeft w:val="0"/>
      <w:marRight w:val="0"/>
      <w:marTop w:val="0"/>
      <w:marBottom w:val="0"/>
      <w:divBdr>
        <w:top w:val="none" w:sz="0" w:space="0" w:color="auto"/>
        <w:left w:val="none" w:sz="0" w:space="0" w:color="auto"/>
        <w:bottom w:val="none" w:sz="0" w:space="0" w:color="auto"/>
        <w:right w:val="none" w:sz="0" w:space="0" w:color="auto"/>
      </w:divBdr>
    </w:div>
    <w:div w:id="1583643118">
      <w:bodyDiv w:val="1"/>
      <w:marLeft w:val="0"/>
      <w:marRight w:val="0"/>
      <w:marTop w:val="0"/>
      <w:marBottom w:val="0"/>
      <w:divBdr>
        <w:top w:val="none" w:sz="0" w:space="0" w:color="auto"/>
        <w:left w:val="none" w:sz="0" w:space="0" w:color="auto"/>
        <w:bottom w:val="none" w:sz="0" w:space="0" w:color="auto"/>
        <w:right w:val="none" w:sz="0" w:space="0" w:color="auto"/>
      </w:divBdr>
    </w:div>
    <w:div w:id="1584297760">
      <w:bodyDiv w:val="1"/>
      <w:marLeft w:val="0"/>
      <w:marRight w:val="0"/>
      <w:marTop w:val="0"/>
      <w:marBottom w:val="0"/>
      <w:divBdr>
        <w:top w:val="none" w:sz="0" w:space="0" w:color="auto"/>
        <w:left w:val="none" w:sz="0" w:space="0" w:color="auto"/>
        <w:bottom w:val="none" w:sz="0" w:space="0" w:color="auto"/>
        <w:right w:val="none" w:sz="0" w:space="0" w:color="auto"/>
      </w:divBdr>
    </w:div>
    <w:div w:id="1586306061">
      <w:bodyDiv w:val="1"/>
      <w:marLeft w:val="0"/>
      <w:marRight w:val="0"/>
      <w:marTop w:val="0"/>
      <w:marBottom w:val="0"/>
      <w:divBdr>
        <w:top w:val="none" w:sz="0" w:space="0" w:color="auto"/>
        <w:left w:val="none" w:sz="0" w:space="0" w:color="auto"/>
        <w:bottom w:val="none" w:sz="0" w:space="0" w:color="auto"/>
        <w:right w:val="none" w:sz="0" w:space="0" w:color="auto"/>
      </w:divBdr>
    </w:div>
    <w:div w:id="1587223932">
      <w:bodyDiv w:val="1"/>
      <w:marLeft w:val="0"/>
      <w:marRight w:val="0"/>
      <w:marTop w:val="0"/>
      <w:marBottom w:val="0"/>
      <w:divBdr>
        <w:top w:val="none" w:sz="0" w:space="0" w:color="auto"/>
        <w:left w:val="none" w:sz="0" w:space="0" w:color="auto"/>
        <w:bottom w:val="none" w:sz="0" w:space="0" w:color="auto"/>
        <w:right w:val="none" w:sz="0" w:space="0" w:color="auto"/>
      </w:divBdr>
    </w:div>
    <w:div w:id="1588809564">
      <w:bodyDiv w:val="1"/>
      <w:marLeft w:val="0"/>
      <w:marRight w:val="0"/>
      <w:marTop w:val="0"/>
      <w:marBottom w:val="0"/>
      <w:divBdr>
        <w:top w:val="none" w:sz="0" w:space="0" w:color="auto"/>
        <w:left w:val="none" w:sz="0" w:space="0" w:color="auto"/>
        <w:bottom w:val="none" w:sz="0" w:space="0" w:color="auto"/>
        <w:right w:val="none" w:sz="0" w:space="0" w:color="auto"/>
      </w:divBdr>
    </w:div>
    <w:div w:id="1590000592">
      <w:bodyDiv w:val="1"/>
      <w:marLeft w:val="0"/>
      <w:marRight w:val="0"/>
      <w:marTop w:val="0"/>
      <w:marBottom w:val="0"/>
      <w:divBdr>
        <w:top w:val="none" w:sz="0" w:space="0" w:color="auto"/>
        <w:left w:val="none" w:sz="0" w:space="0" w:color="auto"/>
        <w:bottom w:val="none" w:sz="0" w:space="0" w:color="auto"/>
        <w:right w:val="none" w:sz="0" w:space="0" w:color="auto"/>
      </w:divBdr>
    </w:div>
    <w:div w:id="1591351324">
      <w:bodyDiv w:val="1"/>
      <w:marLeft w:val="0"/>
      <w:marRight w:val="0"/>
      <w:marTop w:val="0"/>
      <w:marBottom w:val="0"/>
      <w:divBdr>
        <w:top w:val="none" w:sz="0" w:space="0" w:color="auto"/>
        <w:left w:val="none" w:sz="0" w:space="0" w:color="auto"/>
        <w:bottom w:val="none" w:sz="0" w:space="0" w:color="auto"/>
        <w:right w:val="none" w:sz="0" w:space="0" w:color="auto"/>
      </w:divBdr>
    </w:div>
    <w:div w:id="1591768396">
      <w:bodyDiv w:val="1"/>
      <w:marLeft w:val="0"/>
      <w:marRight w:val="0"/>
      <w:marTop w:val="0"/>
      <w:marBottom w:val="0"/>
      <w:divBdr>
        <w:top w:val="none" w:sz="0" w:space="0" w:color="auto"/>
        <w:left w:val="none" w:sz="0" w:space="0" w:color="auto"/>
        <w:bottom w:val="none" w:sz="0" w:space="0" w:color="auto"/>
        <w:right w:val="none" w:sz="0" w:space="0" w:color="auto"/>
      </w:divBdr>
    </w:div>
    <w:div w:id="1591962747">
      <w:bodyDiv w:val="1"/>
      <w:marLeft w:val="0"/>
      <w:marRight w:val="0"/>
      <w:marTop w:val="0"/>
      <w:marBottom w:val="0"/>
      <w:divBdr>
        <w:top w:val="none" w:sz="0" w:space="0" w:color="auto"/>
        <w:left w:val="none" w:sz="0" w:space="0" w:color="auto"/>
        <w:bottom w:val="none" w:sz="0" w:space="0" w:color="auto"/>
        <w:right w:val="none" w:sz="0" w:space="0" w:color="auto"/>
      </w:divBdr>
    </w:div>
    <w:div w:id="1592087649">
      <w:bodyDiv w:val="1"/>
      <w:marLeft w:val="0"/>
      <w:marRight w:val="0"/>
      <w:marTop w:val="0"/>
      <w:marBottom w:val="0"/>
      <w:divBdr>
        <w:top w:val="none" w:sz="0" w:space="0" w:color="auto"/>
        <w:left w:val="none" w:sz="0" w:space="0" w:color="auto"/>
        <w:bottom w:val="none" w:sz="0" w:space="0" w:color="auto"/>
        <w:right w:val="none" w:sz="0" w:space="0" w:color="auto"/>
      </w:divBdr>
    </w:div>
    <w:div w:id="1592229718">
      <w:bodyDiv w:val="1"/>
      <w:marLeft w:val="0"/>
      <w:marRight w:val="0"/>
      <w:marTop w:val="0"/>
      <w:marBottom w:val="0"/>
      <w:divBdr>
        <w:top w:val="none" w:sz="0" w:space="0" w:color="auto"/>
        <w:left w:val="none" w:sz="0" w:space="0" w:color="auto"/>
        <w:bottom w:val="none" w:sz="0" w:space="0" w:color="auto"/>
        <w:right w:val="none" w:sz="0" w:space="0" w:color="auto"/>
      </w:divBdr>
    </w:div>
    <w:div w:id="1592278397">
      <w:bodyDiv w:val="1"/>
      <w:marLeft w:val="0"/>
      <w:marRight w:val="0"/>
      <w:marTop w:val="0"/>
      <w:marBottom w:val="0"/>
      <w:divBdr>
        <w:top w:val="none" w:sz="0" w:space="0" w:color="auto"/>
        <w:left w:val="none" w:sz="0" w:space="0" w:color="auto"/>
        <w:bottom w:val="none" w:sz="0" w:space="0" w:color="auto"/>
        <w:right w:val="none" w:sz="0" w:space="0" w:color="auto"/>
      </w:divBdr>
    </w:div>
    <w:div w:id="1592351425">
      <w:bodyDiv w:val="1"/>
      <w:marLeft w:val="0"/>
      <w:marRight w:val="0"/>
      <w:marTop w:val="0"/>
      <w:marBottom w:val="0"/>
      <w:divBdr>
        <w:top w:val="none" w:sz="0" w:space="0" w:color="auto"/>
        <w:left w:val="none" w:sz="0" w:space="0" w:color="auto"/>
        <w:bottom w:val="none" w:sz="0" w:space="0" w:color="auto"/>
        <w:right w:val="none" w:sz="0" w:space="0" w:color="auto"/>
      </w:divBdr>
    </w:div>
    <w:div w:id="1593707243">
      <w:bodyDiv w:val="1"/>
      <w:marLeft w:val="0"/>
      <w:marRight w:val="0"/>
      <w:marTop w:val="0"/>
      <w:marBottom w:val="0"/>
      <w:divBdr>
        <w:top w:val="none" w:sz="0" w:space="0" w:color="auto"/>
        <w:left w:val="none" w:sz="0" w:space="0" w:color="auto"/>
        <w:bottom w:val="none" w:sz="0" w:space="0" w:color="auto"/>
        <w:right w:val="none" w:sz="0" w:space="0" w:color="auto"/>
      </w:divBdr>
    </w:div>
    <w:div w:id="1596355723">
      <w:bodyDiv w:val="1"/>
      <w:marLeft w:val="0"/>
      <w:marRight w:val="0"/>
      <w:marTop w:val="0"/>
      <w:marBottom w:val="0"/>
      <w:divBdr>
        <w:top w:val="none" w:sz="0" w:space="0" w:color="auto"/>
        <w:left w:val="none" w:sz="0" w:space="0" w:color="auto"/>
        <w:bottom w:val="none" w:sz="0" w:space="0" w:color="auto"/>
        <w:right w:val="none" w:sz="0" w:space="0" w:color="auto"/>
      </w:divBdr>
    </w:div>
    <w:div w:id="1597597386">
      <w:bodyDiv w:val="1"/>
      <w:marLeft w:val="0"/>
      <w:marRight w:val="0"/>
      <w:marTop w:val="0"/>
      <w:marBottom w:val="0"/>
      <w:divBdr>
        <w:top w:val="none" w:sz="0" w:space="0" w:color="auto"/>
        <w:left w:val="none" w:sz="0" w:space="0" w:color="auto"/>
        <w:bottom w:val="none" w:sz="0" w:space="0" w:color="auto"/>
        <w:right w:val="none" w:sz="0" w:space="0" w:color="auto"/>
      </w:divBdr>
    </w:div>
    <w:div w:id="1598559005">
      <w:bodyDiv w:val="1"/>
      <w:marLeft w:val="0"/>
      <w:marRight w:val="0"/>
      <w:marTop w:val="0"/>
      <w:marBottom w:val="0"/>
      <w:divBdr>
        <w:top w:val="none" w:sz="0" w:space="0" w:color="auto"/>
        <w:left w:val="none" w:sz="0" w:space="0" w:color="auto"/>
        <w:bottom w:val="none" w:sz="0" w:space="0" w:color="auto"/>
        <w:right w:val="none" w:sz="0" w:space="0" w:color="auto"/>
      </w:divBdr>
    </w:div>
    <w:div w:id="1599409132">
      <w:bodyDiv w:val="1"/>
      <w:marLeft w:val="0"/>
      <w:marRight w:val="0"/>
      <w:marTop w:val="0"/>
      <w:marBottom w:val="0"/>
      <w:divBdr>
        <w:top w:val="none" w:sz="0" w:space="0" w:color="auto"/>
        <w:left w:val="none" w:sz="0" w:space="0" w:color="auto"/>
        <w:bottom w:val="none" w:sz="0" w:space="0" w:color="auto"/>
        <w:right w:val="none" w:sz="0" w:space="0" w:color="auto"/>
      </w:divBdr>
    </w:div>
    <w:div w:id="1599675674">
      <w:bodyDiv w:val="1"/>
      <w:marLeft w:val="0"/>
      <w:marRight w:val="0"/>
      <w:marTop w:val="0"/>
      <w:marBottom w:val="0"/>
      <w:divBdr>
        <w:top w:val="none" w:sz="0" w:space="0" w:color="auto"/>
        <w:left w:val="none" w:sz="0" w:space="0" w:color="auto"/>
        <w:bottom w:val="none" w:sz="0" w:space="0" w:color="auto"/>
        <w:right w:val="none" w:sz="0" w:space="0" w:color="auto"/>
      </w:divBdr>
    </w:div>
    <w:div w:id="1601644503">
      <w:bodyDiv w:val="1"/>
      <w:marLeft w:val="0"/>
      <w:marRight w:val="0"/>
      <w:marTop w:val="0"/>
      <w:marBottom w:val="0"/>
      <w:divBdr>
        <w:top w:val="none" w:sz="0" w:space="0" w:color="auto"/>
        <w:left w:val="none" w:sz="0" w:space="0" w:color="auto"/>
        <w:bottom w:val="none" w:sz="0" w:space="0" w:color="auto"/>
        <w:right w:val="none" w:sz="0" w:space="0" w:color="auto"/>
      </w:divBdr>
    </w:div>
    <w:div w:id="1606036206">
      <w:bodyDiv w:val="1"/>
      <w:marLeft w:val="0"/>
      <w:marRight w:val="0"/>
      <w:marTop w:val="0"/>
      <w:marBottom w:val="0"/>
      <w:divBdr>
        <w:top w:val="none" w:sz="0" w:space="0" w:color="auto"/>
        <w:left w:val="none" w:sz="0" w:space="0" w:color="auto"/>
        <w:bottom w:val="none" w:sz="0" w:space="0" w:color="auto"/>
        <w:right w:val="none" w:sz="0" w:space="0" w:color="auto"/>
      </w:divBdr>
    </w:div>
    <w:div w:id="1606887943">
      <w:bodyDiv w:val="1"/>
      <w:marLeft w:val="0"/>
      <w:marRight w:val="0"/>
      <w:marTop w:val="0"/>
      <w:marBottom w:val="0"/>
      <w:divBdr>
        <w:top w:val="none" w:sz="0" w:space="0" w:color="auto"/>
        <w:left w:val="none" w:sz="0" w:space="0" w:color="auto"/>
        <w:bottom w:val="none" w:sz="0" w:space="0" w:color="auto"/>
        <w:right w:val="none" w:sz="0" w:space="0" w:color="auto"/>
      </w:divBdr>
    </w:div>
    <w:div w:id="1606889434">
      <w:bodyDiv w:val="1"/>
      <w:marLeft w:val="0"/>
      <w:marRight w:val="0"/>
      <w:marTop w:val="0"/>
      <w:marBottom w:val="0"/>
      <w:divBdr>
        <w:top w:val="none" w:sz="0" w:space="0" w:color="auto"/>
        <w:left w:val="none" w:sz="0" w:space="0" w:color="auto"/>
        <w:bottom w:val="none" w:sz="0" w:space="0" w:color="auto"/>
        <w:right w:val="none" w:sz="0" w:space="0" w:color="auto"/>
      </w:divBdr>
    </w:div>
    <w:div w:id="1607929763">
      <w:bodyDiv w:val="1"/>
      <w:marLeft w:val="0"/>
      <w:marRight w:val="0"/>
      <w:marTop w:val="0"/>
      <w:marBottom w:val="0"/>
      <w:divBdr>
        <w:top w:val="none" w:sz="0" w:space="0" w:color="auto"/>
        <w:left w:val="none" w:sz="0" w:space="0" w:color="auto"/>
        <w:bottom w:val="none" w:sz="0" w:space="0" w:color="auto"/>
        <w:right w:val="none" w:sz="0" w:space="0" w:color="auto"/>
      </w:divBdr>
    </w:div>
    <w:div w:id="1608536933">
      <w:bodyDiv w:val="1"/>
      <w:marLeft w:val="0"/>
      <w:marRight w:val="0"/>
      <w:marTop w:val="0"/>
      <w:marBottom w:val="0"/>
      <w:divBdr>
        <w:top w:val="none" w:sz="0" w:space="0" w:color="auto"/>
        <w:left w:val="none" w:sz="0" w:space="0" w:color="auto"/>
        <w:bottom w:val="none" w:sz="0" w:space="0" w:color="auto"/>
        <w:right w:val="none" w:sz="0" w:space="0" w:color="auto"/>
      </w:divBdr>
    </w:div>
    <w:div w:id="1608922884">
      <w:bodyDiv w:val="1"/>
      <w:marLeft w:val="0"/>
      <w:marRight w:val="0"/>
      <w:marTop w:val="0"/>
      <w:marBottom w:val="0"/>
      <w:divBdr>
        <w:top w:val="none" w:sz="0" w:space="0" w:color="auto"/>
        <w:left w:val="none" w:sz="0" w:space="0" w:color="auto"/>
        <w:bottom w:val="none" w:sz="0" w:space="0" w:color="auto"/>
        <w:right w:val="none" w:sz="0" w:space="0" w:color="auto"/>
      </w:divBdr>
    </w:div>
    <w:div w:id="1608927767">
      <w:bodyDiv w:val="1"/>
      <w:marLeft w:val="0"/>
      <w:marRight w:val="0"/>
      <w:marTop w:val="0"/>
      <w:marBottom w:val="0"/>
      <w:divBdr>
        <w:top w:val="none" w:sz="0" w:space="0" w:color="auto"/>
        <w:left w:val="none" w:sz="0" w:space="0" w:color="auto"/>
        <w:bottom w:val="none" w:sz="0" w:space="0" w:color="auto"/>
        <w:right w:val="none" w:sz="0" w:space="0" w:color="auto"/>
      </w:divBdr>
    </w:div>
    <w:div w:id="1609460436">
      <w:bodyDiv w:val="1"/>
      <w:marLeft w:val="0"/>
      <w:marRight w:val="0"/>
      <w:marTop w:val="0"/>
      <w:marBottom w:val="0"/>
      <w:divBdr>
        <w:top w:val="none" w:sz="0" w:space="0" w:color="auto"/>
        <w:left w:val="none" w:sz="0" w:space="0" w:color="auto"/>
        <w:bottom w:val="none" w:sz="0" w:space="0" w:color="auto"/>
        <w:right w:val="none" w:sz="0" w:space="0" w:color="auto"/>
      </w:divBdr>
    </w:div>
    <w:div w:id="1610699172">
      <w:bodyDiv w:val="1"/>
      <w:marLeft w:val="0"/>
      <w:marRight w:val="0"/>
      <w:marTop w:val="0"/>
      <w:marBottom w:val="0"/>
      <w:divBdr>
        <w:top w:val="none" w:sz="0" w:space="0" w:color="auto"/>
        <w:left w:val="none" w:sz="0" w:space="0" w:color="auto"/>
        <w:bottom w:val="none" w:sz="0" w:space="0" w:color="auto"/>
        <w:right w:val="none" w:sz="0" w:space="0" w:color="auto"/>
      </w:divBdr>
    </w:div>
    <w:div w:id="1611283476">
      <w:bodyDiv w:val="1"/>
      <w:marLeft w:val="0"/>
      <w:marRight w:val="0"/>
      <w:marTop w:val="0"/>
      <w:marBottom w:val="0"/>
      <w:divBdr>
        <w:top w:val="none" w:sz="0" w:space="0" w:color="auto"/>
        <w:left w:val="none" w:sz="0" w:space="0" w:color="auto"/>
        <w:bottom w:val="none" w:sz="0" w:space="0" w:color="auto"/>
        <w:right w:val="none" w:sz="0" w:space="0" w:color="auto"/>
      </w:divBdr>
    </w:div>
    <w:div w:id="1611858001">
      <w:bodyDiv w:val="1"/>
      <w:marLeft w:val="0"/>
      <w:marRight w:val="0"/>
      <w:marTop w:val="0"/>
      <w:marBottom w:val="0"/>
      <w:divBdr>
        <w:top w:val="none" w:sz="0" w:space="0" w:color="auto"/>
        <w:left w:val="none" w:sz="0" w:space="0" w:color="auto"/>
        <w:bottom w:val="none" w:sz="0" w:space="0" w:color="auto"/>
        <w:right w:val="none" w:sz="0" w:space="0" w:color="auto"/>
      </w:divBdr>
    </w:div>
    <w:div w:id="1612205706">
      <w:bodyDiv w:val="1"/>
      <w:marLeft w:val="0"/>
      <w:marRight w:val="0"/>
      <w:marTop w:val="0"/>
      <w:marBottom w:val="0"/>
      <w:divBdr>
        <w:top w:val="none" w:sz="0" w:space="0" w:color="auto"/>
        <w:left w:val="none" w:sz="0" w:space="0" w:color="auto"/>
        <w:bottom w:val="none" w:sz="0" w:space="0" w:color="auto"/>
        <w:right w:val="none" w:sz="0" w:space="0" w:color="auto"/>
      </w:divBdr>
    </w:div>
    <w:div w:id="1612393875">
      <w:bodyDiv w:val="1"/>
      <w:marLeft w:val="0"/>
      <w:marRight w:val="0"/>
      <w:marTop w:val="0"/>
      <w:marBottom w:val="0"/>
      <w:divBdr>
        <w:top w:val="none" w:sz="0" w:space="0" w:color="auto"/>
        <w:left w:val="none" w:sz="0" w:space="0" w:color="auto"/>
        <w:bottom w:val="none" w:sz="0" w:space="0" w:color="auto"/>
        <w:right w:val="none" w:sz="0" w:space="0" w:color="auto"/>
      </w:divBdr>
    </w:div>
    <w:div w:id="1613200808">
      <w:bodyDiv w:val="1"/>
      <w:marLeft w:val="0"/>
      <w:marRight w:val="0"/>
      <w:marTop w:val="0"/>
      <w:marBottom w:val="0"/>
      <w:divBdr>
        <w:top w:val="none" w:sz="0" w:space="0" w:color="auto"/>
        <w:left w:val="none" w:sz="0" w:space="0" w:color="auto"/>
        <w:bottom w:val="none" w:sz="0" w:space="0" w:color="auto"/>
        <w:right w:val="none" w:sz="0" w:space="0" w:color="auto"/>
      </w:divBdr>
    </w:div>
    <w:div w:id="1613247041">
      <w:bodyDiv w:val="1"/>
      <w:marLeft w:val="0"/>
      <w:marRight w:val="0"/>
      <w:marTop w:val="0"/>
      <w:marBottom w:val="0"/>
      <w:divBdr>
        <w:top w:val="none" w:sz="0" w:space="0" w:color="auto"/>
        <w:left w:val="none" w:sz="0" w:space="0" w:color="auto"/>
        <w:bottom w:val="none" w:sz="0" w:space="0" w:color="auto"/>
        <w:right w:val="none" w:sz="0" w:space="0" w:color="auto"/>
      </w:divBdr>
    </w:div>
    <w:div w:id="1615558020">
      <w:bodyDiv w:val="1"/>
      <w:marLeft w:val="0"/>
      <w:marRight w:val="0"/>
      <w:marTop w:val="0"/>
      <w:marBottom w:val="0"/>
      <w:divBdr>
        <w:top w:val="none" w:sz="0" w:space="0" w:color="auto"/>
        <w:left w:val="none" w:sz="0" w:space="0" w:color="auto"/>
        <w:bottom w:val="none" w:sz="0" w:space="0" w:color="auto"/>
        <w:right w:val="none" w:sz="0" w:space="0" w:color="auto"/>
      </w:divBdr>
    </w:div>
    <w:div w:id="1616447981">
      <w:bodyDiv w:val="1"/>
      <w:marLeft w:val="0"/>
      <w:marRight w:val="0"/>
      <w:marTop w:val="0"/>
      <w:marBottom w:val="0"/>
      <w:divBdr>
        <w:top w:val="none" w:sz="0" w:space="0" w:color="auto"/>
        <w:left w:val="none" w:sz="0" w:space="0" w:color="auto"/>
        <w:bottom w:val="none" w:sz="0" w:space="0" w:color="auto"/>
        <w:right w:val="none" w:sz="0" w:space="0" w:color="auto"/>
      </w:divBdr>
    </w:div>
    <w:div w:id="1618215736">
      <w:bodyDiv w:val="1"/>
      <w:marLeft w:val="0"/>
      <w:marRight w:val="0"/>
      <w:marTop w:val="0"/>
      <w:marBottom w:val="0"/>
      <w:divBdr>
        <w:top w:val="none" w:sz="0" w:space="0" w:color="auto"/>
        <w:left w:val="none" w:sz="0" w:space="0" w:color="auto"/>
        <w:bottom w:val="none" w:sz="0" w:space="0" w:color="auto"/>
        <w:right w:val="none" w:sz="0" w:space="0" w:color="auto"/>
      </w:divBdr>
    </w:div>
    <w:div w:id="1621185860">
      <w:bodyDiv w:val="1"/>
      <w:marLeft w:val="0"/>
      <w:marRight w:val="0"/>
      <w:marTop w:val="0"/>
      <w:marBottom w:val="0"/>
      <w:divBdr>
        <w:top w:val="none" w:sz="0" w:space="0" w:color="auto"/>
        <w:left w:val="none" w:sz="0" w:space="0" w:color="auto"/>
        <w:bottom w:val="none" w:sz="0" w:space="0" w:color="auto"/>
        <w:right w:val="none" w:sz="0" w:space="0" w:color="auto"/>
      </w:divBdr>
    </w:div>
    <w:div w:id="1621375417">
      <w:bodyDiv w:val="1"/>
      <w:marLeft w:val="0"/>
      <w:marRight w:val="0"/>
      <w:marTop w:val="0"/>
      <w:marBottom w:val="0"/>
      <w:divBdr>
        <w:top w:val="none" w:sz="0" w:space="0" w:color="auto"/>
        <w:left w:val="none" w:sz="0" w:space="0" w:color="auto"/>
        <w:bottom w:val="none" w:sz="0" w:space="0" w:color="auto"/>
        <w:right w:val="none" w:sz="0" w:space="0" w:color="auto"/>
      </w:divBdr>
    </w:div>
    <w:div w:id="1621916420">
      <w:bodyDiv w:val="1"/>
      <w:marLeft w:val="0"/>
      <w:marRight w:val="0"/>
      <w:marTop w:val="0"/>
      <w:marBottom w:val="0"/>
      <w:divBdr>
        <w:top w:val="none" w:sz="0" w:space="0" w:color="auto"/>
        <w:left w:val="none" w:sz="0" w:space="0" w:color="auto"/>
        <w:bottom w:val="none" w:sz="0" w:space="0" w:color="auto"/>
        <w:right w:val="none" w:sz="0" w:space="0" w:color="auto"/>
      </w:divBdr>
    </w:div>
    <w:div w:id="1622302421">
      <w:bodyDiv w:val="1"/>
      <w:marLeft w:val="0"/>
      <w:marRight w:val="0"/>
      <w:marTop w:val="0"/>
      <w:marBottom w:val="0"/>
      <w:divBdr>
        <w:top w:val="none" w:sz="0" w:space="0" w:color="auto"/>
        <w:left w:val="none" w:sz="0" w:space="0" w:color="auto"/>
        <w:bottom w:val="none" w:sz="0" w:space="0" w:color="auto"/>
        <w:right w:val="none" w:sz="0" w:space="0" w:color="auto"/>
      </w:divBdr>
    </w:div>
    <w:div w:id="1622498809">
      <w:bodyDiv w:val="1"/>
      <w:marLeft w:val="0"/>
      <w:marRight w:val="0"/>
      <w:marTop w:val="0"/>
      <w:marBottom w:val="0"/>
      <w:divBdr>
        <w:top w:val="none" w:sz="0" w:space="0" w:color="auto"/>
        <w:left w:val="none" w:sz="0" w:space="0" w:color="auto"/>
        <w:bottom w:val="none" w:sz="0" w:space="0" w:color="auto"/>
        <w:right w:val="none" w:sz="0" w:space="0" w:color="auto"/>
      </w:divBdr>
    </w:div>
    <w:div w:id="1623921282">
      <w:bodyDiv w:val="1"/>
      <w:marLeft w:val="0"/>
      <w:marRight w:val="0"/>
      <w:marTop w:val="0"/>
      <w:marBottom w:val="0"/>
      <w:divBdr>
        <w:top w:val="none" w:sz="0" w:space="0" w:color="auto"/>
        <w:left w:val="none" w:sz="0" w:space="0" w:color="auto"/>
        <w:bottom w:val="none" w:sz="0" w:space="0" w:color="auto"/>
        <w:right w:val="none" w:sz="0" w:space="0" w:color="auto"/>
      </w:divBdr>
    </w:div>
    <w:div w:id="1624580744">
      <w:bodyDiv w:val="1"/>
      <w:marLeft w:val="0"/>
      <w:marRight w:val="0"/>
      <w:marTop w:val="0"/>
      <w:marBottom w:val="0"/>
      <w:divBdr>
        <w:top w:val="none" w:sz="0" w:space="0" w:color="auto"/>
        <w:left w:val="none" w:sz="0" w:space="0" w:color="auto"/>
        <w:bottom w:val="none" w:sz="0" w:space="0" w:color="auto"/>
        <w:right w:val="none" w:sz="0" w:space="0" w:color="auto"/>
      </w:divBdr>
    </w:div>
    <w:div w:id="1624926597">
      <w:bodyDiv w:val="1"/>
      <w:marLeft w:val="0"/>
      <w:marRight w:val="0"/>
      <w:marTop w:val="0"/>
      <w:marBottom w:val="0"/>
      <w:divBdr>
        <w:top w:val="none" w:sz="0" w:space="0" w:color="auto"/>
        <w:left w:val="none" w:sz="0" w:space="0" w:color="auto"/>
        <w:bottom w:val="none" w:sz="0" w:space="0" w:color="auto"/>
        <w:right w:val="none" w:sz="0" w:space="0" w:color="auto"/>
      </w:divBdr>
    </w:div>
    <w:div w:id="1625695729">
      <w:bodyDiv w:val="1"/>
      <w:marLeft w:val="0"/>
      <w:marRight w:val="0"/>
      <w:marTop w:val="0"/>
      <w:marBottom w:val="0"/>
      <w:divBdr>
        <w:top w:val="none" w:sz="0" w:space="0" w:color="auto"/>
        <w:left w:val="none" w:sz="0" w:space="0" w:color="auto"/>
        <w:bottom w:val="none" w:sz="0" w:space="0" w:color="auto"/>
        <w:right w:val="none" w:sz="0" w:space="0" w:color="auto"/>
      </w:divBdr>
    </w:div>
    <w:div w:id="1625889177">
      <w:bodyDiv w:val="1"/>
      <w:marLeft w:val="0"/>
      <w:marRight w:val="0"/>
      <w:marTop w:val="0"/>
      <w:marBottom w:val="0"/>
      <w:divBdr>
        <w:top w:val="none" w:sz="0" w:space="0" w:color="auto"/>
        <w:left w:val="none" w:sz="0" w:space="0" w:color="auto"/>
        <w:bottom w:val="none" w:sz="0" w:space="0" w:color="auto"/>
        <w:right w:val="none" w:sz="0" w:space="0" w:color="auto"/>
      </w:divBdr>
    </w:div>
    <w:div w:id="1626962351">
      <w:bodyDiv w:val="1"/>
      <w:marLeft w:val="0"/>
      <w:marRight w:val="0"/>
      <w:marTop w:val="0"/>
      <w:marBottom w:val="0"/>
      <w:divBdr>
        <w:top w:val="none" w:sz="0" w:space="0" w:color="auto"/>
        <w:left w:val="none" w:sz="0" w:space="0" w:color="auto"/>
        <w:bottom w:val="none" w:sz="0" w:space="0" w:color="auto"/>
        <w:right w:val="none" w:sz="0" w:space="0" w:color="auto"/>
      </w:divBdr>
    </w:div>
    <w:div w:id="1627462974">
      <w:bodyDiv w:val="1"/>
      <w:marLeft w:val="0"/>
      <w:marRight w:val="0"/>
      <w:marTop w:val="0"/>
      <w:marBottom w:val="0"/>
      <w:divBdr>
        <w:top w:val="none" w:sz="0" w:space="0" w:color="auto"/>
        <w:left w:val="none" w:sz="0" w:space="0" w:color="auto"/>
        <w:bottom w:val="none" w:sz="0" w:space="0" w:color="auto"/>
        <w:right w:val="none" w:sz="0" w:space="0" w:color="auto"/>
      </w:divBdr>
    </w:div>
    <w:div w:id="1629319568">
      <w:bodyDiv w:val="1"/>
      <w:marLeft w:val="0"/>
      <w:marRight w:val="0"/>
      <w:marTop w:val="0"/>
      <w:marBottom w:val="0"/>
      <w:divBdr>
        <w:top w:val="none" w:sz="0" w:space="0" w:color="auto"/>
        <w:left w:val="none" w:sz="0" w:space="0" w:color="auto"/>
        <w:bottom w:val="none" w:sz="0" w:space="0" w:color="auto"/>
        <w:right w:val="none" w:sz="0" w:space="0" w:color="auto"/>
      </w:divBdr>
    </w:div>
    <w:div w:id="1632201448">
      <w:bodyDiv w:val="1"/>
      <w:marLeft w:val="0"/>
      <w:marRight w:val="0"/>
      <w:marTop w:val="0"/>
      <w:marBottom w:val="0"/>
      <w:divBdr>
        <w:top w:val="none" w:sz="0" w:space="0" w:color="auto"/>
        <w:left w:val="none" w:sz="0" w:space="0" w:color="auto"/>
        <w:bottom w:val="none" w:sz="0" w:space="0" w:color="auto"/>
        <w:right w:val="none" w:sz="0" w:space="0" w:color="auto"/>
      </w:divBdr>
    </w:div>
    <w:div w:id="1633439081">
      <w:bodyDiv w:val="1"/>
      <w:marLeft w:val="0"/>
      <w:marRight w:val="0"/>
      <w:marTop w:val="0"/>
      <w:marBottom w:val="0"/>
      <w:divBdr>
        <w:top w:val="none" w:sz="0" w:space="0" w:color="auto"/>
        <w:left w:val="none" w:sz="0" w:space="0" w:color="auto"/>
        <w:bottom w:val="none" w:sz="0" w:space="0" w:color="auto"/>
        <w:right w:val="none" w:sz="0" w:space="0" w:color="auto"/>
      </w:divBdr>
    </w:div>
    <w:div w:id="1633707672">
      <w:bodyDiv w:val="1"/>
      <w:marLeft w:val="0"/>
      <w:marRight w:val="0"/>
      <w:marTop w:val="0"/>
      <w:marBottom w:val="0"/>
      <w:divBdr>
        <w:top w:val="none" w:sz="0" w:space="0" w:color="auto"/>
        <w:left w:val="none" w:sz="0" w:space="0" w:color="auto"/>
        <w:bottom w:val="none" w:sz="0" w:space="0" w:color="auto"/>
        <w:right w:val="none" w:sz="0" w:space="0" w:color="auto"/>
      </w:divBdr>
    </w:div>
    <w:div w:id="1634481437">
      <w:bodyDiv w:val="1"/>
      <w:marLeft w:val="0"/>
      <w:marRight w:val="0"/>
      <w:marTop w:val="0"/>
      <w:marBottom w:val="0"/>
      <w:divBdr>
        <w:top w:val="none" w:sz="0" w:space="0" w:color="auto"/>
        <w:left w:val="none" w:sz="0" w:space="0" w:color="auto"/>
        <w:bottom w:val="none" w:sz="0" w:space="0" w:color="auto"/>
        <w:right w:val="none" w:sz="0" w:space="0" w:color="auto"/>
      </w:divBdr>
    </w:div>
    <w:div w:id="1637178896">
      <w:bodyDiv w:val="1"/>
      <w:marLeft w:val="0"/>
      <w:marRight w:val="0"/>
      <w:marTop w:val="0"/>
      <w:marBottom w:val="0"/>
      <w:divBdr>
        <w:top w:val="none" w:sz="0" w:space="0" w:color="auto"/>
        <w:left w:val="none" w:sz="0" w:space="0" w:color="auto"/>
        <w:bottom w:val="none" w:sz="0" w:space="0" w:color="auto"/>
        <w:right w:val="none" w:sz="0" w:space="0" w:color="auto"/>
      </w:divBdr>
    </w:div>
    <w:div w:id="1637834116">
      <w:bodyDiv w:val="1"/>
      <w:marLeft w:val="0"/>
      <w:marRight w:val="0"/>
      <w:marTop w:val="0"/>
      <w:marBottom w:val="0"/>
      <w:divBdr>
        <w:top w:val="none" w:sz="0" w:space="0" w:color="auto"/>
        <w:left w:val="none" w:sz="0" w:space="0" w:color="auto"/>
        <w:bottom w:val="none" w:sz="0" w:space="0" w:color="auto"/>
        <w:right w:val="none" w:sz="0" w:space="0" w:color="auto"/>
      </w:divBdr>
    </w:div>
    <w:div w:id="1640649237">
      <w:bodyDiv w:val="1"/>
      <w:marLeft w:val="0"/>
      <w:marRight w:val="0"/>
      <w:marTop w:val="0"/>
      <w:marBottom w:val="0"/>
      <w:divBdr>
        <w:top w:val="none" w:sz="0" w:space="0" w:color="auto"/>
        <w:left w:val="none" w:sz="0" w:space="0" w:color="auto"/>
        <w:bottom w:val="none" w:sz="0" w:space="0" w:color="auto"/>
        <w:right w:val="none" w:sz="0" w:space="0" w:color="auto"/>
      </w:divBdr>
    </w:div>
    <w:div w:id="1643080253">
      <w:bodyDiv w:val="1"/>
      <w:marLeft w:val="0"/>
      <w:marRight w:val="0"/>
      <w:marTop w:val="0"/>
      <w:marBottom w:val="0"/>
      <w:divBdr>
        <w:top w:val="none" w:sz="0" w:space="0" w:color="auto"/>
        <w:left w:val="none" w:sz="0" w:space="0" w:color="auto"/>
        <w:bottom w:val="none" w:sz="0" w:space="0" w:color="auto"/>
        <w:right w:val="none" w:sz="0" w:space="0" w:color="auto"/>
      </w:divBdr>
    </w:div>
    <w:div w:id="1643927216">
      <w:bodyDiv w:val="1"/>
      <w:marLeft w:val="0"/>
      <w:marRight w:val="0"/>
      <w:marTop w:val="0"/>
      <w:marBottom w:val="0"/>
      <w:divBdr>
        <w:top w:val="none" w:sz="0" w:space="0" w:color="auto"/>
        <w:left w:val="none" w:sz="0" w:space="0" w:color="auto"/>
        <w:bottom w:val="none" w:sz="0" w:space="0" w:color="auto"/>
        <w:right w:val="none" w:sz="0" w:space="0" w:color="auto"/>
      </w:divBdr>
    </w:div>
    <w:div w:id="1645313736">
      <w:bodyDiv w:val="1"/>
      <w:marLeft w:val="0"/>
      <w:marRight w:val="0"/>
      <w:marTop w:val="0"/>
      <w:marBottom w:val="0"/>
      <w:divBdr>
        <w:top w:val="none" w:sz="0" w:space="0" w:color="auto"/>
        <w:left w:val="none" w:sz="0" w:space="0" w:color="auto"/>
        <w:bottom w:val="none" w:sz="0" w:space="0" w:color="auto"/>
        <w:right w:val="none" w:sz="0" w:space="0" w:color="auto"/>
      </w:divBdr>
    </w:div>
    <w:div w:id="1649089521">
      <w:bodyDiv w:val="1"/>
      <w:marLeft w:val="0"/>
      <w:marRight w:val="0"/>
      <w:marTop w:val="0"/>
      <w:marBottom w:val="0"/>
      <w:divBdr>
        <w:top w:val="none" w:sz="0" w:space="0" w:color="auto"/>
        <w:left w:val="none" w:sz="0" w:space="0" w:color="auto"/>
        <w:bottom w:val="none" w:sz="0" w:space="0" w:color="auto"/>
        <w:right w:val="none" w:sz="0" w:space="0" w:color="auto"/>
      </w:divBdr>
    </w:div>
    <w:div w:id="1649093614">
      <w:bodyDiv w:val="1"/>
      <w:marLeft w:val="0"/>
      <w:marRight w:val="0"/>
      <w:marTop w:val="0"/>
      <w:marBottom w:val="0"/>
      <w:divBdr>
        <w:top w:val="none" w:sz="0" w:space="0" w:color="auto"/>
        <w:left w:val="none" w:sz="0" w:space="0" w:color="auto"/>
        <w:bottom w:val="none" w:sz="0" w:space="0" w:color="auto"/>
        <w:right w:val="none" w:sz="0" w:space="0" w:color="auto"/>
      </w:divBdr>
    </w:div>
    <w:div w:id="1649674171">
      <w:bodyDiv w:val="1"/>
      <w:marLeft w:val="0"/>
      <w:marRight w:val="0"/>
      <w:marTop w:val="0"/>
      <w:marBottom w:val="0"/>
      <w:divBdr>
        <w:top w:val="none" w:sz="0" w:space="0" w:color="auto"/>
        <w:left w:val="none" w:sz="0" w:space="0" w:color="auto"/>
        <w:bottom w:val="none" w:sz="0" w:space="0" w:color="auto"/>
        <w:right w:val="none" w:sz="0" w:space="0" w:color="auto"/>
      </w:divBdr>
    </w:div>
    <w:div w:id="1650286351">
      <w:bodyDiv w:val="1"/>
      <w:marLeft w:val="0"/>
      <w:marRight w:val="0"/>
      <w:marTop w:val="0"/>
      <w:marBottom w:val="0"/>
      <w:divBdr>
        <w:top w:val="none" w:sz="0" w:space="0" w:color="auto"/>
        <w:left w:val="none" w:sz="0" w:space="0" w:color="auto"/>
        <w:bottom w:val="none" w:sz="0" w:space="0" w:color="auto"/>
        <w:right w:val="none" w:sz="0" w:space="0" w:color="auto"/>
      </w:divBdr>
    </w:div>
    <w:div w:id="1650749661">
      <w:bodyDiv w:val="1"/>
      <w:marLeft w:val="0"/>
      <w:marRight w:val="0"/>
      <w:marTop w:val="0"/>
      <w:marBottom w:val="0"/>
      <w:divBdr>
        <w:top w:val="none" w:sz="0" w:space="0" w:color="auto"/>
        <w:left w:val="none" w:sz="0" w:space="0" w:color="auto"/>
        <w:bottom w:val="none" w:sz="0" w:space="0" w:color="auto"/>
        <w:right w:val="none" w:sz="0" w:space="0" w:color="auto"/>
      </w:divBdr>
    </w:div>
    <w:div w:id="1650985005">
      <w:bodyDiv w:val="1"/>
      <w:marLeft w:val="0"/>
      <w:marRight w:val="0"/>
      <w:marTop w:val="0"/>
      <w:marBottom w:val="0"/>
      <w:divBdr>
        <w:top w:val="none" w:sz="0" w:space="0" w:color="auto"/>
        <w:left w:val="none" w:sz="0" w:space="0" w:color="auto"/>
        <w:bottom w:val="none" w:sz="0" w:space="0" w:color="auto"/>
        <w:right w:val="none" w:sz="0" w:space="0" w:color="auto"/>
      </w:divBdr>
    </w:div>
    <w:div w:id="1652321138">
      <w:bodyDiv w:val="1"/>
      <w:marLeft w:val="0"/>
      <w:marRight w:val="0"/>
      <w:marTop w:val="0"/>
      <w:marBottom w:val="0"/>
      <w:divBdr>
        <w:top w:val="none" w:sz="0" w:space="0" w:color="auto"/>
        <w:left w:val="none" w:sz="0" w:space="0" w:color="auto"/>
        <w:bottom w:val="none" w:sz="0" w:space="0" w:color="auto"/>
        <w:right w:val="none" w:sz="0" w:space="0" w:color="auto"/>
      </w:divBdr>
    </w:div>
    <w:div w:id="1652322824">
      <w:bodyDiv w:val="1"/>
      <w:marLeft w:val="0"/>
      <w:marRight w:val="0"/>
      <w:marTop w:val="0"/>
      <w:marBottom w:val="0"/>
      <w:divBdr>
        <w:top w:val="none" w:sz="0" w:space="0" w:color="auto"/>
        <w:left w:val="none" w:sz="0" w:space="0" w:color="auto"/>
        <w:bottom w:val="none" w:sz="0" w:space="0" w:color="auto"/>
        <w:right w:val="none" w:sz="0" w:space="0" w:color="auto"/>
      </w:divBdr>
    </w:div>
    <w:div w:id="1654143761">
      <w:bodyDiv w:val="1"/>
      <w:marLeft w:val="0"/>
      <w:marRight w:val="0"/>
      <w:marTop w:val="0"/>
      <w:marBottom w:val="0"/>
      <w:divBdr>
        <w:top w:val="none" w:sz="0" w:space="0" w:color="auto"/>
        <w:left w:val="none" w:sz="0" w:space="0" w:color="auto"/>
        <w:bottom w:val="none" w:sz="0" w:space="0" w:color="auto"/>
        <w:right w:val="none" w:sz="0" w:space="0" w:color="auto"/>
      </w:divBdr>
    </w:div>
    <w:div w:id="1654261552">
      <w:bodyDiv w:val="1"/>
      <w:marLeft w:val="0"/>
      <w:marRight w:val="0"/>
      <w:marTop w:val="0"/>
      <w:marBottom w:val="0"/>
      <w:divBdr>
        <w:top w:val="none" w:sz="0" w:space="0" w:color="auto"/>
        <w:left w:val="none" w:sz="0" w:space="0" w:color="auto"/>
        <w:bottom w:val="none" w:sz="0" w:space="0" w:color="auto"/>
        <w:right w:val="none" w:sz="0" w:space="0" w:color="auto"/>
      </w:divBdr>
    </w:div>
    <w:div w:id="1655916851">
      <w:bodyDiv w:val="1"/>
      <w:marLeft w:val="0"/>
      <w:marRight w:val="0"/>
      <w:marTop w:val="0"/>
      <w:marBottom w:val="0"/>
      <w:divBdr>
        <w:top w:val="none" w:sz="0" w:space="0" w:color="auto"/>
        <w:left w:val="none" w:sz="0" w:space="0" w:color="auto"/>
        <w:bottom w:val="none" w:sz="0" w:space="0" w:color="auto"/>
        <w:right w:val="none" w:sz="0" w:space="0" w:color="auto"/>
      </w:divBdr>
    </w:div>
    <w:div w:id="1656833210">
      <w:bodyDiv w:val="1"/>
      <w:marLeft w:val="0"/>
      <w:marRight w:val="0"/>
      <w:marTop w:val="0"/>
      <w:marBottom w:val="0"/>
      <w:divBdr>
        <w:top w:val="none" w:sz="0" w:space="0" w:color="auto"/>
        <w:left w:val="none" w:sz="0" w:space="0" w:color="auto"/>
        <w:bottom w:val="none" w:sz="0" w:space="0" w:color="auto"/>
        <w:right w:val="none" w:sz="0" w:space="0" w:color="auto"/>
      </w:divBdr>
    </w:div>
    <w:div w:id="1659842360">
      <w:bodyDiv w:val="1"/>
      <w:marLeft w:val="0"/>
      <w:marRight w:val="0"/>
      <w:marTop w:val="0"/>
      <w:marBottom w:val="0"/>
      <w:divBdr>
        <w:top w:val="none" w:sz="0" w:space="0" w:color="auto"/>
        <w:left w:val="none" w:sz="0" w:space="0" w:color="auto"/>
        <w:bottom w:val="none" w:sz="0" w:space="0" w:color="auto"/>
        <w:right w:val="none" w:sz="0" w:space="0" w:color="auto"/>
      </w:divBdr>
    </w:div>
    <w:div w:id="1659843769">
      <w:bodyDiv w:val="1"/>
      <w:marLeft w:val="0"/>
      <w:marRight w:val="0"/>
      <w:marTop w:val="0"/>
      <w:marBottom w:val="0"/>
      <w:divBdr>
        <w:top w:val="none" w:sz="0" w:space="0" w:color="auto"/>
        <w:left w:val="none" w:sz="0" w:space="0" w:color="auto"/>
        <w:bottom w:val="none" w:sz="0" w:space="0" w:color="auto"/>
        <w:right w:val="none" w:sz="0" w:space="0" w:color="auto"/>
      </w:divBdr>
    </w:div>
    <w:div w:id="1660384932">
      <w:bodyDiv w:val="1"/>
      <w:marLeft w:val="0"/>
      <w:marRight w:val="0"/>
      <w:marTop w:val="0"/>
      <w:marBottom w:val="0"/>
      <w:divBdr>
        <w:top w:val="none" w:sz="0" w:space="0" w:color="auto"/>
        <w:left w:val="none" w:sz="0" w:space="0" w:color="auto"/>
        <w:bottom w:val="none" w:sz="0" w:space="0" w:color="auto"/>
        <w:right w:val="none" w:sz="0" w:space="0" w:color="auto"/>
      </w:divBdr>
    </w:div>
    <w:div w:id="1661077615">
      <w:bodyDiv w:val="1"/>
      <w:marLeft w:val="0"/>
      <w:marRight w:val="0"/>
      <w:marTop w:val="0"/>
      <w:marBottom w:val="0"/>
      <w:divBdr>
        <w:top w:val="none" w:sz="0" w:space="0" w:color="auto"/>
        <w:left w:val="none" w:sz="0" w:space="0" w:color="auto"/>
        <w:bottom w:val="none" w:sz="0" w:space="0" w:color="auto"/>
        <w:right w:val="none" w:sz="0" w:space="0" w:color="auto"/>
      </w:divBdr>
    </w:div>
    <w:div w:id="1661082154">
      <w:bodyDiv w:val="1"/>
      <w:marLeft w:val="0"/>
      <w:marRight w:val="0"/>
      <w:marTop w:val="0"/>
      <w:marBottom w:val="0"/>
      <w:divBdr>
        <w:top w:val="none" w:sz="0" w:space="0" w:color="auto"/>
        <w:left w:val="none" w:sz="0" w:space="0" w:color="auto"/>
        <w:bottom w:val="none" w:sz="0" w:space="0" w:color="auto"/>
        <w:right w:val="none" w:sz="0" w:space="0" w:color="auto"/>
      </w:divBdr>
    </w:div>
    <w:div w:id="1661347333">
      <w:bodyDiv w:val="1"/>
      <w:marLeft w:val="0"/>
      <w:marRight w:val="0"/>
      <w:marTop w:val="0"/>
      <w:marBottom w:val="0"/>
      <w:divBdr>
        <w:top w:val="none" w:sz="0" w:space="0" w:color="auto"/>
        <w:left w:val="none" w:sz="0" w:space="0" w:color="auto"/>
        <w:bottom w:val="none" w:sz="0" w:space="0" w:color="auto"/>
        <w:right w:val="none" w:sz="0" w:space="0" w:color="auto"/>
      </w:divBdr>
    </w:div>
    <w:div w:id="1661999773">
      <w:bodyDiv w:val="1"/>
      <w:marLeft w:val="0"/>
      <w:marRight w:val="0"/>
      <w:marTop w:val="0"/>
      <w:marBottom w:val="0"/>
      <w:divBdr>
        <w:top w:val="none" w:sz="0" w:space="0" w:color="auto"/>
        <w:left w:val="none" w:sz="0" w:space="0" w:color="auto"/>
        <w:bottom w:val="none" w:sz="0" w:space="0" w:color="auto"/>
        <w:right w:val="none" w:sz="0" w:space="0" w:color="auto"/>
      </w:divBdr>
    </w:div>
    <w:div w:id="1663505159">
      <w:bodyDiv w:val="1"/>
      <w:marLeft w:val="0"/>
      <w:marRight w:val="0"/>
      <w:marTop w:val="0"/>
      <w:marBottom w:val="0"/>
      <w:divBdr>
        <w:top w:val="none" w:sz="0" w:space="0" w:color="auto"/>
        <w:left w:val="none" w:sz="0" w:space="0" w:color="auto"/>
        <w:bottom w:val="none" w:sz="0" w:space="0" w:color="auto"/>
        <w:right w:val="none" w:sz="0" w:space="0" w:color="auto"/>
      </w:divBdr>
    </w:div>
    <w:div w:id="1663852562">
      <w:bodyDiv w:val="1"/>
      <w:marLeft w:val="0"/>
      <w:marRight w:val="0"/>
      <w:marTop w:val="0"/>
      <w:marBottom w:val="0"/>
      <w:divBdr>
        <w:top w:val="none" w:sz="0" w:space="0" w:color="auto"/>
        <w:left w:val="none" w:sz="0" w:space="0" w:color="auto"/>
        <w:bottom w:val="none" w:sz="0" w:space="0" w:color="auto"/>
        <w:right w:val="none" w:sz="0" w:space="0" w:color="auto"/>
      </w:divBdr>
    </w:div>
    <w:div w:id="1665233331">
      <w:bodyDiv w:val="1"/>
      <w:marLeft w:val="0"/>
      <w:marRight w:val="0"/>
      <w:marTop w:val="0"/>
      <w:marBottom w:val="0"/>
      <w:divBdr>
        <w:top w:val="none" w:sz="0" w:space="0" w:color="auto"/>
        <w:left w:val="none" w:sz="0" w:space="0" w:color="auto"/>
        <w:bottom w:val="none" w:sz="0" w:space="0" w:color="auto"/>
        <w:right w:val="none" w:sz="0" w:space="0" w:color="auto"/>
      </w:divBdr>
    </w:div>
    <w:div w:id="1666784347">
      <w:bodyDiv w:val="1"/>
      <w:marLeft w:val="0"/>
      <w:marRight w:val="0"/>
      <w:marTop w:val="0"/>
      <w:marBottom w:val="0"/>
      <w:divBdr>
        <w:top w:val="none" w:sz="0" w:space="0" w:color="auto"/>
        <w:left w:val="none" w:sz="0" w:space="0" w:color="auto"/>
        <w:bottom w:val="none" w:sz="0" w:space="0" w:color="auto"/>
        <w:right w:val="none" w:sz="0" w:space="0" w:color="auto"/>
      </w:divBdr>
    </w:div>
    <w:div w:id="1667855972">
      <w:bodyDiv w:val="1"/>
      <w:marLeft w:val="0"/>
      <w:marRight w:val="0"/>
      <w:marTop w:val="0"/>
      <w:marBottom w:val="0"/>
      <w:divBdr>
        <w:top w:val="none" w:sz="0" w:space="0" w:color="auto"/>
        <w:left w:val="none" w:sz="0" w:space="0" w:color="auto"/>
        <w:bottom w:val="none" w:sz="0" w:space="0" w:color="auto"/>
        <w:right w:val="none" w:sz="0" w:space="0" w:color="auto"/>
      </w:divBdr>
    </w:div>
    <w:div w:id="1668481717">
      <w:bodyDiv w:val="1"/>
      <w:marLeft w:val="0"/>
      <w:marRight w:val="0"/>
      <w:marTop w:val="0"/>
      <w:marBottom w:val="0"/>
      <w:divBdr>
        <w:top w:val="none" w:sz="0" w:space="0" w:color="auto"/>
        <w:left w:val="none" w:sz="0" w:space="0" w:color="auto"/>
        <w:bottom w:val="none" w:sz="0" w:space="0" w:color="auto"/>
        <w:right w:val="none" w:sz="0" w:space="0" w:color="auto"/>
      </w:divBdr>
    </w:div>
    <w:div w:id="1668484703">
      <w:bodyDiv w:val="1"/>
      <w:marLeft w:val="0"/>
      <w:marRight w:val="0"/>
      <w:marTop w:val="0"/>
      <w:marBottom w:val="0"/>
      <w:divBdr>
        <w:top w:val="none" w:sz="0" w:space="0" w:color="auto"/>
        <w:left w:val="none" w:sz="0" w:space="0" w:color="auto"/>
        <w:bottom w:val="none" w:sz="0" w:space="0" w:color="auto"/>
        <w:right w:val="none" w:sz="0" w:space="0" w:color="auto"/>
      </w:divBdr>
    </w:div>
    <w:div w:id="1670594171">
      <w:bodyDiv w:val="1"/>
      <w:marLeft w:val="0"/>
      <w:marRight w:val="0"/>
      <w:marTop w:val="0"/>
      <w:marBottom w:val="0"/>
      <w:divBdr>
        <w:top w:val="none" w:sz="0" w:space="0" w:color="auto"/>
        <w:left w:val="none" w:sz="0" w:space="0" w:color="auto"/>
        <w:bottom w:val="none" w:sz="0" w:space="0" w:color="auto"/>
        <w:right w:val="none" w:sz="0" w:space="0" w:color="auto"/>
      </w:divBdr>
    </w:div>
    <w:div w:id="1673411607">
      <w:bodyDiv w:val="1"/>
      <w:marLeft w:val="0"/>
      <w:marRight w:val="0"/>
      <w:marTop w:val="0"/>
      <w:marBottom w:val="0"/>
      <w:divBdr>
        <w:top w:val="none" w:sz="0" w:space="0" w:color="auto"/>
        <w:left w:val="none" w:sz="0" w:space="0" w:color="auto"/>
        <w:bottom w:val="none" w:sz="0" w:space="0" w:color="auto"/>
        <w:right w:val="none" w:sz="0" w:space="0" w:color="auto"/>
      </w:divBdr>
    </w:div>
    <w:div w:id="1673533363">
      <w:bodyDiv w:val="1"/>
      <w:marLeft w:val="0"/>
      <w:marRight w:val="0"/>
      <w:marTop w:val="0"/>
      <w:marBottom w:val="0"/>
      <w:divBdr>
        <w:top w:val="none" w:sz="0" w:space="0" w:color="auto"/>
        <w:left w:val="none" w:sz="0" w:space="0" w:color="auto"/>
        <w:bottom w:val="none" w:sz="0" w:space="0" w:color="auto"/>
        <w:right w:val="none" w:sz="0" w:space="0" w:color="auto"/>
      </w:divBdr>
    </w:div>
    <w:div w:id="1673679349">
      <w:bodyDiv w:val="1"/>
      <w:marLeft w:val="0"/>
      <w:marRight w:val="0"/>
      <w:marTop w:val="0"/>
      <w:marBottom w:val="0"/>
      <w:divBdr>
        <w:top w:val="none" w:sz="0" w:space="0" w:color="auto"/>
        <w:left w:val="none" w:sz="0" w:space="0" w:color="auto"/>
        <w:bottom w:val="none" w:sz="0" w:space="0" w:color="auto"/>
        <w:right w:val="none" w:sz="0" w:space="0" w:color="auto"/>
      </w:divBdr>
    </w:div>
    <w:div w:id="1673682617">
      <w:bodyDiv w:val="1"/>
      <w:marLeft w:val="0"/>
      <w:marRight w:val="0"/>
      <w:marTop w:val="0"/>
      <w:marBottom w:val="0"/>
      <w:divBdr>
        <w:top w:val="none" w:sz="0" w:space="0" w:color="auto"/>
        <w:left w:val="none" w:sz="0" w:space="0" w:color="auto"/>
        <w:bottom w:val="none" w:sz="0" w:space="0" w:color="auto"/>
        <w:right w:val="none" w:sz="0" w:space="0" w:color="auto"/>
      </w:divBdr>
    </w:div>
    <w:div w:id="1674800782">
      <w:bodyDiv w:val="1"/>
      <w:marLeft w:val="0"/>
      <w:marRight w:val="0"/>
      <w:marTop w:val="0"/>
      <w:marBottom w:val="0"/>
      <w:divBdr>
        <w:top w:val="none" w:sz="0" w:space="0" w:color="auto"/>
        <w:left w:val="none" w:sz="0" w:space="0" w:color="auto"/>
        <w:bottom w:val="none" w:sz="0" w:space="0" w:color="auto"/>
        <w:right w:val="none" w:sz="0" w:space="0" w:color="auto"/>
      </w:divBdr>
    </w:div>
    <w:div w:id="1675720713">
      <w:bodyDiv w:val="1"/>
      <w:marLeft w:val="0"/>
      <w:marRight w:val="0"/>
      <w:marTop w:val="0"/>
      <w:marBottom w:val="0"/>
      <w:divBdr>
        <w:top w:val="none" w:sz="0" w:space="0" w:color="auto"/>
        <w:left w:val="none" w:sz="0" w:space="0" w:color="auto"/>
        <w:bottom w:val="none" w:sz="0" w:space="0" w:color="auto"/>
        <w:right w:val="none" w:sz="0" w:space="0" w:color="auto"/>
      </w:divBdr>
    </w:div>
    <w:div w:id="1675767375">
      <w:bodyDiv w:val="1"/>
      <w:marLeft w:val="0"/>
      <w:marRight w:val="0"/>
      <w:marTop w:val="0"/>
      <w:marBottom w:val="0"/>
      <w:divBdr>
        <w:top w:val="none" w:sz="0" w:space="0" w:color="auto"/>
        <w:left w:val="none" w:sz="0" w:space="0" w:color="auto"/>
        <w:bottom w:val="none" w:sz="0" w:space="0" w:color="auto"/>
        <w:right w:val="none" w:sz="0" w:space="0" w:color="auto"/>
      </w:divBdr>
    </w:div>
    <w:div w:id="1676302769">
      <w:bodyDiv w:val="1"/>
      <w:marLeft w:val="0"/>
      <w:marRight w:val="0"/>
      <w:marTop w:val="0"/>
      <w:marBottom w:val="0"/>
      <w:divBdr>
        <w:top w:val="none" w:sz="0" w:space="0" w:color="auto"/>
        <w:left w:val="none" w:sz="0" w:space="0" w:color="auto"/>
        <w:bottom w:val="none" w:sz="0" w:space="0" w:color="auto"/>
        <w:right w:val="none" w:sz="0" w:space="0" w:color="auto"/>
      </w:divBdr>
    </w:div>
    <w:div w:id="1676372673">
      <w:bodyDiv w:val="1"/>
      <w:marLeft w:val="0"/>
      <w:marRight w:val="0"/>
      <w:marTop w:val="0"/>
      <w:marBottom w:val="0"/>
      <w:divBdr>
        <w:top w:val="none" w:sz="0" w:space="0" w:color="auto"/>
        <w:left w:val="none" w:sz="0" w:space="0" w:color="auto"/>
        <w:bottom w:val="none" w:sz="0" w:space="0" w:color="auto"/>
        <w:right w:val="none" w:sz="0" w:space="0" w:color="auto"/>
      </w:divBdr>
    </w:div>
    <w:div w:id="1677491818">
      <w:bodyDiv w:val="1"/>
      <w:marLeft w:val="0"/>
      <w:marRight w:val="0"/>
      <w:marTop w:val="0"/>
      <w:marBottom w:val="0"/>
      <w:divBdr>
        <w:top w:val="none" w:sz="0" w:space="0" w:color="auto"/>
        <w:left w:val="none" w:sz="0" w:space="0" w:color="auto"/>
        <w:bottom w:val="none" w:sz="0" w:space="0" w:color="auto"/>
        <w:right w:val="none" w:sz="0" w:space="0" w:color="auto"/>
      </w:divBdr>
    </w:div>
    <w:div w:id="1679886451">
      <w:bodyDiv w:val="1"/>
      <w:marLeft w:val="0"/>
      <w:marRight w:val="0"/>
      <w:marTop w:val="0"/>
      <w:marBottom w:val="0"/>
      <w:divBdr>
        <w:top w:val="none" w:sz="0" w:space="0" w:color="auto"/>
        <w:left w:val="none" w:sz="0" w:space="0" w:color="auto"/>
        <w:bottom w:val="none" w:sz="0" w:space="0" w:color="auto"/>
        <w:right w:val="none" w:sz="0" w:space="0" w:color="auto"/>
      </w:divBdr>
    </w:div>
    <w:div w:id="1682855293">
      <w:bodyDiv w:val="1"/>
      <w:marLeft w:val="0"/>
      <w:marRight w:val="0"/>
      <w:marTop w:val="0"/>
      <w:marBottom w:val="0"/>
      <w:divBdr>
        <w:top w:val="none" w:sz="0" w:space="0" w:color="auto"/>
        <w:left w:val="none" w:sz="0" w:space="0" w:color="auto"/>
        <w:bottom w:val="none" w:sz="0" w:space="0" w:color="auto"/>
        <w:right w:val="none" w:sz="0" w:space="0" w:color="auto"/>
      </w:divBdr>
    </w:div>
    <w:div w:id="1685012833">
      <w:bodyDiv w:val="1"/>
      <w:marLeft w:val="0"/>
      <w:marRight w:val="0"/>
      <w:marTop w:val="0"/>
      <w:marBottom w:val="0"/>
      <w:divBdr>
        <w:top w:val="none" w:sz="0" w:space="0" w:color="auto"/>
        <w:left w:val="none" w:sz="0" w:space="0" w:color="auto"/>
        <w:bottom w:val="none" w:sz="0" w:space="0" w:color="auto"/>
        <w:right w:val="none" w:sz="0" w:space="0" w:color="auto"/>
      </w:divBdr>
    </w:div>
    <w:div w:id="1685858949">
      <w:bodyDiv w:val="1"/>
      <w:marLeft w:val="0"/>
      <w:marRight w:val="0"/>
      <w:marTop w:val="0"/>
      <w:marBottom w:val="0"/>
      <w:divBdr>
        <w:top w:val="none" w:sz="0" w:space="0" w:color="auto"/>
        <w:left w:val="none" w:sz="0" w:space="0" w:color="auto"/>
        <w:bottom w:val="none" w:sz="0" w:space="0" w:color="auto"/>
        <w:right w:val="none" w:sz="0" w:space="0" w:color="auto"/>
      </w:divBdr>
    </w:div>
    <w:div w:id="1686204653">
      <w:bodyDiv w:val="1"/>
      <w:marLeft w:val="0"/>
      <w:marRight w:val="0"/>
      <w:marTop w:val="0"/>
      <w:marBottom w:val="0"/>
      <w:divBdr>
        <w:top w:val="none" w:sz="0" w:space="0" w:color="auto"/>
        <w:left w:val="none" w:sz="0" w:space="0" w:color="auto"/>
        <w:bottom w:val="none" w:sz="0" w:space="0" w:color="auto"/>
        <w:right w:val="none" w:sz="0" w:space="0" w:color="auto"/>
      </w:divBdr>
    </w:div>
    <w:div w:id="1686860196">
      <w:bodyDiv w:val="1"/>
      <w:marLeft w:val="0"/>
      <w:marRight w:val="0"/>
      <w:marTop w:val="0"/>
      <w:marBottom w:val="0"/>
      <w:divBdr>
        <w:top w:val="none" w:sz="0" w:space="0" w:color="auto"/>
        <w:left w:val="none" w:sz="0" w:space="0" w:color="auto"/>
        <w:bottom w:val="none" w:sz="0" w:space="0" w:color="auto"/>
        <w:right w:val="none" w:sz="0" w:space="0" w:color="auto"/>
      </w:divBdr>
    </w:div>
    <w:div w:id="1686900010">
      <w:bodyDiv w:val="1"/>
      <w:marLeft w:val="0"/>
      <w:marRight w:val="0"/>
      <w:marTop w:val="0"/>
      <w:marBottom w:val="0"/>
      <w:divBdr>
        <w:top w:val="none" w:sz="0" w:space="0" w:color="auto"/>
        <w:left w:val="none" w:sz="0" w:space="0" w:color="auto"/>
        <w:bottom w:val="none" w:sz="0" w:space="0" w:color="auto"/>
        <w:right w:val="none" w:sz="0" w:space="0" w:color="auto"/>
      </w:divBdr>
    </w:div>
    <w:div w:id="1687633746">
      <w:bodyDiv w:val="1"/>
      <w:marLeft w:val="0"/>
      <w:marRight w:val="0"/>
      <w:marTop w:val="0"/>
      <w:marBottom w:val="0"/>
      <w:divBdr>
        <w:top w:val="none" w:sz="0" w:space="0" w:color="auto"/>
        <w:left w:val="none" w:sz="0" w:space="0" w:color="auto"/>
        <w:bottom w:val="none" w:sz="0" w:space="0" w:color="auto"/>
        <w:right w:val="none" w:sz="0" w:space="0" w:color="auto"/>
      </w:divBdr>
    </w:div>
    <w:div w:id="1688023866">
      <w:bodyDiv w:val="1"/>
      <w:marLeft w:val="0"/>
      <w:marRight w:val="0"/>
      <w:marTop w:val="0"/>
      <w:marBottom w:val="0"/>
      <w:divBdr>
        <w:top w:val="none" w:sz="0" w:space="0" w:color="auto"/>
        <w:left w:val="none" w:sz="0" w:space="0" w:color="auto"/>
        <w:bottom w:val="none" w:sz="0" w:space="0" w:color="auto"/>
        <w:right w:val="none" w:sz="0" w:space="0" w:color="auto"/>
      </w:divBdr>
    </w:div>
    <w:div w:id="1688291908">
      <w:bodyDiv w:val="1"/>
      <w:marLeft w:val="0"/>
      <w:marRight w:val="0"/>
      <w:marTop w:val="0"/>
      <w:marBottom w:val="0"/>
      <w:divBdr>
        <w:top w:val="none" w:sz="0" w:space="0" w:color="auto"/>
        <w:left w:val="none" w:sz="0" w:space="0" w:color="auto"/>
        <w:bottom w:val="none" w:sz="0" w:space="0" w:color="auto"/>
        <w:right w:val="none" w:sz="0" w:space="0" w:color="auto"/>
      </w:divBdr>
    </w:div>
    <w:div w:id="1688872242">
      <w:bodyDiv w:val="1"/>
      <w:marLeft w:val="0"/>
      <w:marRight w:val="0"/>
      <w:marTop w:val="0"/>
      <w:marBottom w:val="0"/>
      <w:divBdr>
        <w:top w:val="none" w:sz="0" w:space="0" w:color="auto"/>
        <w:left w:val="none" w:sz="0" w:space="0" w:color="auto"/>
        <w:bottom w:val="none" w:sz="0" w:space="0" w:color="auto"/>
        <w:right w:val="none" w:sz="0" w:space="0" w:color="auto"/>
      </w:divBdr>
    </w:div>
    <w:div w:id="1691445263">
      <w:bodyDiv w:val="1"/>
      <w:marLeft w:val="0"/>
      <w:marRight w:val="0"/>
      <w:marTop w:val="0"/>
      <w:marBottom w:val="0"/>
      <w:divBdr>
        <w:top w:val="none" w:sz="0" w:space="0" w:color="auto"/>
        <w:left w:val="none" w:sz="0" w:space="0" w:color="auto"/>
        <w:bottom w:val="none" w:sz="0" w:space="0" w:color="auto"/>
        <w:right w:val="none" w:sz="0" w:space="0" w:color="auto"/>
      </w:divBdr>
    </w:div>
    <w:div w:id="1691644398">
      <w:bodyDiv w:val="1"/>
      <w:marLeft w:val="0"/>
      <w:marRight w:val="0"/>
      <w:marTop w:val="0"/>
      <w:marBottom w:val="0"/>
      <w:divBdr>
        <w:top w:val="none" w:sz="0" w:space="0" w:color="auto"/>
        <w:left w:val="none" w:sz="0" w:space="0" w:color="auto"/>
        <w:bottom w:val="none" w:sz="0" w:space="0" w:color="auto"/>
        <w:right w:val="none" w:sz="0" w:space="0" w:color="auto"/>
      </w:divBdr>
    </w:div>
    <w:div w:id="1692535293">
      <w:bodyDiv w:val="1"/>
      <w:marLeft w:val="0"/>
      <w:marRight w:val="0"/>
      <w:marTop w:val="0"/>
      <w:marBottom w:val="0"/>
      <w:divBdr>
        <w:top w:val="none" w:sz="0" w:space="0" w:color="auto"/>
        <w:left w:val="none" w:sz="0" w:space="0" w:color="auto"/>
        <w:bottom w:val="none" w:sz="0" w:space="0" w:color="auto"/>
        <w:right w:val="none" w:sz="0" w:space="0" w:color="auto"/>
      </w:divBdr>
    </w:div>
    <w:div w:id="1695417685">
      <w:bodyDiv w:val="1"/>
      <w:marLeft w:val="0"/>
      <w:marRight w:val="0"/>
      <w:marTop w:val="0"/>
      <w:marBottom w:val="0"/>
      <w:divBdr>
        <w:top w:val="none" w:sz="0" w:space="0" w:color="auto"/>
        <w:left w:val="none" w:sz="0" w:space="0" w:color="auto"/>
        <w:bottom w:val="none" w:sz="0" w:space="0" w:color="auto"/>
        <w:right w:val="none" w:sz="0" w:space="0" w:color="auto"/>
      </w:divBdr>
    </w:div>
    <w:div w:id="1697539968">
      <w:bodyDiv w:val="1"/>
      <w:marLeft w:val="0"/>
      <w:marRight w:val="0"/>
      <w:marTop w:val="0"/>
      <w:marBottom w:val="0"/>
      <w:divBdr>
        <w:top w:val="none" w:sz="0" w:space="0" w:color="auto"/>
        <w:left w:val="none" w:sz="0" w:space="0" w:color="auto"/>
        <w:bottom w:val="none" w:sz="0" w:space="0" w:color="auto"/>
        <w:right w:val="none" w:sz="0" w:space="0" w:color="auto"/>
      </w:divBdr>
    </w:div>
    <w:div w:id="1698391282">
      <w:bodyDiv w:val="1"/>
      <w:marLeft w:val="0"/>
      <w:marRight w:val="0"/>
      <w:marTop w:val="0"/>
      <w:marBottom w:val="0"/>
      <w:divBdr>
        <w:top w:val="none" w:sz="0" w:space="0" w:color="auto"/>
        <w:left w:val="none" w:sz="0" w:space="0" w:color="auto"/>
        <w:bottom w:val="none" w:sz="0" w:space="0" w:color="auto"/>
        <w:right w:val="none" w:sz="0" w:space="0" w:color="auto"/>
      </w:divBdr>
    </w:div>
    <w:div w:id="1699623503">
      <w:bodyDiv w:val="1"/>
      <w:marLeft w:val="0"/>
      <w:marRight w:val="0"/>
      <w:marTop w:val="0"/>
      <w:marBottom w:val="0"/>
      <w:divBdr>
        <w:top w:val="none" w:sz="0" w:space="0" w:color="auto"/>
        <w:left w:val="none" w:sz="0" w:space="0" w:color="auto"/>
        <w:bottom w:val="none" w:sz="0" w:space="0" w:color="auto"/>
        <w:right w:val="none" w:sz="0" w:space="0" w:color="auto"/>
      </w:divBdr>
    </w:div>
    <w:div w:id="1700468950">
      <w:bodyDiv w:val="1"/>
      <w:marLeft w:val="0"/>
      <w:marRight w:val="0"/>
      <w:marTop w:val="0"/>
      <w:marBottom w:val="0"/>
      <w:divBdr>
        <w:top w:val="none" w:sz="0" w:space="0" w:color="auto"/>
        <w:left w:val="none" w:sz="0" w:space="0" w:color="auto"/>
        <w:bottom w:val="none" w:sz="0" w:space="0" w:color="auto"/>
        <w:right w:val="none" w:sz="0" w:space="0" w:color="auto"/>
      </w:divBdr>
    </w:div>
    <w:div w:id="1700813013">
      <w:bodyDiv w:val="1"/>
      <w:marLeft w:val="0"/>
      <w:marRight w:val="0"/>
      <w:marTop w:val="0"/>
      <w:marBottom w:val="0"/>
      <w:divBdr>
        <w:top w:val="none" w:sz="0" w:space="0" w:color="auto"/>
        <w:left w:val="none" w:sz="0" w:space="0" w:color="auto"/>
        <w:bottom w:val="none" w:sz="0" w:space="0" w:color="auto"/>
        <w:right w:val="none" w:sz="0" w:space="0" w:color="auto"/>
      </w:divBdr>
    </w:div>
    <w:div w:id="1701199134">
      <w:bodyDiv w:val="1"/>
      <w:marLeft w:val="0"/>
      <w:marRight w:val="0"/>
      <w:marTop w:val="0"/>
      <w:marBottom w:val="0"/>
      <w:divBdr>
        <w:top w:val="none" w:sz="0" w:space="0" w:color="auto"/>
        <w:left w:val="none" w:sz="0" w:space="0" w:color="auto"/>
        <w:bottom w:val="none" w:sz="0" w:space="0" w:color="auto"/>
        <w:right w:val="none" w:sz="0" w:space="0" w:color="auto"/>
      </w:divBdr>
    </w:div>
    <w:div w:id="1701516222">
      <w:bodyDiv w:val="1"/>
      <w:marLeft w:val="0"/>
      <w:marRight w:val="0"/>
      <w:marTop w:val="0"/>
      <w:marBottom w:val="0"/>
      <w:divBdr>
        <w:top w:val="none" w:sz="0" w:space="0" w:color="auto"/>
        <w:left w:val="none" w:sz="0" w:space="0" w:color="auto"/>
        <w:bottom w:val="none" w:sz="0" w:space="0" w:color="auto"/>
        <w:right w:val="none" w:sz="0" w:space="0" w:color="auto"/>
      </w:divBdr>
    </w:div>
    <w:div w:id="1703283119">
      <w:bodyDiv w:val="1"/>
      <w:marLeft w:val="0"/>
      <w:marRight w:val="0"/>
      <w:marTop w:val="0"/>
      <w:marBottom w:val="0"/>
      <w:divBdr>
        <w:top w:val="none" w:sz="0" w:space="0" w:color="auto"/>
        <w:left w:val="none" w:sz="0" w:space="0" w:color="auto"/>
        <w:bottom w:val="none" w:sz="0" w:space="0" w:color="auto"/>
        <w:right w:val="none" w:sz="0" w:space="0" w:color="auto"/>
      </w:divBdr>
    </w:div>
    <w:div w:id="1703284839">
      <w:bodyDiv w:val="1"/>
      <w:marLeft w:val="0"/>
      <w:marRight w:val="0"/>
      <w:marTop w:val="0"/>
      <w:marBottom w:val="0"/>
      <w:divBdr>
        <w:top w:val="none" w:sz="0" w:space="0" w:color="auto"/>
        <w:left w:val="none" w:sz="0" w:space="0" w:color="auto"/>
        <w:bottom w:val="none" w:sz="0" w:space="0" w:color="auto"/>
        <w:right w:val="none" w:sz="0" w:space="0" w:color="auto"/>
      </w:divBdr>
    </w:div>
    <w:div w:id="1703631769">
      <w:bodyDiv w:val="1"/>
      <w:marLeft w:val="0"/>
      <w:marRight w:val="0"/>
      <w:marTop w:val="0"/>
      <w:marBottom w:val="0"/>
      <w:divBdr>
        <w:top w:val="none" w:sz="0" w:space="0" w:color="auto"/>
        <w:left w:val="none" w:sz="0" w:space="0" w:color="auto"/>
        <w:bottom w:val="none" w:sz="0" w:space="0" w:color="auto"/>
        <w:right w:val="none" w:sz="0" w:space="0" w:color="auto"/>
      </w:divBdr>
    </w:div>
    <w:div w:id="1705132062">
      <w:bodyDiv w:val="1"/>
      <w:marLeft w:val="0"/>
      <w:marRight w:val="0"/>
      <w:marTop w:val="0"/>
      <w:marBottom w:val="0"/>
      <w:divBdr>
        <w:top w:val="none" w:sz="0" w:space="0" w:color="auto"/>
        <w:left w:val="none" w:sz="0" w:space="0" w:color="auto"/>
        <w:bottom w:val="none" w:sz="0" w:space="0" w:color="auto"/>
        <w:right w:val="none" w:sz="0" w:space="0" w:color="auto"/>
      </w:divBdr>
    </w:div>
    <w:div w:id="1705640572">
      <w:bodyDiv w:val="1"/>
      <w:marLeft w:val="0"/>
      <w:marRight w:val="0"/>
      <w:marTop w:val="0"/>
      <w:marBottom w:val="0"/>
      <w:divBdr>
        <w:top w:val="none" w:sz="0" w:space="0" w:color="auto"/>
        <w:left w:val="none" w:sz="0" w:space="0" w:color="auto"/>
        <w:bottom w:val="none" w:sz="0" w:space="0" w:color="auto"/>
        <w:right w:val="none" w:sz="0" w:space="0" w:color="auto"/>
      </w:divBdr>
    </w:div>
    <w:div w:id="1706908536">
      <w:bodyDiv w:val="1"/>
      <w:marLeft w:val="0"/>
      <w:marRight w:val="0"/>
      <w:marTop w:val="0"/>
      <w:marBottom w:val="0"/>
      <w:divBdr>
        <w:top w:val="none" w:sz="0" w:space="0" w:color="auto"/>
        <w:left w:val="none" w:sz="0" w:space="0" w:color="auto"/>
        <w:bottom w:val="none" w:sz="0" w:space="0" w:color="auto"/>
        <w:right w:val="none" w:sz="0" w:space="0" w:color="auto"/>
      </w:divBdr>
    </w:div>
    <w:div w:id="1709261565">
      <w:bodyDiv w:val="1"/>
      <w:marLeft w:val="0"/>
      <w:marRight w:val="0"/>
      <w:marTop w:val="0"/>
      <w:marBottom w:val="0"/>
      <w:divBdr>
        <w:top w:val="none" w:sz="0" w:space="0" w:color="auto"/>
        <w:left w:val="none" w:sz="0" w:space="0" w:color="auto"/>
        <w:bottom w:val="none" w:sz="0" w:space="0" w:color="auto"/>
        <w:right w:val="none" w:sz="0" w:space="0" w:color="auto"/>
      </w:divBdr>
    </w:div>
    <w:div w:id="1709986985">
      <w:bodyDiv w:val="1"/>
      <w:marLeft w:val="0"/>
      <w:marRight w:val="0"/>
      <w:marTop w:val="0"/>
      <w:marBottom w:val="0"/>
      <w:divBdr>
        <w:top w:val="none" w:sz="0" w:space="0" w:color="auto"/>
        <w:left w:val="none" w:sz="0" w:space="0" w:color="auto"/>
        <w:bottom w:val="none" w:sz="0" w:space="0" w:color="auto"/>
        <w:right w:val="none" w:sz="0" w:space="0" w:color="auto"/>
      </w:divBdr>
    </w:div>
    <w:div w:id="1710686662">
      <w:bodyDiv w:val="1"/>
      <w:marLeft w:val="0"/>
      <w:marRight w:val="0"/>
      <w:marTop w:val="0"/>
      <w:marBottom w:val="0"/>
      <w:divBdr>
        <w:top w:val="none" w:sz="0" w:space="0" w:color="auto"/>
        <w:left w:val="none" w:sz="0" w:space="0" w:color="auto"/>
        <w:bottom w:val="none" w:sz="0" w:space="0" w:color="auto"/>
        <w:right w:val="none" w:sz="0" w:space="0" w:color="auto"/>
      </w:divBdr>
    </w:div>
    <w:div w:id="1712683230">
      <w:bodyDiv w:val="1"/>
      <w:marLeft w:val="0"/>
      <w:marRight w:val="0"/>
      <w:marTop w:val="0"/>
      <w:marBottom w:val="0"/>
      <w:divBdr>
        <w:top w:val="none" w:sz="0" w:space="0" w:color="auto"/>
        <w:left w:val="none" w:sz="0" w:space="0" w:color="auto"/>
        <w:bottom w:val="none" w:sz="0" w:space="0" w:color="auto"/>
        <w:right w:val="none" w:sz="0" w:space="0" w:color="auto"/>
      </w:divBdr>
    </w:div>
    <w:div w:id="1716078891">
      <w:bodyDiv w:val="1"/>
      <w:marLeft w:val="0"/>
      <w:marRight w:val="0"/>
      <w:marTop w:val="0"/>
      <w:marBottom w:val="0"/>
      <w:divBdr>
        <w:top w:val="none" w:sz="0" w:space="0" w:color="auto"/>
        <w:left w:val="none" w:sz="0" w:space="0" w:color="auto"/>
        <w:bottom w:val="none" w:sz="0" w:space="0" w:color="auto"/>
        <w:right w:val="none" w:sz="0" w:space="0" w:color="auto"/>
      </w:divBdr>
    </w:div>
    <w:div w:id="1718504127">
      <w:bodyDiv w:val="1"/>
      <w:marLeft w:val="0"/>
      <w:marRight w:val="0"/>
      <w:marTop w:val="0"/>
      <w:marBottom w:val="0"/>
      <w:divBdr>
        <w:top w:val="none" w:sz="0" w:space="0" w:color="auto"/>
        <w:left w:val="none" w:sz="0" w:space="0" w:color="auto"/>
        <w:bottom w:val="none" w:sz="0" w:space="0" w:color="auto"/>
        <w:right w:val="none" w:sz="0" w:space="0" w:color="auto"/>
      </w:divBdr>
    </w:div>
    <w:div w:id="1718700220">
      <w:bodyDiv w:val="1"/>
      <w:marLeft w:val="0"/>
      <w:marRight w:val="0"/>
      <w:marTop w:val="0"/>
      <w:marBottom w:val="0"/>
      <w:divBdr>
        <w:top w:val="none" w:sz="0" w:space="0" w:color="auto"/>
        <w:left w:val="none" w:sz="0" w:space="0" w:color="auto"/>
        <w:bottom w:val="none" w:sz="0" w:space="0" w:color="auto"/>
        <w:right w:val="none" w:sz="0" w:space="0" w:color="auto"/>
      </w:divBdr>
    </w:div>
    <w:div w:id="1721325957">
      <w:bodyDiv w:val="1"/>
      <w:marLeft w:val="0"/>
      <w:marRight w:val="0"/>
      <w:marTop w:val="0"/>
      <w:marBottom w:val="0"/>
      <w:divBdr>
        <w:top w:val="none" w:sz="0" w:space="0" w:color="auto"/>
        <w:left w:val="none" w:sz="0" w:space="0" w:color="auto"/>
        <w:bottom w:val="none" w:sz="0" w:space="0" w:color="auto"/>
        <w:right w:val="none" w:sz="0" w:space="0" w:color="auto"/>
      </w:divBdr>
    </w:div>
    <w:div w:id="1724449125">
      <w:bodyDiv w:val="1"/>
      <w:marLeft w:val="0"/>
      <w:marRight w:val="0"/>
      <w:marTop w:val="0"/>
      <w:marBottom w:val="0"/>
      <w:divBdr>
        <w:top w:val="none" w:sz="0" w:space="0" w:color="auto"/>
        <w:left w:val="none" w:sz="0" w:space="0" w:color="auto"/>
        <w:bottom w:val="none" w:sz="0" w:space="0" w:color="auto"/>
        <w:right w:val="none" w:sz="0" w:space="0" w:color="auto"/>
      </w:divBdr>
    </w:div>
    <w:div w:id="1725518429">
      <w:bodyDiv w:val="1"/>
      <w:marLeft w:val="0"/>
      <w:marRight w:val="0"/>
      <w:marTop w:val="0"/>
      <w:marBottom w:val="0"/>
      <w:divBdr>
        <w:top w:val="none" w:sz="0" w:space="0" w:color="auto"/>
        <w:left w:val="none" w:sz="0" w:space="0" w:color="auto"/>
        <w:bottom w:val="none" w:sz="0" w:space="0" w:color="auto"/>
        <w:right w:val="none" w:sz="0" w:space="0" w:color="auto"/>
      </w:divBdr>
    </w:div>
    <w:div w:id="1727098686">
      <w:bodyDiv w:val="1"/>
      <w:marLeft w:val="0"/>
      <w:marRight w:val="0"/>
      <w:marTop w:val="0"/>
      <w:marBottom w:val="0"/>
      <w:divBdr>
        <w:top w:val="none" w:sz="0" w:space="0" w:color="auto"/>
        <w:left w:val="none" w:sz="0" w:space="0" w:color="auto"/>
        <w:bottom w:val="none" w:sz="0" w:space="0" w:color="auto"/>
        <w:right w:val="none" w:sz="0" w:space="0" w:color="auto"/>
      </w:divBdr>
    </w:div>
    <w:div w:id="1727490528">
      <w:bodyDiv w:val="1"/>
      <w:marLeft w:val="0"/>
      <w:marRight w:val="0"/>
      <w:marTop w:val="0"/>
      <w:marBottom w:val="0"/>
      <w:divBdr>
        <w:top w:val="none" w:sz="0" w:space="0" w:color="auto"/>
        <w:left w:val="none" w:sz="0" w:space="0" w:color="auto"/>
        <w:bottom w:val="none" w:sz="0" w:space="0" w:color="auto"/>
        <w:right w:val="none" w:sz="0" w:space="0" w:color="auto"/>
      </w:divBdr>
    </w:div>
    <w:div w:id="1728065318">
      <w:bodyDiv w:val="1"/>
      <w:marLeft w:val="0"/>
      <w:marRight w:val="0"/>
      <w:marTop w:val="0"/>
      <w:marBottom w:val="0"/>
      <w:divBdr>
        <w:top w:val="none" w:sz="0" w:space="0" w:color="auto"/>
        <w:left w:val="none" w:sz="0" w:space="0" w:color="auto"/>
        <w:bottom w:val="none" w:sz="0" w:space="0" w:color="auto"/>
        <w:right w:val="none" w:sz="0" w:space="0" w:color="auto"/>
      </w:divBdr>
    </w:div>
    <w:div w:id="1728215800">
      <w:bodyDiv w:val="1"/>
      <w:marLeft w:val="0"/>
      <w:marRight w:val="0"/>
      <w:marTop w:val="0"/>
      <w:marBottom w:val="0"/>
      <w:divBdr>
        <w:top w:val="none" w:sz="0" w:space="0" w:color="auto"/>
        <w:left w:val="none" w:sz="0" w:space="0" w:color="auto"/>
        <w:bottom w:val="none" w:sz="0" w:space="0" w:color="auto"/>
        <w:right w:val="none" w:sz="0" w:space="0" w:color="auto"/>
      </w:divBdr>
    </w:div>
    <w:div w:id="1728533502">
      <w:bodyDiv w:val="1"/>
      <w:marLeft w:val="0"/>
      <w:marRight w:val="0"/>
      <w:marTop w:val="0"/>
      <w:marBottom w:val="0"/>
      <w:divBdr>
        <w:top w:val="none" w:sz="0" w:space="0" w:color="auto"/>
        <w:left w:val="none" w:sz="0" w:space="0" w:color="auto"/>
        <w:bottom w:val="none" w:sz="0" w:space="0" w:color="auto"/>
        <w:right w:val="none" w:sz="0" w:space="0" w:color="auto"/>
      </w:divBdr>
    </w:div>
    <w:div w:id="1728720469">
      <w:bodyDiv w:val="1"/>
      <w:marLeft w:val="0"/>
      <w:marRight w:val="0"/>
      <w:marTop w:val="0"/>
      <w:marBottom w:val="0"/>
      <w:divBdr>
        <w:top w:val="none" w:sz="0" w:space="0" w:color="auto"/>
        <w:left w:val="none" w:sz="0" w:space="0" w:color="auto"/>
        <w:bottom w:val="none" w:sz="0" w:space="0" w:color="auto"/>
        <w:right w:val="none" w:sz="0" w:space="0" w:color="auto"/>
      </w:divBdr>
    </w:div>
    <w:div w:id="1728721367">
      <w:bodyDiv w:val="1"/>
      <w:marLeft w:val="0"/>
      <w:marRight w:val="0"/>
      <w:marTop w:val="0"/>
      <w:marBottom w:val="0"/>
      <w:divBdr>
        <w:top w:val="none" w:sz="0" w:space="0" w:color="auto"/>
        <w:left w:val="none" w:sz="0" w:space="0" w:color="auto"/>
        <w:bottom w:val="none" w:sz="0" w:space="0" w:color="auto"/>
        <w:right w:val="none" w:sz="0" w:space="0" w:color="auto"/>
      </w:divBdr>
    </w:div>
    <w:div w:id="1729382589">
      <w:bodyDiv w:val="1"/>
      <w:marLeft w:val="0"/>
      <w:marRight w:val="0"/>
      <w:marTop w:val="0"/>
      <w:marBottom w:val="0"/>
      <w:divBdr>
        <w:top w:val="none" w:sz="0" w:space="0" w:color="auto"/>
        <w:left w:val="none" w:sz="0" w:space="0" w:color="auto"/>
        <w:bottom w:val="none" w:sz="0" w:space="0" w:color="auto"/>
        <w:right w:val="none" w:sz="0" w:space="0" w:color="auto"/>
      </w:divBdr>
    </w:div>
    <w:div w:id="1730418489">
      <w:bodyDiv w:val="1"/>
      <w:marLeft w:val="0"/>
      <w:marRight w:val="0"/>
      <w:marTop w:val="0"/>
      <w:marBottom w:val="0"/>
      <w:divBdr>
        <w:top w:val="none" w:sz="0" w:space="0" w:color="auto"/>
        <w:left w:val="none" w:sz="0" w:space="0" w:color="auto"/>
        <w:bottom w:val="none" w:sz="0" w:space="0" w:color="auto"/>
        <w:right w:val="none" w:sz="0" w:space="0" w:color="auto"/>
      </w:divBdr>
    </w:div>
    <w:div w:id="1730610661">
      <w:bodyDiv w:val="1"/>
      <w:marLeft w:val="0"/>
      <w:marRight w:val="0"/>
      <w:marTop w:val="0"/>
      <w:marBottom w:val="0"/>
      <w:divBdr>
        <w:top w:val="none" w:sz="0" w:space="0" w:color="auto"/>
        <w:left w:val="none" w:sz="0" w:space="0" w:color="auto"/>
        <w:bottom w:val="none" w:sz="0" w:space="0" w:color="auto"/>
        <w:right w:val="none" w:sz="0" w:space="0" w:color="auto"/>
      </w:divBdr>
    </w:div>
    <w:div w:id="1731151226">
      <w:bodyDiv w:val="1"/>
      <w:marLeft w:val="0"/>
      <w:marRight w:val="0"/>
      <w:marTop w:val="0"/>
      <w:marBottom w:val="0"/>
      <w:divBdr>
        <w:top w:val="none" w:sz="0" w:space="0" w:color="auto"/>
        <w:left w:val="none" w:sz="0" w:space="0" w:color="auto"/>
        <w:bottom w:val="none" w:sz="0" w:space="0" w:color="auto"/>
        <w:right w:val="none" w:sz="0" w:space="0" w:color="auto"/>
      </w:divBdr>
    </w:div>
    <w:div w:id="1732652816">
      <w:bodyDiv w:val="1"/>
      <w:marLeft w:val="0"/>
      <w:marRight w:val="0"/>
      <w:marTop w:val="0"/>
      <w:marBottom w:val="0"/>
      <w:divBdr>
        <w:top w:val="none" w:sz="0" w:space="0" w:color="auto"/>
        <w:left w:val="none" w:sz="0" w:space="0" w:color="auto"/>
        <w:bottom w:val="none" w:sz="0" w:space="0" w:color="auto"/>
        <w:right w:val="none" w:sz="0" w:space="0" w:color="auto"/>
      </w:divBdr>
    </w:div>
    <w:div w:id="1732730348">
      <w:bodyDiv w:val="1"/>
      <w:marLeft w:val="0"/>
      <w:marRight w:val="0"/>
      <w:marTop w:val="0"/>
      <w:marBottom w:val="0"/>
      <w:divBdr>
        <w:top w:val="none" w:sz="0" w:space="0" w:color="auto"/>
        <w:left w:val="none" w:sz="0" w:space="0" w:color="auto"/>
        <w:bottom w:val="none" w:sz="0" w:space="0" w:color="auto"/>
        <w:right w:val="none" w:sz="0" w:space="0" w:color="auto"/>
      </w:divBdr>
    </w:div>
    <w:div w:id="1737238609">
      <w:bodyDiv w:val="1"/>
      <w:marLeft w:val="0"/>
      <w:marRight w:val="0"/>
      <w:marTop w:val="0"/>
      <w:marBottom w:val="0"/>
      <w:divBdr>
        <w:top w:val="none" w:sz="0" w:space="0" w:color="auto"/>
        <w:left w:val="none" w:sz="0" w:space="0" w:color="auto"/>
        <w:bottom w:val="none" w:sz="0" w:space="0" w:color="auto"/>
        <w:right w:val="none" w:sz="0" w:space="0" w:color="auto"/>
      </w:divBdr>
    </w:div>
    <w:div w:id="1737700901">
      <w:bodyDiv w:val="1"/>
      <w:marLeft w:val="0"/>
      <w:marRight w:val="0"/>
      <w:marTop w:val="0"/>
      <w:marBottom w:val="0"/>
      <w:divBdr>
        <w:top w:val="none" w:sz="0" w:space="0" w:color="auto"/>
        <w:left w:val="none" w:sz="0" w:space="0" w:color="auto"/>
        <w:bottom w:val="none" w:sz="0" w:space="0" w:color="auto"/>
        <w:right w:val="none" w:sz="0" w:space="0" w:color="auto"/>
      </w:divBdr>
    </w:div>
    <w:div w:id="1737900063">
      <w:bodyDiv w:val="1"/>
      <w:marLeft w:val="0"/>
      <w:marRight w:val="0"/>
      <w:marTop w:val="0"/>
      <w:marBottom w:val="0"/>
      <w:divBdr>
        <w:top w:val="none" w:sz="0" w:space="0" w:color="auto"/>
        <w:left w:val="none" w:sz="0" w:space="0" w:color="auto"/>
        <w:bottom w:val="none" w:sz="0" w:space="0" w:color="auto"/>
        <w:right w:val="none" w:sz="0" w:space="0" w:color="auto"/>
      </w:divBdr>
    </w:div>
    <w:div w:id="1739747043">
      <w:bodyDiv w:val="1"/>
      <w:marLeft w:val="0"/>
      <w:marRight w:val="0"/>
      <w:marTop w:val="0"/>
      <w:marBottom w:val="0"/>
      <w:divBdr>
        <w:top w:val="none" w:sz="0" w:space="0" w:color="auto"/>
        <w:left w:val="none" w:sz="0" w:space="0" w:color="auto"/>
        <w:bottom w:val="none" w:sz="0" w:space="0" w:color="auto"/>
        <w:right w:val="none" w:sz="0" w:space="0" w:color="auto"/>
      </w:divBdr>
    </w:div>
    <w:div w:id="1742866453">
      <w:bodyDiv w:val="1"/>
      <w:marLeft w:val="0"/>
      <w:marRight w:val="0"/>
      <w:marTop w:val="0"/>
      <w:marBottom w:val="0"/>
      <w:divBdr>
        <w:top w:val="none" w:sz="0" w:space="0" w:color="auto"/>
        <w:left w:val="none" w:sz="0" w:space="0" w:color="auto"/>
        <w:bottom w:val="none" w:sz="0" w:space="0" w:color="auto"/>
        <w:right w:val="none" w:sz="0" w:space="0" w:color="auto"/>
      </w:divBdr>
    </w:div>
    <w:div w:id="1743142344">
      <w:bodyDiv w:val="1"/>
      <w:marLeft w:val="0"/>
      <w:marRight w:val="0"/>
      <w:marTop w:val="0"/>
      <w:marBottom w:val="0"/>
      <w:divBdr>
        <w:top w:val="none" w:sz="0" w:space="0" w:color="auto"/>
        <w:left w:val="none" w:sz="0" w:space="0" w:color="auto"/>
        <w:bottom w:val="none" w:sz="0" w:space="0" w:color="auto"/>
        <w:right w:val="none" w:sz="0" w:space="0" w:color="auto"/>
      </w:divBdr>
    </w:div>
    <w:div w:id="1743260718">
      <w:bodyDiv w:val="1"/>
      <w:marLeft w:val="0"/>
      <w:marRight w:val="0"/>
      <w:marTop w:val="0"/>
      <w:marBottom w:val="0"/>
      <w:divBdr>
        <w:top w:val="none" w:sz="0" w:space="0" w:color="auto"/>
        <w:left w:val="none" w:sz="0" w:space="0" w:color="auto"/>
        <w:bottom w:val="none" w:sz="0" w:space="0" w:color="auto"/>
        <w:right w:val="none" w:sz="0" w:space="0" w:color="auto"/>
      </w:divBdr>
    </w:div>
    <w:div w:id="1743678029">
      <w:bodyDiv w:val="1"/>
      <w:marLeft w:val="0"/>
      <w:marRight w:val="0"/>
      <w:marTop w:val="0"/>
      <w:marBottom w:val="0"/>
      <w:divBdr>
        <w:top w:val="none" w:sz="0" w:space="0" w:color="auto"/>
        <w:left w:val="none" w:sz="0" w:space="0" w:color="auto"/>
        <w:bottom w:val="none" w:sz="0" w:space="0" w:color="auto"/>
        <w:right w:val="none" w:sz="0" w:space="0" w:color="auto"/>
      </w:divBdr>
    </w:div>
    <w:div w:id="1744377685">
      <w:bodyDiv w:val="1"/>
      <w:marLeft w:val="0"/>
      <w:marRight w:val="0"/>
      <w:marTop w:val="0"/>
      <w:marBottom w:val="0"/>
      <w:divBdr>
        <w:top w:val="none" w:sz="0" w:space="0" w:color="auto"/>
        <w:left w:val="none" w:sz="0" w:space="0" w:color="auto"/>
        <w:bottom w:val="none" w:sz="0" w:space="0" w:color="auto"/>
        <w:right w:val="none" w:sz="0" w:space="0" w:color="auto"/>
      </w:divBdr>
    </w:div>
    <w:div w:id="1744449017">
      <w:bodyDiv w:val="1"/>
      <w:marLeft w:val="0"/>
      <w:marRight w:val="0"/>
      <w:marTop w:val="0"/>
      <w:marBottom w:val="0"/>
      <w:divBdr>
        <w:top w:val="none" w:sz="0" w:space="0" w:color="auto"/>
        <w:left w:val="none" w:sz="0" w:space="0" w:color="auto"/>
        <w:bottom w:val="none" w:sz="0" w:space="0" w:color="auto"/>
        <w:right w:val="none" w:sz="0" w:space="0" w:color="auto"/>
      </w:divBdr>
    </w:div>
    <w:div w:id="1744647444">
      <w:bodyDiv w:val="1"/>
      <w:marLeft w:val="0"/>
      <w:marRight w:val="0"/>
      <w:marTop w:val="0"/>
      <w:marBottom w:val="0"/>
      <w:divBdr>
        <w:top w:val="none" w:sz="0" w:space="0" w:color="auto"/>
        <w:left w:val="none" w:sz="0" w:space="0" w:color="auto"/>
        <w:bottom w:val="none" w:sz="0" w:space="0" w:color="auto"/>
        <w:right w:val="none" w:sz="0" w:space="0" w:color="auto"/>
      </w:divBdr>
    </w:div>
    <w:div w:id="1744795734">
      <w:bodyDiv w:val="1"/>
      <w:marLeft w:val="0"/>
      <w:marRight w:val="0"/>
      <w:marTop w:val="0"/>
      <w:marBottom w:val="0"/>
      <w:divBdr>
        <w:top w:val="none" w:sz="0" w:space="0" w:color="auto"/>
        <w:left w:val="none" w:sz="0" w:space="0" w:color="auto"/>
        <w:bottom w:val="none" w:sz="0" w:space="0" w:color="auto"/>
        <w:right w:val="none" w:sz="0" w:space="0" w:color="auto"/>
      </w:divBdr>
    </w:div>
    <w:div w:id="1748729194">
      <w:bodyDiv w:val="1"/>
      <w:marLeft w:val="0"/>
      <w:marRight w:val="0"/>
      <w:marTop w:val="0"/>
      <w:marBottom w:val="0"/>
      <w:divBdr>
        <w:top w:val="none" w:sz="0" w:space="0" w:color="auto"/>
        <w:left w:val="none" w:sz="0" w:space="0" w:color="auto"/>
        <w:bottom w:val="none" w:sz="0" w:space="0" w:color="auto"/>
        <w:right w:val="none" w:sz="0" w:space="0" w:color="auto"/>
      </w:divBdr>
    </w:div>
    <w:div w:id="1750033092">
      <w:bodyDiv w:val="1"/>
      <w:marLeft w:val="0"/>
      <w:marRight w:val="0"/>
      <w:marTop w:val="0"/>
      <w:marBottom w:val="0"/>
      <w:divBdr>
        <w:top w:val="none" w:sz="0" w:space="0" w:color="auto"/>
        <w:left w:val="none" w:sz="0" w:space="0" w:color="auto"/>
        <w:bottom w:val="none" w:sz="0" w:space="0" w:color="auto"/>
        <w:right w:val="none" w:sz="0" w:space="0" w:color="auto"/>
      </w:divBdr>
    </w:div>
    <w:div w:id="1751467798">
      <w:bodyDiv w:val="1"/>
      <w:marLeft w:val="0"/>
      <w:marRight w:val="0"/>
      <w:marTop w:val="0"/>
      <w:marBottom w:val="0"/>
      <w:divBdr>
        <w:top w:val="none" w:sz="0" w:space="0" w:color="auto"/>
        <w:left w:val="none" w:sz="0" w:space="0" w:color="auto"/>
        <w:bottom w:val="none" w:sz="0" w:space="0" w:color="auto"/>
        <w:right w:val="none" w:sz="0" w:space="0" w:color="auto"/>
      </w:divBdr>
    </w:div>
    <w:div w:id="1755086250">
      <w:bodyDiv w:val="1"/>
      <w:marLeft w:val="0"/>
      <w:marRight w:val="0"/>
      <w:marTop w:val="0"/>
      <w:marBottom w:val="0"/>
      <w:divBdr>
        <w:top w:val="none" w:sz="0" w:space="0" w:color="auto"/>
        <w:left w:val="none" w:sz="0" w:space="0" w:color="auto"/>
        <w:bottom w:val="none" w:sz="0" w:space="0" w:color="auto"/>
        <w:right w:val="none" w:sz="0" w:space="0" w:color="auto"/>
      </w:divBdr>
    </w:div>
    <w:div w:id="1760524159">
      <w:bodyDiv w:val="1"/>
      <w:marLeft w:val="0"/>
      <w:marRight w:val="0"/>
      <w:marTop w:val="0"/>
      <w:marBottom w:val="0"/>
      <w:divBdr>
        <w:top w:val="none" w:sz="0" w:space="0" w:color="auto"/>
        <w:left w:val="none" w:sz="0" w:space="0" w:color="auto"/>
        <w:bottom w:val="none" w:sz="0" w:space="0" w:color="auto"/>
        <w:right w:val="none" w:sz="0" w:space="0" w:color="auto"/>
      </w:divBdr>
    </w:div>
    <w:div w:id="1760904762">
      <w:bodyDiv w:val="1"/>
      <w:marLeft w:val="0"/>
      <w:marRight w:val="0"/>
      <w:marTop w:val="0"/>
      <w:marBottom w:val="0"/>
      <w:divBdr>
        <w:top w:val="none" w:sz="0" w:space="0" w:color="auto"/>
        <w:left w:val="none" w:sz="0" w:space="0" w:color="auto"/>
        <w:bottom w:val="none" w:sz="0" w:space="0" w:color="auto"/>
        <w:right w:val="none" w:sz="0" w:space="0" w:color="auto"/>
      </w:divBdr>
    </w:div>
    <w:div w:id="1762294874">
      <w:bodyDiv w:val="1"/>
      <w:marLeft w:val="0"/>
      <w:marRight w:val="0"/>
      <w:marTop w:val="0"/>
      <w:marBottom w:val="0"/>
      <w:divBdr>
        <w:top w:val="none" w:sz="0" w:space="0" w:color="auto"/>
        <w:left w:val="none" w:sz="0" w:space="0" w:color="auto"/>
        <w:bottom w:val="none" w:sz="0" w:space="0" w:color="auto"/>
        <w:right w:val="none" w:sz="0" w:space="0" w:color="auto"/>
      </w:divBdr>
    </w:div>
    <w:div w:id="1764179621">
      <w:bodyDiv w:val="1"/>
      <w:marLeft w:val="0"/>
      <w:marRight w:val="0"/>
      <w:marTop w:val="0"/>
      <w:marBottom w:val="0"/>
      <w:divBdr>
        <w:top w:val="none" w:sz="0" w:space="0" w:color="auto"/>
        <w:left w:val="none" w:sz="0" w:space="0" w:color="auto"/>
        <w:bottom w:val="none" w:sz="0" w:space="0" w:color="auto"/>
        <w:right w:val="none" w:sz="0" w:space="0" w:color="auto"/>
      </w:divBdr>
    </w:div>
    <w:div w:id="1764447354">
      <w:bodyDiv w:val="1"/>
      <w:marLeft w:val="0"/>
      <w:marRight w:val="0"/>
      <w:marTop w:val="0"/>
      <w:marBottom w:val="0"/>
      <w:divBdr>
        <w:top w:val="none" w:sz="0" w:space="0" w:color="auto"/>
        <w:left w:val="none" w:sz="0" w:space="0" w:color="auto"/>
        <w:bottom w:val="none" w:sz="0" w:space="0" w:color="auto"/>
        <w:right w:val="none" w:sz="0" w:space="0" w:color="auto"/>
      </w:divBdr>
    </w:div>
    <w:div w:id="1764914259">
      <w:bodyDiv w:val="1"/>
      <w:marLeft w:val="0"/>
      <w:marRight w:val="0"/>
      <w:marTop w:val="0"/>
      <w:marBottom w:val="0"/>
      <w:divBdr>
        <w:top w:val="none" w:sz="0" w:space="0" w:color="auto"/>
        <w:left w:val="none" w:sz="0" w:space="0" w:color="auto"/>
        <w:bottom w:val="none" w:sz="0" w:space="0" w:color="auto"/>
        <w:right w:val="none" w:sz="0" w:space="0" w:color="auto"/>
      </w:divBdr>
    </w:div>
    <w:div w:id="1768042242">
      <w:bodyDiv w:val="1"/>
      <w:marLeft w:val="0"/>
      <w:marRight w:val="0"/>
      <w:marTop w:val="0"/>
      <w:marBottom w:val="0"/>
      <w:divBdr>
        <w:top w:val="none" w:sz="0" w:space="0" w:color="auto"/>
        <w:left w:val="none" w:sz="0" w:space="0" w:color="auto"/>
        <w:bottom w:val="none" w:sz="0" w:space="0" w:color="auto"/>
        <w:right w:val="none" w:sz="0" w:space="0" w:color="auto"/>
      </w:divBdr>
    </w:div>
    <w:div w:id="1771588379">
      <w:bodyDiv w:val="1"/>
      <w:marLeft w:val="0"/>
      <w:marRight w:val="0"/>
      <w:marTop w:val="0"/>
      <w:marBottom w:val="0"/>
      <w:divBdr>
        <w:top w:val="none" w:sz="0" w:space="0" w:color="auto"/>
        <w:left w:val="none" w:sz="0" w:space="0" w:color="auto"/>
        <w:bottom w:val="none" w:sz="0" w:space="0" w:color="auto"/>
        <w:right w:val="none" w:sz="0" w:space="0" w:color="auto"/>
      </w:divBdr>
    </w:div>
    <w:div w:id="1772166134">
      <w:bodyDiv w:val="1"/>
      <w:marLeft w:val="0"/>
      <w:marRight w:val="0"/>
      <w:marTop w:val="0"/>
      <w:marBottom w:val="0"/>
      <w:divBdr>
        <w:top w:val="none" w:sz="0" w:space="0" w:color="auto"/>
        <w:left w:val="none" w:sz="0" w:space="0" w:color="auto"/>
        <w:bottom w:val="none" w:sz="0" w:space="0" w:color="auto"/>
        <w:right w:val="none" w:sz="0" w:space="0" w:color="auto"/>
      </w:divBdr>
    </w:div>
    <w:div w:id="1772356060">
      <w:bodyDiv w:val="1"/>
      <w:marLeft w:val="0"/>
      <w:marRight w:val="0"/>
      <w:marTop w:val="0"/>
      <w:marBottom w:val="0"/>
      <w:divBdr>
        <w:top w:val="none" w:sz="0" w:space="0" w:color="auto"/>
        <w:left w:val="none" w:sz="0" w:space="0" w:color="auto"/>
        <w:bottom w:val="none" w:sz="0" w:space="0" w:color="auto"/>
        <w:right w:val="none" w:sz="0" w:space="0" w:color="auto"/>
      </w:divBdr>
    </w:div>
    <w:div w:id="1773739860">
      <w:bodyDiv w:val="1"/>
      <w:marLeft w:val="0"/>
      <w:marRight w:val="0"/>
      <w:marTop w:val="0"/>
      <w:marBottom w:val="0"/>
      <w:divBdr>
        <w:top w:val="none" w:sz="0" w:space="0" w:color="auto"/>
        <w:left w:val="none" w:sz="0" w:space="0" w:color="auto"/>
        <w:bottom w:val="none" w:sz="0" w:space="0" w:color="auto"/>
        <w:right w:val="none" w:sz="0" w:space="0" w:color="auto"/>
      </w:divBdr>
    </w:div>
    <w:div w:id="1775007220">
      <w:bodyDiv w:val="1"/>
      <w:marLeft w:val="0"/>
      <w:marRight w:val="0"/>
      <w:marTop w:val="0"/>
      <w:marBottom w:val="0"/>
      <w:divBdr>
        <w:top w:val="none" w:sz="0" w:space="0" w:color="auto"/>
        <w:left w:val="none" w:sz="0" w:space="0" w:color="auto"/>
        <w:bottom w:val="none" w:sz="0" w:space="0" w:color="auto"/>
        <w:right w:val="none" w:sz="0" w:space="0" w:color="auto"/>
      </w:divBdr>
    </w:div>
    <w:div w:id="1776291303">
      <w:bodyDiv w:val="1"/>
      <w:marLeft w:val="0"/>
      <w:marRight w:val="0"/>
      <w:marTop w:val="0"/>
      <w:marBottom w:val="0"/>
      <w:divBdr>
        <w:top w:val="none" w:sz="0" w:space="0" w:color="auto"/>
        <w:left w:val="none" w:sz="0" w:space="0" w:color="auto"/>
        <w:bottom w:val="none" w:sz="0" w:space="0" w:color="auto"/>
        <w:right w:val="none" w:sz="0" w:space="0" w:color="auto"/>
      </w:divBdr>
    </w:div>
    <w:div w:id="1777166946">
      <w:bodyDiv w:val="1"/>
      <w:marLeft w:val="0"/>
      <w:marRight w:val="0"/>
      <w:marTop w:val="0"/>
      <w:marBottom w:val="0"/>
      <w:divBdr>
        <w:top w:val="none" w:sz="0" w:space="0" w:color="auto"/>
        <w:left w:val="none" w:sz="0" w:space="0" w:color="auto"/>
        <w:bottom w:val="none" w:sz="0" w:space="0" w:color="auto"/>
        <w:right w:val="none" w:sz="0" w:space="0" w:color="auto"/>
      </w:divBdr>
    </w:div>
    <w:div w:id="1777366366">
      <w:bodyDiv w:val="1"/>
      <w:marLeft w:val="0"/>
      <w:marRight w:val="0"/>
      <w:marTop w:val="0"/>
      <w:marBottom w:val="0"/>
      <w:divBdr>
        <w:top w:val="none" w:sz="0" w:space="0" w:color="auto"/>
        <w:left w:val="none" w:sz="0" w:space="0" w:color="auto"/>
        <w:bottom w:val="none" w:sz="0" w:space="0" w:color="auto"/>
        <w:right w:val="none" w:sz="0" w:space="0" w:color="auto"/>
      </w:divBdr>
    </w:div>
    <w:div w:id="1779328754">
      <w:bodyDiv w:val="1"/>
      <w:marLeft w:val="0"/>
      <w:marRight w:val="0"/>
      <w:marTop w:val="0"/>
      <w:marBottom w:val="0"/>
      <w:divBdr>
        <w:top w:val="none" w:sz="0" w:space="0" w:color="auto"/>
        <w:left w:val="none" w:sz="0" w:space="0" w:color="auto"/>
        <w:bottom w:val="none" w:sz="0" w:space="0" w:color="auto"/>
        <w:right w:val="none" w:sz="0" w:space="0" w:color="auto"/>
      </w:divBdr>
    </w:div>
    <w:div w:id="1779373688">
      <w:bodyDiv w:val="1"/>
      <w:marLeft w:val="0"/>
      <w:marRight w:val="0"/>
      <w:marTop w:val="0"/>
      <w:marBottom w:val="0"/>
      <w:divBdr>
        <w:top w:val="none" w:sz="0" w:space="0" w:color="auto"/>
        <w:left w:val="none" w:sz="0" w:space="0" w:color="auto"/>
        <w:bottom w:val="none" w:sz="0" w:space="0" w:color="auto"/>
        <w:right w:val="none" w:sz="0" w:space="0" w:color="auto"/>
      </w:divBdr>
    </w:div>
    <w:div w:id="1780950262">
      <w:bodyDiv w:val="1"/>
      <w:marLeft w:val="0"/>
      <w:marRight w:val="0"/>
      <w:marTop w:val="0"/>
      <w:marBottom w:val="0"/>
      <w:divBdr>
        <w:top w:val="none" w:sz="0" w:space="0" w:color="auto"/>
        <w:left w:val="none" w:sz="0" w:space="0" w:color="auto"/>
        <w:bottom w:val="none" w:sz="0" w:space="0" w:color="auto"/>
        <w:right w:val="none" w:sz="0" w:space="0" w:color="auto"/>
      </w:divBdr>
    </w:div>
    <w:div w:id="1781146015">
      <w:bodyDiv w:val="1"/>
      <w:marLeft w:val="0"/>
      <w:marRight w:val="0"/>
      <w:marTop w:val="0"/>
      <w:marBottom w:val="0"/>
      <w:divBdr>
        <w:top w:val="none" w:sz="0" w:space="0" w:color="auto"/>
        <w:left w:val="none" w:sz="0" w:space="0" w:color="auto"/>
        <w:bottom w:val="none" w:sz="0" w:space="0" w:color="auto"/>
        <w:right w:val="none" w:sz="0" w:space="0" w:color="auto"/>
      </w:divBdr>
    </w:div>
    <w:div w:id="1782603675">
      <w:bodyDiv w:val="1"/>
      <w:marLeft w:val="0"/>
      <w:marRight w:val="0"/>
      <w:marTop w:val="0"/>
      <w:marBottom w:val="0"/>
      <w:divBdr>
        <w:top w:val="none" w:sz="0" w:space="0" w:color="auto"/>
        <w:left w:val="none" w:sz="0" w:space="0" w:color="auto"/>
        <w:bottom w:val="none" w:sz="0" w:space="0" w:color="auto"/>
        <w:right w:val="none" w:sz="0" w:space="0" w:color="auto"/>
      </w:divBdr>
    </w:div>
    <w:div w:id="1784152555">
      <w:bodyDiv w:val="1"/>
      <w:marLeft w:val="0"/>
      <w:marRight w:val="0"/>
      <w:marTop w:val="0"/>
      <w:marBottom w:val="0"/>
      <w:divBdr>
        <w:top w:val="none" w:sz="0" w:space="0" w:color="auto"/>
        <w:left w:val="none" w:sz="0" w:space="0" w:color="auto"/>
        <w:bottom w:val="none" w:sz="0" w:space="0" w:color="auto"/>
        <w:right w:val="none" w:sz="0" w:space="0" w:color="auto"/>
      </w:divBdr>
    </w:div>
    <w:div w:id="1784416633">
      <w:bodyDiv w:val="1"/>
      <w:marLeft w:val="0"/>
      <w:marRight w:val="0"/>
      <w:marTop w:val="0"/>
      <w:marBottom w:val="0"/>
      <w:divBdr>
        <w:top w:val="none" w:sz="0" w:space="0" w:color="auto"/>
        <w:left w:val="none" w:sz="0" w:space="0" w:color="auto"/>
        <w:bottom w:val="none" w:sz="0" w:space="0" w:color="auto"/>
        <w:right w:val="none" w:sz="0" w:space="0" w:color="auto"/>
      </w:divBdr>
    </w:div>
    <w:div w:id="1786189031">
      <w:bodyDiv w:val="1"/>
      <w:marLeft w:val="0"/>
      <w:marRight w:val="0"/>
      <w:marTop w:val="0"/>
      <w:marBottom w:val="0"/>
      <w:divBdr>
        <w:top w:val="none" w:sz="0" w:space="0" w:color="auto"/>
        <w:left w:val="none" w:sz="0" w:space="0" w:color="auto"/>
        <w:bottom w:val="none" w:sz="0" w:space="0" w:color="auto"/>
        <w:right w:val="none" w:sz="0" w:space="0" w:color="auto"/>
      </w:divBdr>
    </w:div>
    <w:div w:id="1787263933">
      <w:bodyDiv w:val="1"/>
      <w:marLeft w:val="0"/>
      <w:marRight w:val="0"/>
      <w:marTop w:val="0"/>
      <w:marBottom w:val="0"/>
      <w:divBdr>
        <w:top w:val="none" w:sz="0" w:space="0" w:color="auto"/>
        <w:left w:val="none" w:sz="0" w:space="0" w:color="auto"/>
        <w:bottom w:val="none" w:sz="0" w:space="0" w:color="auto"/>
        <w:right w:val="none" w:sz="0" w:space="0" w:color="auto"/>
      </w:divBdr>
    </w:div>
    <w:div w:id="1793282358">
      <w:bodyDiv w:val="1"/>
      <w:marLeft w:val="0"/>
      <w:marRight w:val="0"/>
      <w:marTop w:val="0"/>
      <w:marBottom w:val="0"/>
      <w:divBdr>
        <w:top w:val="none" w:sz="0" w:space="0" w:color="auto"/>
        <w:left w:val="none" w:sz="0" w:space="0" w:color="auto"/>
        <w:bottom w:val="none" w:sz="0" w:space="0" w:color="auto"/>
        <w:right w:val="none" w:sz="0" w:space="0" w:color="auto"/>
      </w:divBdr>
    </w:div>
    <w:div w:id="1793283239">
      <w:bodyDiv w:val="1"/>
      <w:marLeft w:val="0"/>
      <w:marRight w:val="0"/>
      <w:marTop w:val="0"/>
      <w:marBottom w:val="0"/>
      <w:divBdr>
        <w:top w:val="none" w:sz="0" w:space="0" w:color="auto"/>
        <w:left w:val="none" w:sz="0" w:space="0" w:color="auto"/>
        <w:bottom w:val="none" w:sz="0" w:space="0" w:color="auto"/>
        <w:right w:val="none" w:sz="0" w:space="0" w:color="auto"/>
      </w:divBdr>
    </w:div>
    <w:div w:id="1793672643">
      <w:bodyDiv w:val="1"/>
      <w:marLeft w:val="0"/>
      <w:marRight w:val="0"/>
      <w:marTop w:val="0"/>
      <w:marBottom w:val="0"/>
      <w:divBdr>
        <w:top w:val="none" w:sz="0" w:space="0" w:color="auto"/>
        <w:left w:val="none" w:sz="0" w:space="0" w:color="auto"/>
        <w:bottom w:val="none" w:sz="0" w:space="0" w:color="auto"/>
        <w:right w:val="none" w:sz="0" w:space="0" w:color="auto"/>
      </w:divBdr>
    </w:div>
    <w:div w:id="1794590745">
      <w:bodyDiv w:val="1"/>
      <w:marLeft w:val="0"/>
      <w:marRight w:val="0"/>
      <w:marTop w:val="0"/>
      <w:marBottom w:val="0"/>
      <w:divBdr>
        <w:top w:val="none" w:sz="0" w:space="0" w:color="auto"/>
        <w:left w:val="none" w:sz="0" w:space="0" w:color="auto"/>
        <w:bottom w:val="none" w:sz="0" w:space="0" w:color="auto"/>
        <w:right w:val="none" w:sz="0" w:space="0" w:color="auto"/>
      </w:divBdr>
    </w:div>
    <w:div w:id="1795050857">
      <w:bodyDiv w:val="1"/>
      <w:marLeft w:val="0"/>
      <w:marRight w:val="0"/>
      <w:marTop w:val="0"/>
      <w:marBottom w:val="0"/>
      <w:divBdr>
        <w:top w:val="none" w:sz="0" w:space="0" w:color="auto"/>
        <w:left w:val="none" w:sz="0" w:space="0" w:color="auto"/>
        <w:bottom w:val="none" w:sz="0" w:space="0" w:color="auto"/>
        <w:right w:val="none" w:sz="0" w:space="0" w:color="auto"/>
      </w:divBdr>
    </w:div>
    <w:div w:id="1796562033">
      <w:bodyDiv w:val="1"/>
      <w:marLeft w:val="0"/>
      <w:marRight w:val="0"/>
      <w:marTop w:val="0"/>
      <w:marBottom w:val="0"/>
      <w:divBdr>
        <w:top w:val="none" w:sz="0" w:space="0" w:color="auto"/>
        <w:left w:val="none" w:sz="0" w:space="0" w:color="auto"/>
        <w:bottom w:val="none" w:sz="0" w:space="0" w:color="auto"/>
        <w:right w:val="none" w:sz="0" w:space="0" w:color="auto"/>
      </w:divBdr>
    </w:div>
    <w:div w:id="1796750642">
      <w:bodyDiv w:val="1"/>
      <w:marLeft w:val="0"/>
      <w:marRight w:val="0"/>
      <w:marTop w:val="0"/>
      <w:marBottom w:val="0"/>
      <w:divBdr>
        <w:top w:val="none" w:sz="0" w:space="0" w:color="auto"/>
        <w:left w:val="none" w:sz="0" w:space="0" w:color="auto"/>
        <w:bottom w:val="none" w:sz="0" w:space="0" w:color="auto"/>
        <w:right w:val="none" w:sz="0" w:space="0" w:color="auto"/>
      </w:divBdr>
    </w:div>
    <w:div w:id="1797025013">
      <w:bodyDiv w:val="1"/>
      <w:marLeft w:val="0"/>
      <w:marRight w:val="0"/>
      <w:marTop w:val="0"/>
      <w:marBottom w:val="0"/>
      <w:divBdr>
        <w:top w:val="none" w:sz="0" w:space="0" w:color="auto"/>
        <w:left w:val="none" w:sz="0" w:space="0" w:color="auto"/>
        <w:bottom w:val="none" w:sz="0" w:space="0" w:color="auto"/>
        <w:right w:val="none" w:sz="0" w:space="0" w:color="auto"/>
      </w:divBdr>
    </w:div>
    <w:div w:id="1800758451">
      <w:bodyDiv w:val="1"/>
      <w:marLeft w:val="0"/>
      <w:marRight w:val="0"/>
      <w:marTop w:val="0"/>
      <w:marBottom w:val="0"/>
      <w:divBdr>
        <w:top w:val="none" w:sz="0" w:space="0" w:color="auto"/>
        <w:left w:val="none" w:sz="0" w:space="0" w:color="auto"/>
        <w:bottom w:val="none" w:sz="0" w:space="0" w:color="auto"/>
        <w:right w:val="none" w:sz="0" w:space="0" w:color="auto"/>
      </w:divBdr>
    </w:div>
    <w:div w:id="1801872452">
      <w:bodyDiv w:val="1"/>
      <w:marLeft w:val="0"/>
      <w:marRight w:val="0"/>
      <w:marTop w:val="0"/>
      <w:marBottom w:val="0"/>
      <w:divBdr>
        <w:top w:val="none" w:sz="0" w:space="0" w:color="auto"/>
        <w:left w:val="none" w:sz="0" w:space="0" w:color="auto"/>
        <w:bottom w:val="none" w:sz="0" w:space="0" w:color="auto"/>
        <w:right w:val="none" w:sz="0" w:space="0" w:color="auto"/>
      </w:divBdr>
    </w:div>
    <w:div w:id="1803420287">
      <w:marLeft w:val="0"/>
      <w:marRight w:val="0"/>
      <w:marTop w:val="0"/>
      <w:marBottom w:val="0"/>
      <w:divBdr>
        <w:top w:val="none" w:sz="0" w:space="0" w:color="auto"/>
        <w:left w:val="none" w:sz="0" w:space="0" w:color="auto"/>
        <w:bottom w:val="none" w:sz="0" w:space="0" w:color="auto"/>
        <w:right w:val="none" w:sz="0" w:space="0" w:color="auto"/>
      </w:divBdr>
    </w:div>
    <w:div w:id="1803420288">
      <w:marLeft w:val="0"/>
      <w:marRight w:val="0"/>
      <w:marTop w:val="0"/>
      <w:marBottom w:val="0"/>
      <w:divBdr>
        <w:top w:val="none" w:sz="0" w:space="0" w:color="auto"/>
        <w:left w:val="none" w:sz="0" w:space="0" w:color="auto"/>
        <w:bottom w:val="none" w:sz="0" w:space="0" w:color="auto"/>
        <w:right w:val="none" w:sz="0" w:space="0" w:color="auto"/>
      </w:divBdr>
    </w:div>
    <w:div w:id="1803420289">
      <w:marLeft w:val="0"/>
      <w:marRight w:val="0"/>
      <w:marTop w:val="0"/>
      <w:marBottom w:val="0"/>
      <w:divBdr>
        <w:top w:val="none" w:sz="0" w:space="0" w:color="auto"/>
        <w:left w:val="none" w:sz="0" w:space="0" w:color="auto"/>
        <w:bottom w:val="none" w:sz="0" w:space="0" w:color="auto"/>
        <w:right w:val="none" w:sz="0" w:space="0" w:color="auto"/>
      </w:divBdr>
    </w:div>
    <w:div w:id="1803420290">
      <w:marLeft w:val="0"/>
      <w:marRight w:val="0"/>
      <w:marTop w:val="0"/>
      <w:marBottom w:val="0"/>
      <w:divBdr>
        <w:top w:val="none" w:sz="0" w:space="0" w:color="auto"/>
        <w:left w:val="none" w:sz="0" w:space="0" w:color="auto"/>
        <w:bottom w:val="none" w:sz="0" w:space="0" w:color="auto"/>
        <w:right w:val="none" w:sz="0" w:space="0" w:color="auto"/>
      </w:divBdr>
    </w:div>
    <w:div w:id="1803420291">
      <w:marLeft w:val="0"/>
      <w:marRight w:val="0"/>
      <w:marTop w:val="0"/>
      <w:marBottom w:val="0"/>
      <w:divBdr>
        <w:top w:val="none" w:sz="0" w:space="0" w:color="auto"/>
        <w:left w:val="none" w:sz="0" w:space="0" w:color="auto"/>
        <w:bottom w:val="none" w:sz="0" w:space="0" w:color="auto"/>
        <w:right w:val="none" w:sz="0" w:space="0" w:color="auto"/>
      </w:divBdr>
    </w:div>
    <w:div w:id="1803420292">
      <w:marLeft w:val="0"/>
      <w:marRight w:val="0"/>
      <w:marTop w:val="0"/>
      <w:marBottom w:val="0"/>
      <w:divBdr>
        <w:top w:val="none" w:sz="0" w:space="0" w:color="auto"/>
        <w:left w:val="none" w:sz="0" w:space="0" w:color="auto"/>
        <w:bottom w:val="none" w:sz="0" w:space="0" w:color="auto"/>
        <w:right w:val="none" w:sz="0" w:space="0" w:color="auto"/>
      </w:divBdr>
    </w:div>
    <w:div w:id="1803420293">
      <w:marLeft w:val="0"/>
      <w:marRight w:val="0"/>
      <w:marTop w:val="0"/>
      <w:marBottom w:val="0"/>
      <w:divBdr>
        <w:top w:val="none" w:sz="0" w:space="0" w:color="auto"/>
        <w:left w:val="none" w:sz="0" w:space="0" w:color="auto"/>
        <w:bottom w:val="none" w:sz="0" w:space="0" w:color="auto"/>
        <w:right w:val="none" w:sz="0" w:space="0" w:color="auto"/>
      </w:divBdr>
    </w:div>
    <w:div w:id="1803420294">
      <w:marLeft w:val="0"/>
      <w:marRight w:val="0"/>
      <w:marTop w:val="0"/>
      <w:marBottom w:val="0"/>
      <w:divBdr>
        <w:top w:val="none" w:sz="0" w:space="0" w:color="auto"/>
        <w:left w:val="none" w:sz="0" w:space="0" w:color="auto"/>
        <w:bottom w:val="none" w:sz="0" w:space="0" w:color="auto"/>
        <w:right w:val="none" w:sz="0" w:space="0" w:color="auto"/>
      </w:divBdr>
    </w:div>
    <w:div w:id="1803420295">
      <w:marLeft w:val="0"/>
      <w:marRight w:val="0"/>
      <w:marTop w:val="0"/>
      <w:marBottom w:val="0"/>
      <w:divBdr>
        <w:top w:val="none" w:sz="0" w:space="0" w:color="auto"/>
        <w:left w:val="none" w:sz="0" w:space="0" w:color="auto"/>
        <w:bottom w:val="none" w:sz="0" w:space="0" w:color="auto"/>
        <w:right w:val="none" w:sz="0" w:space="0" w:color="auto"/>
      </w:divBdr>
    </w:div>
    <w:div w:id="1803420296">
      <w:marLeft w:val="0"/>
      <w:marRight w:val="0"/>
      <w:marTop w:val="0"/>
      <w:marBottom w:val="0"/>
      <w:divBdr>
        <w:top w:val="none" w:sz="0" w:space="0" w:color="auto"/>
        <w:left w:val="none" w:sz="0" w:space="0" w:color="auto"/>
        <w:bottom w:val="none" w:sz="0" w:space="0" w:color="auto"/>
        <w:right w:val="none" w:sz="0" w:space="0" w:color="auto"/>
      </w:divBdr>
    </w:div>
    <w:div w:id="1803420297">
      <w:marLeft w:val="0"/>
      <w:marRight w:val="0"/>
      <w:marTop w:val="0"/>
      <w:marBottom w:val="0"/>
      <w:divBdr>
        <w:top w:val="none" w:sz="0" w:space="0" w:color="auto"/>
        <w:left w:val="none" w:sz="0" w:space="0" w:color="auto"/>
        <w:bottom w:val="none" w:sz="0" w:space="0" w:color="auto"/>
        <w:right w:val="none" w:sz="0" w:space="0" w:color="auto"/>
      </w:divBdr>
    </w:div>
    <w:div w:id="1803420298">
      <w:marLeft w:val="0"/>
      <w:marRight w:val="0"/>
      <w:marTop w:val="0"/>
      <w:marBottom w:val="0"/>
      <w:divBdr>
        <w:top w:val="none" w:sz="0" w:space="0" w:color="auto"/>
        <w:left w:val="none" w:sz="0" w:space="0" w:color="auto"/>
        <w:bottom w:val="none" w:sz="0" w:space="0" w:color="auto"/>
        <w:right w:val="none" w:sz="0" w:space="0" w:color="auto"/>
      </w:divBdr>
    </w:div>
    <w:div w:id="1803420299">
      <w:marLeft w:val="0"/>
      <w:marRight w:val="0"/>
      <w:marTop w:val="0"/>
      <w:marBottom w:val="0"/>
      <w:divBdr>
        <w:top w:val="none" w:sz="0" w:space="0" w:color="auto"/>
        <w:left w:val="none" w:sz="0" w:space="0" w:color="auto"/>
        <w:bottom w:val="none" w:sz="0" w:space="0" w:color="auto"/>
        <w:right w:val="none" w:sz="0" w:space="0" w:color="auto"/>
      </w:divBdr>
    </w:div>
    <w:div w:id="1803420300">
      <w:marLeft w:val="0"/>
      <w:marRight w:val="0"/>
      <w:marTop w:val="0"/>
      <w:marBottom w:val="0"/>
      <w:divBdr>
        <w:top w:val="none" w:sz="0" w:space="0" w:color="auto"/>
        <w:left w:val="none" w:sz="0" w:space="0" w:color="auto"/>
        <w:bottom w:val="none" w:sz="0" w:space="0" w:color="auto"/>
        <w:right w:val="none" w:sz="0" w:space="0" w:color="auto"/>
      </w:divBdr>
    </w:div>
    <w:div w:id="1803420301">
      <w:marLeft w:val="0"/>
      <w:marRight w:val="0"/>
      <w:marTop w:val="0"/>
      <w:marBottom w:val="0"/>
      <w:divBdr>
        <w:top w:val="none" w:sz="0" w:space="0" w:color="auto"/>
        <w:left w:val="none" w:sz="0" w:space="0" w:color="auto"/>
        <w:bottom w:val="none" w:sz="0" w:space="0" w:color="auto"/>
        <w:right w:val="none" w:sz="0" w:space="0" w:color="auto"/>
      </w:divBdr>
    </w:div>
    <w:div w:id="1803420302">
      <w:marLeft w:val="0"/>
      <w:marRight w:val="0"/>
      <w:marTop w:val="0"/>
      <w:marBottom w:val="0"/>
      <w:divBdr>
        <w:top w:val="none" w:sz="0" w:space="0" w:color="auto"/>
        <w:left w:val="none" w:sz="0" w:space="0" w:color="auto"/>
        <w:bottom w:val="none" w:sz="0" w:space="0" w:color="auto"/>
        <w:right w:val="none" w:sz="0" w:space="0" w:color="auto"/>
      </w:divBdr>
    </w:div>
    <w:div w:id="1803420303">
      <w:marLeft w:val="0"/>
      <w:marRight w:val="0"/>
      <w:marTop w:val="0"/>
      <w:marBottom w:val="0"/>
      <w:divBdr>
        <w:top w:val="none" w:sz="0" w:space="0" w:color="auto"/>
        <w:left w:val="none" w:sz="0" w:space="0" w:color="auto"/>
        <w:bottom w:val="none" w:sz="0" w:space="0" w:color="auto"/>
        <w:right w:val="none" w:sz="0" w:space="0" w:color="auto"/>
      </w:divBdr>
    </w:div>
    <w:div w:id="1803420304">
      <w:marLeft w:val="0"/>
      <w:marRight w:val="0"/>
      <w:marTop w:val="0"/>
      <w:marBottom w:val="0"/>
      <w:divBdr>
        <w:top w:val="none" w:sz="0" w:space="0" w:color="auto"/>
        <w:left w:val="none" w:sz="0" w:space="0" w:color="auto"/>
        <w:bottom w:val="none" w:sz="0" w:space="0" w:color="auto"/>
        <w:right w:val="none" w:sz="0" w:space="0" w:color="auto"/>
      </w:divBdr>
    </w:div>
    <w:div w:id="1803420305">
      <w:marLeft w:val="0"/>
      <w:marRight w:val="0"/>
      <w:marTop w:val="0"/>
      <w:marBottom w:val="0"/>
      <w:divBdr>
        <w:top w:val="none" w:sz="0" w:space="0" w:color="auto"/>
        <w:left w:val="none" w:sz="0" w:space="0" w:color="auto"/>
        <w:bottom w:val="none" w:sz="0" w:space="0" w:color="auto"/>
        <w:right w:val="none" w:sz="0" w:space="0" w:color="auto"/>
      </w:divBdr>
    </w:div>
    <w:div w:id="1803420306">
      <w:marLeft w:val="0"/>
      <w:marRight w:val="0"/>
      <w:marTop w:val="0"/>
      <w:marBottom w:val="0"/>
      <w:divBdr>
        <w:top w:val="none" w:sz="0" w:space="0" w:color="auto"/>
        <w:left w:val="none" w:sz="0" w:space="0" w:color="auto"/>
        <w:bottom w:val="none" w:sz="0" w:space="0" w:color="auto"/>
        <w:right w:val="none" w:sz="0" w:space="0" w:color="auto"/>
      </w:divBdr>
    </w:div>
    <w:div w:id="1803420307">
      <w:marLeft w:val="0"/>
      <w:marRight w:val="0"/>
      <w:marTop w:val="0"/>
      <w:marBottom w:val="0"/>
      <w:divBdr>
        <w:top w:val="none" w:sz="0" w:space="0" w:color="auto"/>
        <w:left w:val="none" w:sz="0" w:space="0" w:color="auto"/>
        <w:bottom w:val="none" w:sz="0" w:space="0" w:color="auto"/>
        <w:right w:val="none" w:sz="0" w:space="0" w:color="auto"/>
      </w:divBdr>
    </w:div>
    <w:div w:id="1803420308">
      <w:marLeft w:val="0"/>
      <w:marRight w:val="0"/>
      <w:marTop w:val="0"/>
      <w:marBottom w:val="0"/>
      <w:divBdr>
        <w:top w:val="none" w:sz="0" w:space="0" w:color="auto"/>
        <w:left w:val="none" w:sz="0" w:space="0" w:color="auto"/>
        <w:bottom w:val="none" w:sz="0" w:space="0" w:color="auto"/>
        <w:right w:val="none" w:sz="0" w:space="0" w:color="auto"/>
      </w:divBdr>
    </w:div>
    <w:div w:id="1803420309">
      <w:marLeft w:val="0"/>
      <w:marRight w:val="0"/>
      <w:marTop w:val="0"/>
      <w:marBottom w:val="0"/>
      <w:divBdr>
        <w:top w:val="none" w:sz="0" w:space="0" w:color="auto"/>
        <w:left w:val="none" w:sz="0" w:space="0" w:color="auto"/>
        <w:bottom w:val="none" w:sz="0" w:space="0" w:color="auto"/>
        <w:right w:val="none" w:sz="0" w:space="0" w:color="auto"/>
      </w:divBdr>
    </w:div>
    <w:div w:id="1803420310">
      <w:marLeft w:val="0"/>
      <w:marRight w:val="0"/>
      <w:marTop w:val="0"/>
      <w:marBottom w:val="0"/>
      <w:divBdr>
        <w:top w:val="none" w:sz="0" w:space="0" w:color="auto"/>
        <w:left w:val="none" w:sz="0" w:space="0" w:color="auto"/>
        <w:bottom w:val="none" w:sz="0" w:space="0" w:color="auto"/>
        <w:right w:val="none" w:sz="0" w:space="0" w:color="auto"/>
      </w:divBdr>
    </w:div>
    <w:div w:id="1803420311">
      <w:marLeft w:val="0"/>
      <w:marRight w:val="0"/>
      <w:marTop w:val="0"/>
      <w:marBottom w:val="0"/>
      <w:divBdr>
        <w:top w:val="none" w:sz="0" w:space="0" w:color="auto"/>
        <w:left w:val="none" w:sz="0" w:space="0" w:color="auto"/>
        <w:bottom w:val="none" w:sz="0" w:space="0" w:color="auto"/>
        <w:right w:val="none" w:sz="0" w:space="0" w:color="auto"/>
      </w:divBdr>
    </w:div>
    <w:div w:id="1803420312">
      <w:marLeft w:val="0"/>
      <w:marRight w:val="0"/>
      <w:marTop w:val="0"/>
      <w:marBottom w:val="0"/>
      <w:divBdr>
        <w:top w:val="none" w:sz="0" w:space="0" w:color="auto"/>
        <w:left w:val="none" w:sz="0" w:space="0" w:color="auto"/>
        <w:bottom w:val="none" w:sz="0" w:space="0" w:color="auto"/>
        <w:right w:val="none" w:sz="0" w:space="0" w:color="auto"/>
      </w:divBdr>
    </w:div>
    <w:div w:id="1803420313">
      <w:marLeft w:val="0"/>
      <w:marRight w:val="0"/>
      <w:marTop w:val="0"/>
      <w:marBottom w:val="0"/>
      <w:divBdr>
        <w:top w:val="none" w:sz="0" w:space="0" w:color="auto"/>
        <w:left w:val="none" w:sz="0" w:space="0" w:color="auto"/>
        <w:bottom w:val="none" w:sz="0" w:space="0" w:color="auto"/>
        <w:right w:val="none" w:sz="0" w:space="0" w:color="auto"/>
      </w:divBdr>
    </w:div>
    <w:div w:id="1803420314">
      <w:marLeft w:val="0"/>
      <w:marRight w:val="0"/>
      <w:marTop w:val="0"/>
      <w:marBottom w:val="0"/>
      <w:divBdr>
        <w:top w:val="none" w:sz="0" w:space="0" w:color="auto"/>
        <w:left w:val="none" w:sz="0" w:space="0" w:color="auto"/>
        <w:bottom w:val="none" w:sz="0" w:space="0" w:color="auto"/>
        <w:right w:val="none" w:sz="0" w:space="0" w:color="auto"/>
      </w:divBdr>
    </w:div>
    <w:div w:id="1803420315">
      <w:marLeft w:val="0"/>
      <w:marRight w:val="0"/>
      <w:marTop w:val="0"/>
      <w:marBottom w:val="0"/>
      <w:divBdr>
        <w:top w:val="none" w:sz="0" w:space="0" w:color="auto"/>
        <w:left w:val="none" w:sz="0" w:space="0" w:color="auto"/>
        <w:bottom w:val="none" w:sz="0" w:space="0" w:color="auto"/>
        <w:right w:val="none" w:sz="0" w:space="0" w:color="auto"/>
      </w:divBdr>
    </w:div>
    <w:div w:id="1803420316">
      <w:marLeft w:val="0"/>
      <w:marRight w:val="0"/>
      <w:marTop w:val="0"/>
      <w:marBottom w:val="0"/>
      <w:divBdr>
        <w:top w:val="none" w:sz="0" w:space="0" w:color="auto"/>
        <w:left w:val="none" w:sz="0" w:space="0" w:color="auto"/>
        <w:bottom w:val="none" w:sz="0" w:space="0" w:color="auto"/>
        <w:right w:val="none" w:sz="0" w:space="0" w:color="auto"/>
      </w:divBdr>
    </w:div>
    <w:div w:id="1803420317">
      <w:marLeft w:val="0"/>
      <w:marRight w:val="0"/>
      <w:marTop w:val="0"/>
      <w:marBottom w:val="0"/>
      <w:divBdr>
        <w:top w:val="none" w:sz="0" w:space="0" w:color="auto"/>
        <w:left w:val="none" w:sz="0" w:space="0" w:color="auto"/>
        <w:bottom w:val="none" w:sz="0" w:space="0" w:color="auto"/>
        <w:right w:val="none" w:sz="0" w:space="0" w:color="auto"/>
      </w:divBdr>
    </w:div>
    <w:div w:id="1803420318">
      <w:marLeft w:val="0"/>
      <w:marRight w:val="0"/>
      <w:marTop w:val="0"/>
      <w:marBottom w:val="0"/>
      <w:divBdr>
        <w:top w:val="none" w:sz="0" w:space="0" w:color="auto"/>
        <w:left w:val="none" w:sz="0" w:space="0" w:color="auto"/>
        <w:bottom w:val="none" w:sz="0" w:space="0" w:color="auto"/>
        <w:right w:val="none" w:sz="0" w:space="0" w:color="auto"/>
      </w:divBdr>
    </w:div>
    <w:div w:id="1803420319">
      <w:marLeft w:val="0"/>
      <w:marRight w:val="0"/>
      <w:marTop w:val="0"/>
      <w:marBottom w:val="0"/>
      <w:divBdr>
        <w:top w:val="none" w:sz="0" w:space="0" w:color="auto"/>
        <w:left w:val="none" w:sz="0" w:space="0" w:color="auto"/>
        <w:bottom w:val="none" w:sz="0" w:space="0" w:color="auto"/>
        <w:right w:val="none" w:sz="0" w:space="0" w:color="auto"/>
      </w:divBdr>
    </w:div>
    <w:div w:id="1803420320">
      <w:marLeft w:val="0"/>
      <w:marRight w:val="0"/>
      <w:marTop w:val="0"/>
      <w:marBottom w:val="0"/>
      <w:divBdr>
        <w:top w:val="none" w:sz="0" w:space="0" w:color="auto"/>
        <w:left w:val="none" w:sz="0" w:space="0" w:color="auto"/>
        <w:bottom w:val="none" w:sz="0" w:space="0" w:color="auto"/>
        <w:right w:val="none" w:sz="0" w:space="0" w:color="auto"/>
      </w:divBdr>
    </w:div>
    <w:div w:id="1803420321">
      <w:marLeft w:val="0"/>
      <w:marRight w:val="0"/>
      <w:marTop w:val="0"/>
      <w:marBottom w:val="0"/>
      <w:divBdr>
        <w:top w:val="none" w:sz="0" w:space="0" w:color="auto"/>
        <w:left w:val="none" w:sz="0" w:space="0" w:color="auto"/>
        <w:bottom w:val="none" w:sz="0" w:space="0" w:color="auto"/>
        <w:right w:val="none" w:sz="0" w:space="0" w:color="auto"/>
      </w:divBdr>
    </w:div>
    <w:div w:id="1803420322">
      <w:marLeft w:val="0"/>
      <w:marRight w:val="0"/>
      <w:marTop w:val="0"/>
      <w:marBottom w:val="0"/>
      <w:divBdr>
        <w:top w:val="none" w:sz="0" w:space="0" w:color="auto"/>
        <w:left w:val="none" w:sz="0" w:space="0" w:color="auto"/>
        <w:bottom w:val="none" w:sz="0" w:space="0" w:color="auto"/>
        <w:right w:val="none" w:sz="0" w:space="0" w:color="auto"/>
      </w:divBdr>
    </w:div>
    <w:div w:id="1803420323">
      <w:marLeft w:val="0"/>
      <w:marRight w:val="0"/>
      <w:marTop w:val="0"/>
      <w:marBottom w:val="0"/>
      <w:divBdr>
        <w:top w:val="none" w:sz="0" w:space="0" w:color="auto"/>
        <w:left w:val="none" w:sz="0" w:space="0" w:color="auto"/>
        <w:bottom w:val="none" w:sz="0" w:space="0" w:color="auto"/>
        <w:right w:val="none" w:sz="0" w:space="0" w:color="auto"/>
      </w:divBdr>
    </w:div>
    <w:div w:id="1803420324">
      <w:marLeft w:val="0"/>
      <w:marRight w:val="0"/>
      <w:marTop w:val="0"/>
      <w:marBottom w:val="0"/>
      <w:divBdr>
        <w:top w:val="none" w:sz="0" w:space="0" w:color="auto"/>
        <w:left w:val="none" w:sz="0" w:space="0" w:color="auto"/>
        <w:bottom w:val="none" w:sz="0" w:space="0" w:color="auto"/>
        <w:right w:val="none" w:sz="0" w:space="0" w:color="auto"/>
      </w:divBdr>
    </w:div>
    <w:div w:id="1803420325">
      <w:marLeft w:val="0"/>
      <w:marRight w:val="0"/>
      <w:marTop w:val="0"/>
      <w:marBottom w:val="0"/>
      <w:divBdr>
        <w:top w:val="none" w:sz="0" w:space="0" w:color="auto"/>
        <w:left w:val="none" w:sz="0" w:space="0" w:color="auto"/>
        <w:bottom w:val="none" w:sz="0" w:space="0" w:color="auto"/>
        <w:right w:val="none" w:sz="0" w:space="0" w:color="auto"/>
      </w:divBdr>
    </w:div>
    <w:div w:id="1803420326">
      <w:marLeft w:val="0"/>
      <w:marRight w:val="0"/>
      <w:marTop w:val="0"/>
      <w:marBottom w:val="0"/>
      <w:divBdr>
        <w:top w:val="none" w:sz="0" w:space="0" w:color="auto"/>
        <w:left w:val="none" w:sz="0" w:space="0" w:color="auto"/>
        <w:bottom w:val="none" w:sz="0" w:space="0" w:color="auto"/>
        <w:right w:val="none" w:sz="0" w:space="0" w:color="auto"/>
      </w:divBdr>
    </w:div>
    <w:div w:id="1803420327">
      <w:marLeft w:val="0"/>
      <w:marRight w:val="0"/>
      <w:marTop w:val="0"/>
      <w:marBottom w:val="0"/>
      <w:divBdr>
        <w:top w:val="none" w:sz="0" w:space="0" w:color="auto"/>
        <w:left w:val="none" w:sz="0" w:space="0" w:color="auto"/>
        <w:bottom w:val="none" w:sz="0" w:space="0" w:color="auto"/>
        <w:right w:val="none" w:sz="0" w:space="0" w:color="auto"/>
      </w:divBdr>
    </w:div>
    <w:div w:id="1803420328">
      <w:marLeft w:val="0"/>
      <w:marRight w:val="0"/>
      <w:marTop w:val="0"/>
      <w:marBottom w:val="0"/>
      <w:divBdr>
        <w:top w:val="none" w:sz="0" w:space="0" w:color="auto"/>
        <w:left w:val="none" w:sz="0" w:space="0" w:color="auto"/>
        <w:bottom w:val="none" w:sz="0" w:space="0" w:color="auto"/>
        <w:right w:val="none" w:sz="0" w:space="0" w:color="auto"/>
      </w:divBdr>
    </w:div>
    <w:div w:id="1803420329">
      <w:marLeft w:val="0"/>
      <w:marRight w:val="0"/>
      <w:marTop w:val="0"/>
      <w:marBottom w:val="0"/>
      <w:divBdr>
        <w:top w:val="none" w:sz="0" w:space="0" w:color="auto"/>
        <w:left w:val="none" w:sz="0" w:space="0" w:color="auto"/>
        <w:bottom w:val="none" w:sz="0" w:space="0" w:color="auto"/>
        <w:right w:val="none" w:sz="0" w:space="0" w:color="auto"/>
      </w:divBdr>
    </w:div>
    <w:div w:id="1803420330">
      <w:marLeft w:val="0"/>
      <w:marRight w:val="0"/>
      <w:marTop w:val="0"/>
      <w:marBottom w:val="0"/>
      <w:divBdr>
        <w:top w:val="none" w:sz="0" w:space="0" w:color="auto"/>
        <w:left w:val="none" w:sz="0" w:space="0" w:color="auto"/>
        <w:bottom w:val="none" w:sz="0" w:space="0" w:color="auto"/>
        <w:right w:val="none" w:sz="0" w:space="0" w:color="auto"/>
      </w:divBdr>
    </w:div>
    <w:div w:id="1803420331">
      <w:marLeft w:val="0"/>
      <w:marRight w:val="0"/>
      <w:marTop w:val="0"/>
      <w:marBottom w:val="0"/>
      <w:divBdr>
        <w:top w:val="none" w:sz="0" w:space="0" w:color="auto"/>
        <w:left w:val="none" w:sz="0" w:space="0" w:color="auto"/>
        <w:bottom w:val="none" w:sz="0" w:space="0" w:color="auto"/>
        <w:right w:val="none" w:sz="0" w:space="0" w:color="auto"/>
      </w:divBdr>
    </w:div>
    <w:div w:id="1803420332">
      <w:marLeft w:val="0"/>
      <w:marRight w:val="0"/>
      <w:marTop w:val="0"/>
      <w:marBottom w:val="0"/>
      <w:divBdr>
        <w:top w:val="none" w:sz="0" w:space="0" w:color="auto"/>
        <w:left w:val="none" w:sz="0" w:space="0" w:color="auto"/>
        <w:bottom w:val="none" w:sz="0" w:space="0" w:color="auto"/>
        <w:right w:val="none" w:sz="0" w:space="0" w:color="auto"/>
      </w:divBdr>
    </w:div>
    <w:div w:id="1803420333">
      <w:marLeft w:val="0"/>
      <w:marRight w:val="0"/>
      <w:marTop w:val="0"/>
      <w:marBottom w:val="0"/>
      <w:divBdr>
        <w:top w:val="none" w:sz="0" w:space="0" w:color="auto"/>
        <w:left w:val="none" w:sz="0" w:space="0" w:color="auto"/>
        <w:bottom w:val="none" w:sz="0" w:space="0" w:color="auto"/>
        <w:right w:val="none" w:sz="0" w:space="0" w:color="auto"/>
      </w:divBdr>
    </w:div>
    <w:div w:id="1803420334">
      <w:marLeft w:val="0"/>
      <w:marRight w:val="0"/>
      <w:marTop w:val="0"/>
      <w:marBottom w:val="0"/>
      <w:divBdr>
        <w:top w:val="none" w:sz="0" w:space="0" w:color="auto"/>
        <w:left w:val="none" w:sz="0" w:space="0" w:color="auto"/>
        <w:bottom w:val="none" w:sz="0" w:space="0" w:color="auto"/>
        <w:right w:val="none" w:sz="0" w:space="0" w:color="auto"/>
      </w:divBdr>
    </w:div>
    <w:div w:id="1803420335">
      <w:marLeft w:val="0"/>
      <w:marRight w:val="0"/>
      <w:marTop w:val="0"/>
      <w:marBottom w:val="0"/>
      <w:divBdr>
        <w:top w:val="none" w:sz="0" w:space="0" w:color="auto"/>
        <w:left w:val="none" w:sz="0" w:space="0" w:color="auto"/>
        <w:bottom w:val="none" w:sz="0" w:space="0" w:color="auto"/>
        <w:right w:val="none" w:sz="0" w:space="0" w:color="auto"/>
      </w:divBdr>
    </w:div>
    <w:div w:id="1803420336">
      <w:marLeft w:val="0"/>
      <w:marRight w:val="0"/>
      <w:marTop w:val="0"/>
      <w:marBottom w:val="0"/>
      <w:divBdr>
        <w:top w:val="none" w:sz="0" w:space="0" w:color="auto"/>
        <w:left w:val="none" w:sz="0" w:space="0" w:color="auto"/>
        <w:bottom w:val="none" w:sz="0" w:space="0" w:color="auto"/>
        <w:right w:val="none" w:sz="0" w:space="0" w:color="auto"/>
      </w:divBdr>
    </w:div>
    <w:div w:id="1803420337">
      <w:marLeft w:val="0"/>
      <w:marRight w:val="0"/>
      <w:marTop w:val="0"/>
      <w:marBottom w:val="0"/>
      <w:divBdr>
        <w:top w:val="none" w:sz="0" w:space="0" w:color="auto"/>
        <w:left w:val="none" w:sz="0" w:space="0" w:color="auto"/>
        <w:bottom w:val="none" w:sz="0" w:space="0" w:color="auto"/>
        <w:right w:val="none" w:sz="0" w:space="0" w:color="auto"/>
      </w:divBdr>
    </w:div>
    <w:div w:id="1803420338">
      <w:marLeft w:val="0"/>
      <w:marRight w:val="0"/>
      <w:marTop w:val="0"/>
      <w:marBottom w:val="0"/>
      <w:divBdr>
        <w:top w:val="none" w:sz="0" w:space="0" w:color="auto"/>
        <w:left w:val="none" w:sz="0" w:space="0" w:color="auto"/>
        <w:bottom w:val="none" w:sz="0" w:space="0" w:color="auto"/>
        <w:right w:val="none" w:sz="0" w:space="0" w:color="auto"/>
      </w:divBdr>
    </w:div>
    <w:div w:id="1803420339">
      <w:marLeft w:val="0"/>
      <w:marRight w:val="0"/>
      <w:marTop w:val="0"/>
      <w:marBottom w:val="0"/>
      <w:divBdr>
        <w:top w:val="none" w:sz="0" w:space="0" w:color="auto"/>
        <w:left w:val="none" w:sz="0" w:space="0" w:color="auto"/>
        <w:bottom w:val="none" w:sz="0" w:space="0" w:color="auto"/>
        <w:right w:val="none" w:sz="0" w:space="0" w:color="auto"/>
      </w:divBdr>
    </w:div>
    <w:div w:id="1803420340">
      <w:marLeft w:val="0"/>
      <w:marRight w:val="0"/>
      <w:marTop w:val="0"/>
      <w:marBottom w:val="0"/>
      <w:divBdr>
        <w:top w:val="none" w:sz="0" w:space="0" w:color="auto"/>
        <w:left w:val="none" w:sz="0" w:space="0" w:color="auto"/>
        <w:bottom w:val="none" w:sz="0" w:space="0" w:color="auto"/>
        <w:right w:val="none" w:sz="0" w:space="0" w:color="auto"/>
      </w:divBdr>
    </w:div>
    <w:div w:id="1803420341">
      <w:marLeft w:val="0"/>
      <w:marRight w:val="0"/>
      <w:marTop w:val="0"/>
      <w:marBottom w:val="0"/>
      <w:divBdr>
        <w:top w:val="none" w:sz="0" w:space="0" w:color="auto"/>
        <w:left w:val="none" w:sz="0" w:space="0" w:color="auto"/>
        <w:bottom w:val="none" w:sz="0" w:space="0" w:color="auto"/>
        <w:right w:val="none" w:sz="0" w:space="0" w:color="auto"/>
      </w:divBdr>
    </w:div>
    <w:div w:id="1803420342">
      <w:marLeft w:val="0"/>
      <w:marRight w:val="0"/>
      <w:marTop w:val="0"/>
      <w:marBottom w:val="0"/>
      <w:divBdr>
        <w:top w:val="none" w:sz="0" w:space="0" w:color="auto"/>
        <w:left w:val="none" w:sz="0" w:space="0" w:color="auto"/>
        <w:bottom w:val="none" w:sz="0" w:space="0" w:color="auto"/>
        <w:right w:val="none" w:sz="0" w:space="0" w:color="auto"/>
      </w:divBdr>
    </w:div>
    <w:div w:id="1803420343">
      <w:marLeft w:val="0"/>
      <w:marRight w:val="0"/>
      <w:marTop w:val="0"/>
      <w:marBottom w:val="0"/>
      <w:divBdr>
        <w:top w:val="none" w:sz="0" w:space="0" w:color="auto"/>
        <w:left w:val="none" w:sz="0" w:space="0" w:color="auto"/>
        <w:bottom w:val="none" w:sz="0" w:space="0" w:color="auto"/>
        <w:right w:val="none" w:sz="0" w:space="0" w:color="auto"/>
      </w:divBdr>
    </w:div>
    <w:div w:id="1803420344">
      <w:marLeft w:val="0"/>
      <w:marRight w:val="0"/>
      <w:marTop w:val="0"/>
      <w:marBottom w:val="0"/>
      <w:divBdr>
        <w:top w:val="none" w:sz="0" w:space="0" w:color="auto"/>
        <w:left w:val="none" w:sz="0" w:space="0" w:color="auto"/>
        <w:bottom w:val="none" w:sz="0" w:space="0" w:color="auto"/>
        <w:right w:val="none" w:sz="0" w:space="0" w:color="auto"/>
      </w:divBdr>
    </w:div>
    <w:div w:id="1803420345">
      <w:marLeft w:val="0"/>
      <w:marRight w:val="0"/>
      <w:marTop w:val="0"/>
      <w:marBottom w:val="0"/>
      <w:divBdr>
        <w:top w:val="none" w:sz="0" w:space="0" w:color="auto"/>
        <w:left w:val="none" w:sz="0" w:space="0" w:color="auto"/>
        <w:bottom w:val="none" w:sz="0" w:space="0" w:color="auto"/>
        <w:right w:val="none" w:sz="0" w:space="0" w:color="auto"/>
      </w:divBdr>
    </w:div>
    <w:div w:id="1803420346">
      <w:marLeft w:val="0"/>
      <w:marRight w:val="0"/>
      <w:marTop w:val="0"/>
      <w:marBottom w:val="0"/>
      <w:divBdr>
        <w:top w:val="none" w:sz="0" w:space="0" w:color="auto"/>
        <w:left w:val="none" w:sz="0" w:space="0" w:color="auto"/>
        <w:bottom w:val="none" w:sz="0" w:space="0" w:color="auto"/>
        <w:right w:val="none" w:sz="0" w:space="0" w:color="auto"/>
      </w:divBdr>
    </w:div>
    <w:div w:id="1803420347">
      <w:marLeft w:val="0"/>
      <w:marRight w:val="0"/>
      <w:marTop w:val="0"/>
      <w:marBottom w:val="0"/>
      <w:divBdr>
        <w:top w:val="none" w:sz="0" w:space="0" w:color="auto"/>
        <w:left w:val="none" w:sz="0" w:space="0" w:color="auto"/>
        <w:bottom w:val="none" w:sz="0" w:space="0" w:color="auto"/>
        <w:right w:val="none" w:sz="0" w:space="0" w:color="auto"/>
      </w:divBdr>
    </w:div>
    <w:div w:id="1803420348">
      <w:marLeft w:val="0"/>
      <w:marRight w:val="0"/>
      <w:marTop w:val="0"/>
      <w:marBottom w:val="0"/>
      <w:divBdr>
        <w:top w:val="none" w:sz="0" w:space="0" w:color="auto"/>
        <w:left w:val="none" w:sz="0" w:space="0" w:color="auto"/>
        <w:bottom w:val="none" w:sz="0" w:space="0" w:color="auto"/>
        <w:right w:val="none" w:sz="0" w:space="0" w:color="auto"/>
      </w:divBdr>
    </w:div>
    <w:div w:id="1803420349">
      <w:marLeft w:val="0"/>
      <w:marRight w:val="0"/>
      <w:marTop w:val="0"/>
      <w:marBottom w:val="0"/>
      <w:divBdr>
        <w:top w:val="none" w:sz="0" w:space="0" w:color="auto"/>
        <w:left w:val="none" w:sz="0" w:space="0" w:color="auto"/>
        <w:bottom w:val="none" w:sz="0" w:space="0" w:color="auto"/>
        <w:right w:val="none" w:sz="0" w:space="0" w:color="auto"/>
      </w:divBdr>
    </w:div>
    <w:div w:id="1803420350">
      <w:marLeft w:val="0"/>
      <w:marRight w:val="0"/>
      <w:marTop w:val="0"/>
      <w:marBottom w:val="0"/>
      <w:divBdr>
        <w:top w:val="none" w:sz="0" w:space="0" w:color="auto"/>
        <w:left w:val="none" w:sz="0" w:space="0" w:color="auto"/>
        <w:bottom w:val="none" w:sz="0" w:space="0" w:color="auto"/>
        <w:right w:val="none" w:sz="0" w:space="0" w:color="auto"/>
      </w:divBdr>
    </w:div>
    <w:div w:id="1803420351">
      <w:marLeft w:val="0"/>
      <w:marRight w:val="0"/>
      <w:marTop w:val="0"/>
      <w:marBottom w:val="0"/>
      <w:divBdr>
        <w:top w:val="none" w:sz="0" w:space="0" w:color="auto"/>
        <w:left w:val="none" w:sz="0" w:space="0" w:color="auto"/>
        <w:bottom w:val="none" w:sz="0" w:space="0" w:color="auto"/>
        <w:right w:val="none" w:sz="0" w:space="0" w:color="auto"/>
      </w:divBdr>
    </w:div>
    <w:div w:id="1803420352">
      <w:marLeft w:val="0"/>
      <w:marRight w:val="0"/>
      <w:marTop w:val="0"/>
      <w:marBottom w:val="0"/>
      <w:divBdr>
        <w:top w:val="none" w:sz="0" w:space="0" w:color="auto"/>
        <w:left w:val="none" w:sz="0" w:space="0" w:color="auto"/>
        <w:bottom w:val="none" w:sz="0" w:space="0" w:color="auto"/>
        <w:right w:val="none" w:sz="0" w:space="0" w:color="auto"/>
      </w:divBdr>
    </w:div>
    <w:div w:id="1803420353">
      <w:marLeft w:val="0"/>
      <w:marRight w:val="0"/>
      <w:marTop w:val="0"/>
      <w:marBottom w:val="0"/>
      <w:divBdr>
        <w:top w:val="none" w:sz="0" w:space="0" w:color="auto"/>
        <w:left w:val="none" w:sz="0" w:space="0" w:color="auto"/>
        <w:bottom w:val="none" w:sz="0" w:space="0" w:color="auto"/>
        <w:right w:val="none" w:sz="0" w:space="0" w:color="auto"/>
      </w:divBdr>
    </w:div>
    <w:div w:id="1803420354">
      <w:marLeft w:val="0"/>
      <w:marRight w:val="0"/>
      <w:marTop w:val="0"/>
      <w:marBottom w:val="0"/>
      <w:divBdr>
        <w:top w:val="none" w:sz="0" w:space="0" w:color="auto"/>
        <w:left w:val="none" w:sz="0" w:space="0" w:color="auto"/>
        <w:bottom w:val="none" w:sz="0" w:space="0" w:color="auto"/>
        <w:right w:val="none" w:sz="0" w:space="0" w:color="auto"/>
      </w:divBdr>
    </w:div>
    <w:div w:id="1803420355">
      <w:marLeft w:val="0"/>
      <w:marRight w:val="0"/>
      <w:marTop w:val="0"/>
      <w:marBottom w:val="0"/>
      <w:divBdr>
        <w:top w:val="none" w:sz="0" w:space="0" w:color="auto"/>
        <w:left w:val="none" w:sz="0" w:space="0" w:color="auto"/>
        <w:bottom w:val="none" w:sz="0" w:space="0" w:color="auto"/>
        <w:right w:val="none" w:sz="0" w:space="0" w:color="auto"/>
      </w:divBdr>
    </w:div>
    <w:div w:id="1803420356">
      <w:marLeft w:val="0"/>
      <w:marRight w:val="0"/>
      <w:marTop w:val="0"/>
      <w:marBottom w:val="0"/>
      <w:divBdr>
        <w:top w:val="none" w:sz="0" w:space="0" w:color="auto"/>
        <w:left w:val="none" w:sz="0" w:space="0" w:color="auto"/>
        <w:bottom w:val="none" w:sz="0" w:space="0" w:color="auto"/>
        <w:right w:val="none" w:sz="0" w:space="0" w:color="auto"/>
      </w:divBdr>
    </w:div>
    <w:div w:id="1803420357">
      <w:marLeft w:val="0"/>
      <w:marRight w:val="0"/>
      <w:marTop w:val="0"/>
      <w:marBottom w:val="0"/>
      <w:divBdr>
        <w:top w:val="none" w:sz="0" w:space="0" w:color="auto"/>
        <w:left w:val="none" w:sz="0" w:space="0" w:color="auto"/>
        <w:bottom w:val="none" w:sz="0" w:space="0" w:color="auto"/>
        <w:right w:val="none" w:sz="0" w:space="0" w:color="auto"/>
      </w:divBdr>
    </w:div>
    <w:div w:id="1803420358">
      <w:marLeft w:val="0"/>
      <w:marRight w:val="0"/>
      <w:marTop w:val="0"/>
      <w:marBottom w:val="0"/>
      <w:divBdr>
        <w:top w:val="none" w:sz="0" w:space="0" w:color="auto"/>
        <w:left w:val="none" w:sz="0" w:space="0" w:color="auto"/>
        <w:bottom w:val="none" w:sz="0" w:space="0" w:color="auto"/>
        <w:right w:val="none" w:sz="0" w:space="0" w:color="auto"/>
      </w:divBdr>
    </w:div>
    <w:div w:id="1803420359">
      <w:marLeft w:val="0"/>
      <w:marRight w:val="0"/>
      <w:marTop w:val="0"/>
      <w:marBottom w:val="0"/>
      <w:divBdr>
        <w:top w:val="none" w:sz="0" w:space="0" w:color="auto"/>
        <w:left w:val="none" w:sz="0" w:space="0" w:color="auto"/>
        <w:bottom w:val="none" w:sz="0" w:space="0" w:color="auto"/>
        <w:right w:val="none" w:sz="0" w:space="0" w:color="auto"/>
      </w:divBdr>
    </w:div>
    <w:div w:id="1803420360">
      <w:marLeft w:val="0"/>
      <w:marRight w:val="0"/>
      <w:marTop w:val="0"/>
      <w:marBottom w:val="0"/>
      <w:divBdr>
        <w:top w:val="none" w:sz="0" w:space="0" w:color="auto"/>
        <w:left w:val="none" w:sz="0" w:space="0" w:color="auto"/>
        <w:bottom w:val="none" w:sz="0" w:space="0" w:color="auto"/>
        <w:right w:val="none" w:sz="0" w:space="0" w:color="auto"/>
      </w:divBdr>
    </w:div>
    <w:div w:id="1803420361">
      <w:marLeft w:val="0"/>
      <w:marRight w:val="0"/>
      <w:marTop w:val="0"/>
      <w:marBottom w:val="0"/>
      <w:divBdr>
        <w:top w:val="none" w:sz="0" w:space="0" w:color="auto"/>
        <w:left w:val="none" w:sz="0" w:space="0" w:color="auto"/>
        <w:bottom w:val="none" w:sz="0" w:space="0" w:color="auto"/>
        <w:right w:val="none" w:sz="0" w:space="0" w:color="auto"/>
      </w:divBdr>
    </w:div>
    <w:div w:id="1803420362">
      <w:marLeft w:val="0"/>
      <w:marRight w:val="0"/>
      <w:marTop w:val="0"/>
      <w:marBottom w:val="0"/>
      <w:divBdr>
        <w:top w:val="none" w:sz="0" w:space="0" w:color="auto"/>
        <w:left w:val="none" w:sz="0" w:space="0" w:color="auto"/>
        <w:bottom w:val="none" w:sz="0" w:space="0" w:color="auto"/>
        <w:right w:val="none" w:sz="0" w:space="0" w:color="auto"/>
      </w:divBdr>
    </w:div>
    <w:div w:id="1803420363">
      <w:marLeft w:val="0"/>
      <w:marRight w:val="0"/>
      <w:marTop w:val="0"/>
      <w:marBottom w:val="0"/>
      <w:divBdr>
        <w:top w:val="none" w:sz="0" w:space="0" w:color="auto"/>
        <w:left w:val="none" w:sz="0" w:space="0" w:color="auto"/>
        <w:bottom w:val="none" w:sz="0" w:space="0" w:color="auto"/>
        <w:right w:val="none" w:sz="0" w:space="0" w:color="auto"/>
      </w:divBdr>
    </w:div>
    <w:div w:id="1803420364">
      <w:marLeft w:val="0"/>
      <w:marRight w:val="0"/>
      <w:marTop w:val="0"/>
      <w:marBottom w:val="0"/>
      <w:divBdr>
        <w:top w:val="none" w:sz="0" w:space="0" w:color="auto"/>
        <w:left w:val="none" w:sz="0" w:space="0" w:color="auto"/>
        <w:bottom w:val="none" w:sz="0" w:space="0" w:color="auto"/>
        <w:right w:val="none" w:sz="0" w:space="0" w:color="auto"/>
      </w:divBdr>
    </w:div>
    <w:div w:id="1803420365">
      <w:marLeft w:val="0"/>
      <w:marRight w:val="0"/>
      <w:marTop w:val="0"/>
      <w:marBottom w:val="0"/>
      <w:divBdr>
        <w:top w:val="none" w:sz="0" w:space="0" w:color="auto"/>
        <w:left w:val="none" w:sz="0" w:space="0" w:color="auto"/>
        <w:bottom w:val="none" w:sz="0" w:space="0" w:color="auto"/>
        <w:right w:val="none" w:sz="0" w:space="0" w:color="auto"/>
      </w:divBdr>
    </w:div>
    <w:div w:id="1803420366">
      <w:marLeft w:val="0"/>
      <w:marRight w:val="0"/>
      <w:marTop w:val="0"/>
      <w:marBottom w:val="0"/>
      <w:divBdr>
        <w:top w:val="none" w:sz="0" w:space="0" w:color="auto"/>
        <w:left w:val="none" w:sz="0" w:space="0" w:color="auto"/>
        <w:bottom w:val="none" w:sz="0" w:space="0" w:color="auto"/>
        <w:right w:val="none" w:sz="0" w:space="0" w:color="auto"/>
      </w:divBdr>
    </w:div>
    <w:div w:id="1803420367">
      <w:marLeft w:val="0"/>
      <w:marRight w:val="0"/>
      <w:marTop w:val="0"/>
      <w:marBottom w:val="0"/>
      <w:divBdr>
        <w:top w:val="none" w:sz="0" w:space="0" w:color="auto"/>
        <w:left w:val="none" w:sz="0" w:space="0" w:color="auto"/>
        <w:bottom w:val="none" w:sz="0" w:space="0" w:color="auto"/>
        <w:right w:val="none" w:sz="0" w:space="0" w:color="auto"/>
      </w:divBdr>
    </w:div>
    <w:div w:id="1803420368">
      <w:marLeft w:val="0"/>
      <w:marRight w:val="0"/>
      <w:marTop w:val="0"/>
      <w:marBottom w:val="0"/>
      <w:divBdr>
        <w:top w:val="none" w:sz="0" w:space="0" w:color="auto"/>
        <w:left w:val="none" w:sz="0" w:space="0" w:color="auto"/>
        <w:bottom w:val="none" w:sz="0" w:space="0" w:color="auto"/>
        <w:right w:val="none" w:sz="0" w:space="0" w:color="auto"/>
      </w:divBdr>
    </w:div>
    <w:div w:id="1803420369">
      <w:marLeft w:val="0"/>
      <w:marRight w:val="0"/>
      <w:marTop w:val="0"/>
      <w:marBottom w:val="0"/>
      <w:divBdr>
        <w:top w:val="none" w:sz="0" w:space="0" w:color="auto"/>
        <w:left w:val="none" w:sz="0" w:space="0" w:color="auto"/>
        <w:bottom w:val="none" w:sz="0" w:space="0" w:color="auto"/>
        <w:right w:val="none" w:sz="0" w:space="0" w:color="auto"/>
      </w:divBdr>
    </w:div>
    <w:div w:id="1803420370">
      <w:marLeft w:val="0"/>
      <w:marRight w:val="0"/>
      <w:marTop w:val="0"/>
      <w:marBottom w:val="0"/>
      <w:divBdr>
        <w:top w:val="none" w:sz="0" w:space="0" w:color="auto"/>
        <w:left w:val="none" w:sz="0" w:space="0" w:color="auto"/>
        <w:bottom w:val="none" w:sz="0" w:space="0" w:color="auto"/>
        <w:right w:val="none" w:sz="0" w:space="0" w:color="auto"/>
      </w:divBdr>
    </w:div>
    <w:div w:id="1803420371">
      <w:marLeft w:val="0"/>
      <w:marRight w:val="0"/>
      <w:marTop w:val="0"/>
      <w:marBottom w:val="0"/>
      <w:divBdr>
        <w:top w:val="none" w:sz="0" w:space="0" w:color="auto"/>
        <w:left w:val="none" w:sz="0" w:space="0" w:color="auto"/>
        <w:bottom w:val="none" w:sz="0" w:space="0" w:color="auto"/>
        <w:right w:val="none" w:sz="0" w:space="0" w:color="auto"/>
      </w:divBdr>
    </w:div>
    <w:div w:id="1803420372">
      <w:marLeft w:val="0"/>
      <w:marRight w:val="0"/>
      <w:marTop w:val="0"/>
      <w:marBottom w:val="0"/>
      <w:divBdr>
        <w:top w:val="none" w:sz="0" w:space="0" w:color="auto"/>
        <w:left w:val="none" w:sz="0" w:space="0" w:color="auto"/>
        <w:bottom w:val="none" w:sz="0" w:space="0" w:color="auto"/>
        <w:right w:val="none" w:sz="0" w:space="0" w:color="auto"/>
      </w:divBdr>
    </w:div>
    <w:div w:id="1803420373">
      <w:marLeft w:val="0"/>
      <w:marRight w:val="0"/>
      <w:marTop w:val="0"/>
      <w:marBottom w:val="0"/>
      <w:divBdr>
        <w:top w:val="none" w:sz="0" w:space="0" w:color="auto"/>
        <w:left w:val="none" w:sz="0" w:space="0" w:color="auto"/>
        <w:bottom w:val="none" w:sz="0" w:space="0" w:color="auto"/>
        <w:right w:val="none" w:sz="0" w:space="0" w:color="auto"/>
      </w:divBdr>
    </w:div>
    <w:div w:id="1803420374">
      <w:marLeft w:val="0"/>
      <w:marRight w:val="0"/>
      <w:marTop w:val="0"/>
      <w:marBottom w:val="0"/>
      <w:divBdr>
        <w:top w:val="none" w:sz="0" w:space="0" w:color="auto"/>
        <w:left w:val="none" w:sz="0" w:space="0" w:color="auto"/>
        <w:bottom w:val="none" w:sz="0" w:space="0" w:color="auto"/>
        <w:right w:val="none" w:sz="0" w:space="0" w:color="auto"/>
      </w:divBdr>
    </w:div>
    <w:div w:id="1803420375">
      <w:marLeft w:val="0"/>
      <w:marRight w:val="0"/>
      <w:marTop w:val="0"/>
      <w:marBottom w:val="0"/>
      <w:divBdr>
        <w:top w:val="none" w:sz="0" w:space="0" w:color="auto"/>
        <w:left w:val="none" w:sz="0" w:space="0" w:color="auto"/>
        <w:bottom w:val="none" w:sz="0" w:space="0" w:color="auto"/>
        <w:right w:val="none" w:sz="0" w:space="0" w:color="auto"/>
      </w:divBdr>
    </w:div>
    <w:div w:id="1803420376">
      <w:marLeft w:val="0"/>
      <w:marRight w:val="0"/>
      <w:marTop w:val="0"/>
      <w:marBottom w:val="0"/>
      <w:divBdr>
        <w:top w:val="none" w:sz="0" w:space="0" w:color="auto"/>
        <w:left w:val="none" w:sz="0" w:space="0" w:color="auto"/>
        <w:bottom w:val="none" w:sz="0" w:space="0" w:color="auto"/>
        <w:right w:val="none" w:sz="0" w:space="0" w:color="auto"/>
      </w:divBdr>
    </w:div>
    <w:div w:id="1803420377">
      <w:marLeft w:val="0"/>
      <w:marRight w:val="0"/>
      <w:marTop w:val="0"/>
      <w:marBottom w:val="0"/>
      <w:divBdr>
        <w:top w:val="none" w:sz="0" w:space="0" w:color="auto"/>
        <w:left w:val="none" w:sz="0" w:space="0" w:color="auto"/>
        <w:bottom w:val="none" w:sz="0" w:space="0" w:color="auto"/>
        <w:right w:val="none" w:sz="0" w:space="0" w:color="auto"/>
      </w:divBdr>
    </w:div>
    <w:div w:id="1803420378">
      <w:marLeft w:val="0"/>
      <w:marRight w:val="0"/>
      <w:marTop w:val="0"/>
      <w:marBottom w:val="0"/>
      <w:divBdr>
        <w:top w:val="none" w:sz="0" w:space="0" w:color="auto"/>
        <w:left w:val="none" w:sz="0" w:space="0" w:color="auto"/>
        <w:bottom w:val="none" w:sz="0" w:space="0" w:color="auto"/>
        <w:right w:val="none" w:sz="0" w:space="0" w:color="auto"/>
      </w:divBdr>
    </w:div>
    <w:div w:id="1803420379">
      <w:marLeft w:val="0"/>
      <w:marRight w:val="0"/>
      <w:marTop w:val="0"/>
      <w:marBottom w:val="0"/>
      <w:divBdr>
        <w:top w:val="none" w:sz="0" w:space="0" w:color="auto"/>
        <w:left w:val="none" w:sz="0" w:space="0" w:color="auto"/>
        <w:bottom w:val="none" w:sz="0" w:space="0" w:color="auto"/>
        <w:right w:val="none" w:sz="0" w:space="0" w:color="auto"/>
      </w:divBdr>
    </w:div>
    <w:div w:id="1803420380">
      <w:marLeft w:val="0"/>
      <w:marRight w:val="0"/>
      <w:marTop w:val="0"/>
      <w:marBottom w:val="0"/>
      <w:divBdr>
        <w:top w:val="none" w:sz="0" w:space="0" w:color="auto"/>
        <w:left w:val="none" w:sz="0" w:space="0" w:color="auto"/>
        <w:bottom w:val="none" w:sz="0" w:space="0" w:color="auto"/>
        <w:right w:val="none" w:sz="0" w:space="0" w:color="auto"/>
      </w:divBdr>
    </w:div>
    <w:div w:id="1803420381">
      <w:marLeft w:val="0"/>
      <w:marRight w:val="0"/>
      <w:marTop w:val="0"/>
      <w:marBottom w:val="0"/>
      <w:divBdr>
        <w:top w:val="none" w:sz="0" w:space="0" w:color="auto"/>
        <w:left w:val="none" w:sz="0" w:space="0" w:color="auto"/>
        <w:bottom w:val="none" w:sz="0" w:space="0" w:color="auto"/>
        <w:right w:val="none" w:sz="0" w:space="0" w:color="auto"/>
      </w:divBdr>
    </w:div>
    <w:div w:id="1803420382">
      <w:marLeft w:val="0"/>
      <w:marRight w:val="0"/>
      <w:marTop w:val="0"/>
      <w:marBottom w:val="0"/>
      <w:divBdr>
        <w:top w:val="none" w:sz="0" w:space="0" w:color="auto"/>
        <w:left w:val="none" w:sz="0" w:space="0" w:color="auto"/>
        <w:bottom w:val="none" w:sz="0" w:space="0" w:color="auto"/>
        <w:right w:val="none" w:sz="0" w:space="0" w:color="auto"/>
      </w:divBdr>
    </w:div>
    <w:div w:id="1803420383">
      <w:marLeft w:val="0"/>
      <w:marRight w:val="0"/>
      <w:marTop w:val="0"/>
      <w:marBottom w:val="0"/>
      <w:divBdr>
        <w:top w:val="none" w:sz="0" w:space="0" w:color="auto"/>
        <w:left w:val="none" w:sz="0" w:space="0" w:color="auto"/>
        <w:bottom w:val="none" w:sz="0" w:space="0" w:color="auto"/>
        <w:right w:val="none" w:sz="0" w:space="0" w:color="auto"/>
      </w:divBdr>
    </w:div>
    <w:div w:id="1803420384">
      <w:marLeft w:val="0"/>
      <w:marRight w:val="0"/>
      <w:marTop w:val="0"/>
      <w:marBottom w:val="0"/>
      <w:divBdr>
        <w:top w:val="none" w:sz="0" w:space="0" w:color="auto"/>
        <w:left w:val="none" w:sz="0" w:space="0" w:color="auto"/>
        <w:bottom w:val="none" w:sz="0" w:space="0" w:color="auto"/>
        <w:right w:val="none" w:sz="0" w:space="0" w:color="auto"/>
      </w:divBdr>
    </w:div>
    <w:div w:id="1803420385">
      <w:marLeft w:val="0"/>
      <w:marRight w:val="0"/>
      <w:marTop w:val="0"/>
      <w:marBottom w:val="0"/>
      <w:divBdr>
        <w:top w:val="none" w:sz="0" w:space="0" w:color="auto"/>
        <w:left w:val="none" w:sz="0" w:space="0" w:color="auto"/>
        <w:bottom w:val="none" w:sz="0" w:space="0" w:color="auto"/>
        <w:right w:val="none" w:sz="0" w:space="0" w:color="auto"/>
      </w:divBdr>
    </w:div>
    <w:div w:id="1803420386">
      <w:marLeft w:val="0"/>
      <w:marRight w:val="0"/>
      <w:marTop w:val="0"/>
      <w:marBottom w:val="0"/>
      <w:divBdr>
        <w:top w:val="none" w:sz="0" w:space="0" w:color="auto"/>
        <w:left w:val="none" w:sz="0" w:space="0" w:color="auto"/>
        <w:bottom w:val="none" w:sz="0" w:space="0" w:color="auto"/>
        <w:right w:val="none" w:sz="0" w:space="0" w:color="auto"/>
      </w:divBdr>
    </w:div>
    <w:div w:id="1803420387">
      <w:marLeft w:val="0"/>
      <w:marRight w:val="0"/>
      <w:marTop w:val="0"/>
      <w:marBottom w:val="0"/>
      <w:divBdr>
        <w:top w:val="none" w:sz="0" w:space="0" w:color="auto"/>
        <w:left w:val="none" w:sz="0" w:space="0" w:color="auto"/>
        <w:bottom w:val="none" w:sz="0" w:space="0" w:color="auto"/>
        <w:right w:val="none" w:sz="0" w:space="0" w:color="auto"/>
      </w:divBdr>
    </w:div>
    <w:div w:id="1803420388">
      <w:marLeft w:val="0"/>
      <w:marRight w:val="0"/>
      <w:marTop w:val="0"/>
      <w:marBottom w:val="0"/>
      <w:divBdr>
        <w:top w:val="none" w:sz="0" w:space="0" w:color="auto"/>
        <w:left w:val="none" w:sz="0" w:space="0" w:color="auto"/>
        <w:bottom w:val="none" w:sz="0" w:space="0" w:color="auto"/>
        <w:right w:val="none" w:sz="0" w:space="0" w:color="auto"/>
      </w:divBdr>
    </w:div>
    <w:div w:id="1803420389">
      <w:marLeft w:val="0"/>
      <w:marRight w:val="0"/>
      <w:marTop w:val="0"/>
      <w:marBottom w:val="0"/>
      <w:divBdr>
        <w:top w:val="none" w:sz="0" w:space="0" w:color="auto"/>
        <w:left w:val="none" w:sz="0" w:space="0" w:color="auto"/>
        <w:bottom w:val="none" w:sz="0" w:space="0" w:color="auto"/>
        <w:right w:val="none" w:sz="0" w:space="0" w:color="auto"/>
      </w:divBdr>
    </w:div>
    <w:div w:id="1803420390">
      <w:marLeft w:val="0"/>
      <w:marRight w:val="0"/>
      <w:marTop w:val="0"/>
      <w:marBottom w:val="0"/>
      <w:divBdr>
        <w:top w:val="none" w:sz="0" w:space="0" w:color="auto"/>
        <w:left w:val="none" w:sz="0" w:space="0" w:color="auto"/>
        <w:bottom w:val="none" w:sz="0" w:space="0" w:color="auto"/>
        <w:right w:val="none" w:sz="0" w:space="0" w:color="auto"/>
      </w:divBdr>
    </w:div>
    <w:div w:id="1803420391">
      <w:marLeft w:val="0"/>
      <w:marRight w:val="0"/>
      <w:marTop w:val="0"/>
      <w:marBottom w:val="0"/>
      <w:divBdr>
        <w:top w:val="none" w:sz="0" w:space="0" w:color="auto"/>
        <w:left w:val="none" w:sz="0" w:space="0" w:color="auto"/>
        <w:bottom w:val="none" w:sz="0" w:space="0" w:color="auto"/>
        <w:right w:val="none" w:sz="0" w:space="0" w:color="auto"/>
      </w:divBdr>
    </w:div>
    <w:div w:id="1803420392">
      <w:marLeft w:val="0"/>
      <w:marRight w:val="0"/>
      <w:marTop w:val="0"/>
      <w:marBottom w:val="0"/>
      <w:divBdr>
        <w:top w:val="none" w:sz="0" w:space="0" w:color="auto"/>
        <w:left w:val="none" w:sz="0" w:space="0" w:color="auto"/>
        <w:bottom w:val="none" w:sz="0" w:space="0" w:color="auto"/>
        <w:right w:val="none" w:sz="0" w:space="0" w:color="auto"/>
      </w:divBdr>
    </w:div>
    <w:div w:id="1803420393">
      <w:marLeft w:val="0"/>
      <w:marRight w:val="0"/>
      <w:marTop w:val="0"/>
      <w:marBottom w:val="0"/>
      <w:divBdr>
        <w:top w:val="none" w:sz="0" w:space="0" w:color="auto"/>
        <w:left w:val="none" w:sz="0" w:space="0" w:color="auto"/>
        <w:bottom w:val="none" w:sz="0" w:space="0" w:color="auto"/>
        <w:right w:val="none" w:sz="0" w:space="0" w:color="auto"/>
      </w:divBdr>
    </w:div>
    <w:div w:id="1803420394">
      <w:marLeft w:val="0"/>
      <w:marRight w:val="0"/>
      <w:marTop w:val="0"/>
      <w:marBottom w:val="0"/>
      <w:divBdr>
        <w:top w:val="none" w:sz="0" w:space="0" w:color="auto"/>
        <w:left w:val="none" w:sz="0" w:space="0" w:color="auto"/>
        <w:bottom w:val="none" w:sz="0" w:space="0" w:color="auto"/>
        <w:right w:val="none" w:sz="0" w:space="0" w:color="auto"/>
      </w:divBdr>
    </w:div>
    <w:div w:id="1803420395">
      <w:marLeft w:val="0"/>
      <w:marRight w:val="0"/>
      <w:marTop w:val="0"/>
      <w:marBottom w:val="0"/>
      <w:divBdr>
        <w:top w:val="none" w:sz="0" w:space="0" w:color="auto"/>
        <w:left w:val="none" w:sz="0" w:space="0" w:color="auto"/>
        <w:bottom w:val="none" w:sz="0" w:space="0" w:color="auto"/>
        <w:right w:val="none" w:sz="0" w:space="0" w:color="auto"/>
      </w:divBdr>
    </w:div>
    <w:div w:id="1803420396">
      <w:marLeft w:val="0"/>
      <w:marRight w:val="0"/>
      <w:marTop w:val="0"/>
      <w:marBottom w:val="0"/>
      <w:divBdr>
        <w:top w:val="none" w:sz="0" w:space="0" w:color="auto"/>
        <w:left w:val="none" w:sz="0" w:space="0" w:color="auto"/>
        <w:bottom w:val="none" w:sz="0" w:space="0" w:color="auto"/>
        <w:right w:val="none" w:sz="0" w:space="0" w:color="auto"/>
      </w:divBdr>
    </w:div>
    <w:div w:id="1803420397">
      <w:marLeft w:val="0"/>
      <w:marRight w:val="0"/>
      <w:marTop w:val="0"/>
      <w:marBottom w:val="0"/>
      <w:divBdr>
        <w:top w:val="none" w:sz="0" w:space="0" w:color="auto"/>
        <w:left w:val="none" w:sz="0" w:space="0" w:color="auto"/>
        <w:bottom w:val="none" w:sz="0" w:space="0" w:color="auto"/>
        <w:right w:val="none" w:sz="0" w:space="0" w:color="auto"/>
      </w:divBdr>
    </w:div>
    <w:div w:id="1803420398">
      <w:marLeft w:val="0"/>
      <w:marRight w:val="0"/>
      <w:marTop w:val="0"/>
      <w:marBottom w:val="0"/>
      <w:divBdr>
        <w:top w:val="none" w:sz="0" w:space="0" w:color="auto"/>
        <w:left w:val="none" w:sz="0" w:space="0" w:color="auto"/>
        <w:bottom w:val="none" w:sz="0" w:space="0" w:color="auto"/>
        <w:right w:val="none" w:sz="0" w:space="0" w:color="auto"/>
      </w:divBdr>
    </w:div>
    <w:div w:id="1803420399">
      <w:marLeft w:val="0"/>
      <w:marRight w:val="0"/>
      <w:marTop w:val="0"/>
      <w:marBottom w:val="0"/>
      <w:divBdr>
        <w:top w:val="none" w:sz="0" w:space="0" w:color="auto"/>
        <w:left w:val="none" w:sz="0" w:space="0" w:color="auto"/>
        <w:bottom w:val="none" w:sz="0" w:space="0" w:color="auto"/>
        <w:right w:val="none" w:sz="0" w:space="0" w:color="auto"/>
      </w:divBdr>
    </w:div>
    <w:div w:id="1803420400">
      <w:marLeft w:val="0"/>
      <w:marRight w:val="0"/>
      <w:marTop w:val="0"/>
      <w:marBottom w:val="0"/>
      <w:divBdr>
        <w:top w:val="none" w:sz="0" w:space="0" w:color="auto"/>
        <w:left w:val="none" w:sz="0" w:space="0" w:color="auto"/>
        <w:bottom w:val="none" w:sz="0" w:space="0" w:color="auto"/>
        <w:right w:val="none" w:sz="0" w:space="0" w:color="auto"/>
      </w:divBdr>
    </w:div>
    <w:div w:id="1803420401">
      <w:marLeft w:val="0"/>
      <w:marRight w:val="0"/>
      <w:marTop w:val="0"/>
      <w:marBottom w:val="0"/>
      <w:divBdr>
        <w:top w:val="none" w:sz="0" w:space="0" w:color="auto"/>
        <w:left w:val="none" w:sz="0" w:space="0" w:color="auto"/>
        <w:bottom w:val="none" w:sz="0" w:space="0" w:color="auto"/>
        <w:right w:val="none" w:sz="0" w:space="0" w:color="auto"/>
      </w:divBdr>
    </w:div>
    <w:div w:id="1803420402">
      <w:marLeft w:val="0"/>
      <w:marRight w:val="0"/>
      <w:marTop w:val="0"/>
      <w:marBottom w:val="0"/>
      <w:divBdr>
        <w:top w:val="none" w:sz="0" w:space="0" w:color="auto"/>
        <w:left w:val="none" w:sz="0" w:space="0" w:color="auto"/>
        <w:bottom w:val="none" w:sz="0" w:space="0" w:color="auto"/>
        <w:right w:val="none" w:sz="0" w:space="0" w:color="auto"/>
      </w:divBdr>
    </w:div>
    <w:div w:id="1803420403">
      <w:marLeft w:val="0"/>
      <w:marRight w:val="0"/>
      <w:marTop w:val="0"/>
      <w:marBottom w:val="0"/>
      <w:divBdr>
        <w:top w:val="none" w:sz="0" w:space="0" w:color="auto"/>
        <w:left w:val="none" w:sz="0" w:space="0" w:color="auto"/>
        <w:bottom w:val="none" w:sz="0" w:space="0" w:color="auto"/>
        <w:right w:val="none" w:sz="0" w:space="0" w:color="auto"/>
      </w:divBdr>
    </w:div>
    <w:div w:id="1803420404">
      <w:marLeft w:val="0"/>
      <w:marRight w:val="0"/>
      <w:marTop w:val="0"/>
      <w:marBottom w:val="0"/>
      <w:divBdr>
        <w:top w:val="none" w:sz="0" w:space="0" w:color="auto"/>
        <w:left w:val="none" w:sz="0" w:space="0" w:color="auto"/>
        <w:bottom w:val="none" w:sz="0" w:space="0" w:color="auto"/>
        <w:right w:val="none" w:sz="0" w:space="0" w:color="auto"/>
      </w:divBdr>
    </w:div>
    <w:div w:id="1803420405">
      <w:marLeft w:val="0"/>
      <w:marRight w:val="0"/>
      <w:marTop w:val="0"/>
      <w:marBottom w:val="0"/>
      <w:divBdr>
        <w:top w:val="none" w:sz="0" w:space="0" w:color="auto"/>
        <w:left w:val="none" w:sz="0" w:space="0" w:color="auto"/>
        <w:bottom w:val="none" w:sz="0" w:space="0" w:color="auto"/>
        <w:right w:val="none" w:sz="0" w:space="0" w:color="auto"/>
      </w:divBdr>
    </w:div>
    <w:div w:id="1803420406">
      <w:marLeft w:val="0"/>
      <w:marRight w:val="0"/>
      <w:marTop w:val="0"/>
      <w:marBottom w:val="0"/>
      <w:divBdr>
        <w:top w:val="none" w:sz="0" w:space="0" w:color="auto"/>
        <w:left w:val="none" w:sz="0" w:space="0" w:color="auto"/>
        <w:bottom w:val="none" w:sz="0" w:space="0" w:color="auto"/>
        <w:right w:val="none" w:sz="0" w:space="0" w:color="auto"/>
      </w:divBdr>
    </w:div>
    <w:div w:id="1803420407">
      <w:marLeft w:val="0"/>
      <w:marRight w:val="0"/>
      <w:marTop w:val="0"/>
      <w:marBottom w:val="0"/>
      <w:divBdr>
        <w:top w:val="none" w:sz="0" w:space="0" w:color="auto"/>
        <w:left w:val="none" w:sz="0" w:space="0" w:color="auto"/>
        <w:bottom w:val="none" w:sz="0" w:space="0" w:color="auto"/>
        <w:right w:val="none" w:sz="0" w:space="0" w:color="auto"/>
      </w:divBdr>
    </w:div>
    <w:div w:id="1803420408">
      <w:marLeft w:val="0"/>
      <w:marRight w:val="0"/>
      <w:marTop w:val="0"/>
      <w:marBottom w:val="0"/>
      <w:divBdr>
        <w:top w:val="none" w:sz="0" w:space="0" w:color="auto"/>
        <w:left w:val="none" w:sz="0" w:space="0" w:color="auto"/>
        <w:bottom w:val="none" w:sz="0" w:space="0" w:color="auto"/>
        <w:right w:val="none" w:sz="0" w:space="0" w:color="auto"/>
      </w:divBdr>
    </w:div>
    <w:div w:id="1803420409">
      <w:marLeft w:val="0"/>
      <w:marRight w:val="0"/>
      <w:marTop w:val="0"/>
      <w:marBottom w:val="0"/>
      <w:divBdr>
        <w:top w:val="none" w:sz="0" w:space="0" w:color="auto"/>
        <w:left w:val="none" w:sz="0" w:space="0" w:color="auto"/>
        <w:bottom w:val="none" w:sz="0" w:space="0" w:color="auto"/>
        <w:right w:val="none" w:sz="0" w:space="0" w:color="auto"/>
      </w:divBdr>
    </w:div>
    <w:div w:id="1803420410">
      <w:marLeft w:val="0"/>
      <w:marRight w:val="0"/>
      <w:marTop w:val="0"/>
      <w:marBottom w:val="0"/>
      <w:divBdr>
        <w:top w:val="none" w:sz="0" w:space="0" w:color="auto"/>
        <w:left w:val="none" w:sz="0" w:space="0" w:color="auto"/>
        <w:bottom w:val="none" w:sz="0" w:space="0" w:color="auto"/>
        <w:right w:val="none" w:sz="0" w:space="0" w:color="auto"/>
      </w:divBdr>
    </w:div>
    <w:div w:id="1803420411">
      <w:marLeft w:val="0"/>
      <w:marRight w:val="0"/>
      <w:marTop w:val="0"/>
      <w:marBottom w:val="0"/>
      <w:divBdr>
        <w:top w:val="none" w:sz="0" w:space="0" w:color="auto"/>
        <w:left w:val="none" w:sz="0" w:space="0" w:color="auto"/>
        <w:bottom w:val="none" w:sz="0" w:space="0" w:color="auto"/>
        <w:right w:val="none" w:sz="0" w:space="0" w:color="auto"/>
      </w:divBdr>
    </w:div>
    <w:div w:id="1803420412">
      <w:marLeft w:val="0"/>
      <w:marRight w:val="0"/>
      <w:marTop w:val="0"/>
      <w:marBottom w:val="0"/>
      <w:divBdr>
        <w:top w:val="none" w:sz="0" w:space="0" w:color="auto"/>
        <w:left w:val="none" w:sz="0" w:space="0" w:color="auto"/>
        <w:bottom w:val="none" w:sz="0" w:space="0" w:color="auto"/>
        <w:right w:val="none" w:sz="0" w:space="0" w:color="auto"/>
      </w:divBdr>
    </w:div>
    <w:div w:id="1803420413">
      <w:marLeft w:val="0"/>
      <w:marRight w:val="0"/>
      <w:marTop w:val="0"/>
      <w:marBottom w:val="0"/>
      <w:divBdr>
        <w:top w:val="none" w:sz="0" w:space="0" w:color="auto"/>
        <w:left w:val="none" w:sz="0" w:space="0" w:color="auto"/>
        <w:bottom w:val="none" w:sz="0" w:space="0" w:color="auto"/>
        <w:right w:val="none" w:sz="0" w:space="0" w:color="auto"/>
      </w:divBdr>
    </w:div>
    <w:div w:id="1803420414">
      <w:marLeft w:val="0"/>
      <w:marRight w:val="0"/>
      <w:marTop w:val="0"/>
      <w:marBottom w:val="0"/>
      <w:divBdr>
        <w:top w:val="none" w:sz="0" w:space="0" w:color="auto"/>
        <w:left w:val="none" w:sz="0" w:space="0" w:color="auto"/>
        <w:bottom w:val="none" w:sz="0" w:space="0" w:color="auto"/>
        <w:right w:val="none" w:sz="0" w:space="0" w:color="auto"/>
      </w:divBdr>
    </w:div>
    <w:div w:id="1803420415">
      <w:marLeft w:val="0"/>
      <w:marRight w:val="0"/>
      <w:marTop w:val="0"/>
      <w:marBottom w:val="0"/>
      <w:divBdr>
        <w:top w:val="none" w:sz="0" w:space="0" w:color="auto"/>
        <w:left w:val="none" w:sz="0" w:space="0" w:color="auto"/>
        <w:bottom w:val="none" w:sz="0" w:space="0" w:color="auto"/>
        <w:right w:val="none" w:sz="0" w:space="0" w:color="auto"/>
      </w:divBdr>
    </w:div>
    <w:div w:id="1803420416">
      <w:marLeft w:val="0"/>
      <w:marRight w:val="0"/>
      <w:marTop w:val="0"/>
      <w:marBottom w:val="0"/>
      <w:divBdr>
        <w:top w:val="none" w:sz="0" w:space="0" w:color="auto"/>
        <w:left w:val="none" w:sz="0" w:space="0" w:color="auto"/>
        <w:bottom w:val="none" w:sz="0" w:space="0" w:color="auto"/>
        <w:right w:val="none" w:sz="0" w:space="0" w:color="auto"/>
      </w:divBdr>
    </w:div>
    <w:div w:id="1803420417">
      <w:marLeft w:val="0"/>
      <w:marRight w:val="0"/>
      <w:marTop w:val="0"/>
      <w:marBottom w:val="0"/>
      <w:divBdr>
        <w:top w:val="none" w:sz="0" w:space="0" w:color="auto"/>
        <w:left w:val="none" w:sz="0" w:space="0" w:color="auto"/>
        <w:bottom w:val="none" w:sz="0" w:space="0" w:color="auto"/>
        <w:right w:val="none" w:sz="0" w:space="0" w:color="auto"/>
      </w:divBdr>
    </w:div>
    <w:div w:id="1803420418">
      <w:marLeft w:val="0"/>
      <w:marRight w:val="0"/>
      <w:marTop w:val="0"/>
      <w:marBottom w:val="0"/>
      <w:divBdr>
        <w:top w:val="none" w:sz="0" w:space="0" w:color="auto"/>
        <w:left w:val="none" w:sz="0" w:space="0" w:color="auto"/>
        <w:bottom w:val="none" w:sz="0" w:space="0" w:color="auto"/>
        <w:right w:val="none" w:sz="0" w:space="0" w:color="auto"/>
      </w:divBdr>
    </w:div>
    <w:div w:id="1803420419">
      <w:marLeft w:val="0"/>
      <w:marRight w:val="0"/>
      <w:marTop w:val="0"/>
      <w:marBottom w:val="0"/>
      <w:divBdr>
        <w:top w:val="none" w:sz="0" w:space="0" w:color="auto"/>
        <w:left w:val="none" w:sz="0" w:space="0" w:color="auto"/>
        <w:bottom w:val="none" w:sz="0" w:space="0" w:color="auto"/>
        <w:right w:val="none" w:sz="0" w:space="0" w:color="auto"/>
      </w:divBdr>
    </w:div>
    <w:div w:id="1803420420">
      <w:marLeft w:val="0"/>
      <w:marRight w:val="0"/>
      <w:marTop w:val="0"/>
      <w:marBottom w:val="0"/>
      <w:divBdr>
        <w:top w:val="none" w:sz="0" w:space="0" w:color="auto"/>
        <w:left w:val="none" w:sz="0" w:space="0" w:color="auto"/>
        <w:bottom w:val="none" w:sz="0" w:space="0" w:color="auto"/>
        <w:right w:val="none" w:sz="0" w:space="0" w:color="auto"/>
      </w:divBdr>
    </w:div>
    <w:div w:id="1803420421">
      <w:marLeft w:val="0"/>
      <w:marRight w:val="0"/>
      <w:marTop w:val="0"/>
      <w:marBottom w:val="0"/>
      <w:divBdr>
        <w:top w:val="none" w:sz="0" w:space="0" w:color="auto"/>
        <w:left w:val="none" w:sz="0" w:space="0" w:color="auto"/>
        <w:bottom w:val="none" w:sz="0" w:space="0" w:color="auto"/>
        <w:right w:val="none" w:sz="0" w:space="0" w:color="auto"/>
      </w:divBdr>
    </w:div>
    <w:div w:id="1803420422">
      <w:marLeft w:val="0"/>
      <w:marRight w:val="0"/>
      <w:marTop w:val="0"/>
      <w:marBottom w:val="0"/>
      <w:divBdr>
        <w:top w:val="none" w:sz="0" w:space="0" w:color="auto"/>
        <w:left w:val="none" w:sz="0" w:space="0" w:color="auto"/>
        <w:bottom w:val="none" w:sz="0" w:space="0" w:color="auto"/>
        <w:right w:val="none" w:sz="0" w:space="0" w:color="auto"/>
      </w:divBdr>
    </w:div>
    <w:div w:id="1803420423">
      <w:marLeft w:val="0"/>
      <w:marRight w:val="0"/>
      <w:marTop w:val="0"/>
      <w:marBottom w:val="0"/>
      <w:divBdr>
        <w:top w:val="none" w:sz="0" w:space="0" w:color="auto"/>
        <w:left w:val="none" w:sz="0" w:space="0" w:color="auto"/>
        <w:bottom w:val="none" w:sz="0" w:space="0" w:color="auto"/>
        <w:right w:val="none" w:sz="0" w:space="0" w:color="auto"/>
      </w:divBdr>
    </w:div>
    <w:div w:id="1803420424">
      <w:marLeft w:val="0"/>
      <w:marRight w:val="0"/>
      <w:marTop w:val="0"/>
      <w:marBottom w:val="0"/>
      <w:divBdr>
        <w:top w:val="none" w:sz="0" w:space="0" w:color="auto"/>
        <w:left w:val="none" w:sz="0" w:space="0" w:color="auto"/>
        <w:bottom w:val="none" w:sz="0" w:space="0" w:color="auto"/>
        <w:right w:val="none" w:sz="0" w:space="0" w:color="auto"/>
      </w:divBdr>
    </w:div>
    <w:div w:id="1803420425">
      <w:marLeft w:val="0"/>
      <w:marRight w:val="0"/>
      <w:marTop w:val="0"/>
      <w:marBottom w:val="0"/>
      <w:divBdr>
        <w:top w:val="none" w:sz="0" w:space="0" w:color="auto"/>
        <w:left w:val="none" w:sz="0" w:space="0" w:color="auto"/>
        <w:bottom w:val="none" w:sz="0" w:space="0" w:color="auto"/>
        <w:right w:val="none" w:sz="0" w:space="0" w:color="auto"/>
      </w:divBdr>
    </w:div>
    <w:div w:id="1803420426">
      <w:marLeft w:val="0"/>
      <w:marRight w:val="0"/>
      <w:marTop w:val="0"/>
      <w:marBottom w:val="0"/>
      <w:divBdr>
        <w:top w:val="none" w:sz="0" w:space="0" w:color="auto"/>
        <w:left w:val="none" w:sz="0" w:space="0" w:color="auto"/>
        <w:bottom w:val="none" w:sz="0" w:space="0" w:color="auto"/>
        <w:right w:val="none" w:sz="0" w:space="0" w:color="auto"/>
      </w:divBdr>
    </w:div>
    <w:div w:id="1803420427">
      <w:marLeft w:val="0"/>
      <w:marRight w:val="0"/>
      <w:marTop w:val="0"/>
      <w:marBottom w:val="0"/>
      <w:divBdr>
        <w:top w:val="none" w:sz="0" w:space="0" w:color="auto"/>
        <w:left w:val="none" w:sz="0" w:space="0" w:color="auto"/>
        <w:bottom w:val="none" w:sz="0" w:space="0" w:color="auto"/>
        <w:right w:val="none" w:sz="0" w:space="0" w:color="auto"/>
      </w:divBdr>
    </w:div>
    <w:div w:id="1803420428">
      <w:marLeft w:val="0"/>
      <w:marRight w:val="0"/>
      <w:marTop w:val="0"/>
      <w:marBottom w:val="0"/>
      <w:divBdr>
        <w:top w:val="none" w:sz="0" w:space="0" w:color="auto"/>
        <w:left w:val="none" w:sz="0" w:space="0" w:color="auto"/>
        <w:bottom w:val="none" w:sz="0" w:space="0" w:color="auto"/>
        <w:right w:val="none" w:sz="0" w:space="0" w:color="auto"/>
      </w:divBdr>
    </w:div>
    <w:div w:id="1803420429">
      <w:marLeft w:val="0"/>
      <w:marRight w:val="0"/>
      <w:marTop w:val="0"/>
      <w:marBottom w:val="0"/>
      <w:divBdr>
        <w:top w:val="none" w:sz="0" w:space="0" w:color="auto"/>
        <w:left w:val="none" w:sz="0" w:space="0" w:color="auto"/>
        <w:bottom w:val="none" w:sz="0" w:space="0" w:color="auto"/>
        <w:right w:val="none" w:sz="0" w:space="0" w:color="auto"/>
      </w:divBdr>
    </w:div>
    <w:div w:id="1803420430">
      <w:marLeft w:val="0"/>
      <w:marRight w:val="0"/>
      <w:marTop w:val="0"/>
      <w:marBottom w:val="0"/>
      <w:divBdr>
        <w:top w:val="none" w:sz="0" w:space="0" w:color="auto"/>
        <w:left w:val="none" w:sz="0" w:space="0" w:color="auto"/>
        <w:bottom w:val="none" w:sz="0" w:space="0" w:color="auto"/>
        <w:right w:val="none" w:sz="0" w:space="0" w:color="auto"/>
      </w:divBdr>
    </w:div>
    <w:div w:id="1803420431">
      <w:marLeft w:val="0"/>
      <w:marRight w:val="0"/>
      <w:marTop w:val="0"/>
      <w:marBottom w:val="0"/>
      <w:divBdr>
        <w:top w:val="none" w:sz="0" w:space="0" w:color="auto"/>
        <w:left w:val="none" w:sz="0" w:space="0" w:color="auto"/>
        <w:bottom w:val="none" w:sz="0" w:space="0" w:color="auto"/>
        <w:right w:val="none" w:sz="0" w:space="0" w:color="auto"/>
      </w:divBdr>
    </w:div>
    <w:div w:id="1803420432">
      <w:marLeft w:val="0"/>
      <w:marRight w:val="0"/>
      <w:marTop w:val="0"/>
      <w:marBottom w:val="0"/>
      <w:divBdr>
        <w:top w:val="none" w:sz="0" w:space="0" w:color="auto"/>
        <w:left w:val="none" w:sz="0" w:space="0" w:color="auto"/>
        <w:bottom w:val="none" w:sz="0" w:space="0" w:color="auto"/>
        <w:right w:val="none" w:sz="0" w:space="0" w:color="auto"/>
      </w:divBdr>
    </w:div>
    <w:div w:id="1803420433">
      <w:marLeft w:val="0"/>
      <w:marRight w:val="0"/>
      <w:marTop w:val="0"/>
      <w:marBottom w:val="0"/>
      <w:divBdr>
        <w:top w:val="none" w:sz="0" w:space="0" w:color="auto"/>
        <w:left w:val="none" w:sz="0" w:space="0" w:color="auto"/>
        <w:bottom w:val="none" w:sz="0" w:space="0" w:color="auto"/>
        <w:right w:val="none" w:sz="0" w:space="0" w:color="auto"/>
      </w:divBdr>
    </w:div>
    <w:div w:id="1803420434">
      <w:marLeft w:val="0"/>
      <w:marRight w:val="0"/>
      <w:marTop w:val="0"/>
      <w:marBottom w:val="0"/>
      <w:divBdr>
        <w:top w:val="none" w:sz="0" w:space="0" w:color="auto"/>
        <w:left w:val="none" w:sz="0" w:space="0" w:color="auto"/>
        <w:bottom w:val="none" w:sz="0" w:space="0" w:color="auto"/>
        <w:right w:val="none" w:sz="0" w:space="0" w:color="auto"/>
      </w:divBdr>
    </w:div>
    <w:div w:id="1804469294">
      <w:bodyDiv w:val="1"/>
      <w:marLeft w:val="0"/>
      <w:marRight w:val="0"/>
      <w:marTop w:val="0"/>
      <w:marBottom w:val="0"/>
      <w:divBdr>
        <w:top w:val="none" w:sz="0" w:space="0" w:color="auto"/>
        <w:left w:val="none" w:sz="0" w:space="0" w:color="auto"/>
        <w:bottom w:val="none" w:sz="0" w:space="0" w:color="auto"/>
        <w:right w:val="none" w:sz="0" w:space="0" w:color="auto"/>
      </w:divBdr>
    </w:div>
    <w:div w:id="1804884727">
      <w:bodyDiv w:val="1"/>
      <w:marLeft w:val="0"/>
      <w:marRight w:val="0"/>
      <w:marTop w:val="0"/>
      <w:marBottom w:val="0"/>
      <w:divBdr>
        <w:top w:val="none" w:sz="0" w:space="0" w:color="auto"/>
        <w:left w:val="none" w:sz="0" w:space="0" w:color="auto"/>
        <w:bottom w:val="none" w:sz="0" w:space="0" w:color="auto"/>
        <w:right w:val="none" w:sz="0" w:space="0" w:color="auto"/>
      </w:divBdr>
    </w:div>
    <w:div w:id="1807625961">
      <w:bodyDiv w:val="1"/>
      <w:marLeft w:val="0"/>
      <w:marRight w:val="0"/>
      <w:marTop w:val="0"/>
      <w:marBottom w:val="0"/>
      <w:divBdr>
        <w:top w:val="none" w:sz="0" w:space="0" w:color="auto"/>
        <w:left w:val="none" w:sz="0" w:space="0" w:color="auto"/>
        <w:bottom w:val="none" w:sz="0" w:space="0" w:color="auto"/>
        <w:right w:val="none" w:sz="0" w:space="0" w:color="auto"/>
      </w:divBdr>
    </w:div>
    <w:div w:id="1808008935">
      <w:bodyDiv w:val="1"/>
      <w:marLeft w:val="0"/>
      <w:marRight w:val="0"/>
      <w:marTop w:val="0"/>
      <w:marBottom w:val="0"/>
      <w:divBdr>
        <w:top w:val="none" w:sz="0" w:space="0" w:color="auto"/>
        <w:left w:val="none" w:sz="0" w:space="0" w:color="auto"/>
        <w:bottom w:val="none" w:sz="0" w:space="0" w:color="auto"/>
        <w:right w:val="none" w:sz="0" w:space="0" w:color="auto"/>
      </w:divBdr>
    </w:div>
    <w:div w:id="1810005097">
      <w:bodyDiv w:val="1"/>
      <w:marLeft w:val="0"/>
      <w:marRight w:val="0"/>
      <w:marTop w:val="0"/>
      <w:marBottom w:val="0"/>
      <w:divBdr>
        <w:top w:val="none" w:sz="0" w:space="0" w:color="auto"/>
        <w:left w:val="none" w:sz="0" w:space="0" w:color="auto"/>
        <w:bottom w:val="none" w:sz="0" w:space="0" w:color="auto"/>
        <w:right w:val="none" w:sz="0" w:space="0" w:color="auto"/>
      </w:divBdr>
    </w:div>
    <w:div w:id="1810399139">
      <w:bodyDiv w:val="1"/>
      <w:marLeft w:val="0"/>
      <w:marRight w:val="0"/>
      <w:marTop w:val="0"/>
      <w:marBottom w:val="0"/>
      <w:divBdr>
        <w:top w:val="none" w:sz="0" w:space="0" w:color="auto"/>
        <w:left w:val="none" w:sz="0" w:space="0" w:color="auto"/>
        <w:bottom w:val="none" w:sz="0" w:space="0" w:color="auto"/>
        <w:right w:val="none" w:sz="0" w:space="0" w:color="auto"/>
      </w:divBdr>
    </w:div>
    <w:div w:id="1811510388">
      <w:bodyDiv w:val="1"/>
      <w:marLeft w:val="0"/>
      <w:marRight w:val="0"/>
      <w:marTop w:val="0"/>
      <w:marBottom w:val="0"/>
      <w:divBdr>
        <w:top w:val="none" w:sz="0" w:space="0" w:color="auto"/>
        <w:left w:val="none" w:sz="0" w:space="0" w:color="auto"/>
        <w:bottom w:val="none" w:sz="0" w:space="0" w:color="auto"/>
        <w:right w:val="none" w:sz="0" w:space="0" w:color="auto"/>
      </w:divBdr>
    </w:div>
    <w:div w:id="1813788048">
      <w:bodyDiv w:val="1"/>
      <w:marLeft w:val="0"/>
      <w:marRight w:val="0"/>
      <w:marTop w:val="0"/>
      <w:marBottom w:val="0"/>
      <w:divBdr>
        <w:top w:val="none" w:sz="0" w:space="0" w:color="auto"/>
        <w:left w:val="none" w:sz="0" w:space="0" w:color="auto"/>
        <w:bottom w:val="none" w:sz="0" w:space="0" w:color="auto"/>
        <w:right w:val="none" w:sz="0" w:space="0" w:color="auto"/>
      </w:divBdr>
    </w:div>
    <w:div w:id="1814635837">
      <w:bodyDiv w:val="1"/>
      <w:marLeft w:val="0"/>
      <w:marRight w:val="0"/>
      <w:marTop w:val="0"/>
      <w:marBottom w:val="0"/>
      <w:divBdr>
        <w:top w:val="none" w:sz="0" w:space="0" w:color="auto"/>
        <w:left w:val="none" w:sz="0" w:space="0" w:color="auto"/>
        <w:bottom w:val="none" w:sz="0" w:space="0" w:color="auto"/>
        <w:right w:val="none" w:sz="0" w:space="0" w:color="auto"/>
      </w:divBdr>
    </w:div>
    <w:div w:id="1815366643">
      <w:bodyDiv w:val="1"/>
      <w:marLeft w:val="0"/>
      <w:marRight w:val="0"/>
      <w:marTop w:val="0"/>
      <w:marBottom w:val="0"/>
      <w:divBdr>
        <w:top w:val="none" w:sz="0" w:space="0" w:color="auto"/>
        <w:left w:val="none" w:sz="0" w:space="0" w:color="auto"/>
        <w:bottom w:val="none" w:sz="0" w:space="0" w:color="auto"/>
        <w:right w:val="none" w:sz="0" w:space="0" w:color="auto"/>
      </w:divBdr>
    </w:div>
    <w:div w:id="1816142993">
      <w:bodyDiv w:val="1"/>
      <w:marLeft w:val="0"/>
      <w:marRight w:val="0"/>
      <w:marTop w:val="0"/>
      <w:marBottom w:val="0"/>
      <w:divBdr>
        <w:top w:val="none" w:sz="0" w:space="0" w:color="auto"/>
        <w:left w:val="none" w:sz="0" w:space="0" w:color="auto"/>
        <w:bottom w:val="none" w:sz="0" w:space="0" w:color="auto"/>
        <w:right w:val="none" w:sz="0" w:space="0" w:color="auto"/>
      </w:divBdr>
    </w:div>
    <w:div w:id="1816414779">
      <w:bodyDiv w:val="1"/>
      <w:marLeft w:val="0"/>
      <w:marRight w:val="0"/>
      <w:marTop w:val="0"/>
      <w:marBottom w:val="0"/>
      <w:divBdr>
        <w:top w:val="none" w:sz="0" w:space="0" w:color="auto"/>
        <w:left w:val="none" w:sz="0" w:space="0" w:color="auto"/>
        <w:bottom w:val="none" w:sz="0" w:space="0" w:color="auto"/>
        <w:right w:val="none" w:sz="0" w:space="0" w:color="auto"/>
      </w:divBdr>
    </w:div>
    <w:div w:id="1819496177">
      <w:bodyDiv w:val="1"/>
      <w:marLeft w:val="0"/>
      <w:marRight w:val="0"/>
      <w:marTop w:val="0"/>
      <w:marBottom w:val="0"/>
      <w:divBdr>
        <w:top w:val="none" w:sz="0" w:space="0" w:color="auto"/>
        <w:left w:val="none" w:sz="0" w:space="0" w:color="auto"/>
        <w:bottom w:val="none" w:sz="0" w:space="0" w:color="auto"/>
        <w:right w:val="none" w:sz="0" w:space="0" w:color="auto"/>
      </w:divBdr>
    </w:div>
    <w:div w:id="1820926216">
      <w:bodyDiv w:val="1"/>
      <w:marLeft w:val="0"/>
      <w:marRight w:val="0"/>
      <w:marTop w:val="0"/>
      <w:marBottom w:val="0"/>
      <w:divBdr>
        <w:top w:val="none" w:sz="0" w:space="0" w:color="auto"/>
        <w:left w:val="none" w:sz="0" w:space="0" w:color="auto"/>
        <w:bottom w:val="none" w:sz="0" w:space="0" w:color="auto"/>
        <w:right w:val="none" w:sz="0" w:space="0" w:color="auto"/>
      </w:divBdr>
    </w:div>
    <w:div w:id="1821268633">
      <w:bodyDiv w:val="1"/>
      <w:marLeft w:val="0"/>
      <w:marRight w:val="0"/>
      <w:marTop w:val="0"/>
      <w:marBottom w:val="0"/>
      <w:divBdr>
        <w:top w:val="none" w:sz="0" w:space="0" w:color="auto"/>
        <w:left w:val="none" w:sz="0" w:space="0" w:color="auto"/>
        <w:bottom w:val="none" w:sz="0" w:space="0" w:color="auto"/>
        <w:right w:val="none" w:sz="0" w:space="0" w:color="auto"/>
      </w:divBdr>
    </w:div>
    <w:div w:id="1821341578">
      <w:bodyDiv w:val="1"/>
      <w:marLeft w:val="0"/>
      <w:marRight w:val="0"/>
      <w:marTop w:val="0"/>
      <w:marBottom w:val="0"/>
      <w:divBdr>
        <w:top w:val="none" w:sz="0" w:space="0" w:color="auto"/>
        <w:left w:val="none" w:sz="0" w:space="0" w:color="auto"/>
        <w:bottom w:val="none" w:sz="0" w:space="0" w:color="auto"/>
        <w:right w:val="none" w:sz="0" w:space="0" w:color="auto"/>
      </w:divBdr>
    </w:div>
    <w:div w:id="1821582107">
      <w:bodyDiv w:val="1"/>
      <w:marLeft w:val="0"/>
      <w:marRight w:val="0"/>
      <w:marTop w:val="0"/>
      <w:marBottom w:val="0"/>
      <w:divBdr>
        <w:top w:val="none" w:sz="0" w:space="0" w:color="auto"/>
        <w:left w:val="none" w:sz="0" w:space="0" w:color="auto"/>
        <w:bottom w:val="none" w:sz="0" w:space="0" w:color="auto"/>
        <w:right w:val="none" w:sz="0" w:space="0" w:color="auto"/>
      </w:divBdr>
    </w:div>
    <w:div w:id="1822035158">
      <w:bodyDiv w:val="1"/>
      <w:marLeft w:val="0"/>
      <w:marRight w:val="0"/>
      <w:marTop w:val="0"/>
      <w:marBottom w:val="0"/>
      <w:divBdr>
        <w:top w:val="none" w:sz="0" w:space="0" w:color="auto"/>
        <w:left w:val="none" w:sz="0" w:space="0" w:color="auto"/>
        <w:bottom w:val="none" w:sz="0" w:space="0" w:color="auto"/>
        <w:right w:val="none" w:sz="0" w:space="0" w:color="auto"/>
      </w:divBdr>
    </w:div>
    <w:div w:id="1823080876">
      <w:bodyDiv w:val="1"/>
      <w:marLeft w:val="0"/>
      <w:marRight w:val="0"/>
      <w:marTop w:val="0"/>
      <w:marBottom w:val="0"/>
      <w:divBdr>
        <w:top w:val="none" w:sz="0" w:space="0" w:color="auto"/>
        <w:left w:val="none" w:sz="0" w:space="0" w:color="auto"/>
        <w:bottom w:val="none" w:sz="0" w:space="0" w:color="auto"/>
        <w:right w:val="none" w:sz="0" w:space="0" w:color="auto"/>
      </w:divBdr>
    </w:div>
    <w:div w:id="1824614424">
      <w:bodyDiv w:val="1"/>
      <w:marLeft w:val="0"/>
      <w:marRight w:val="0"/>
      <w:marTop w:val="0"/>
      <w:marBottom w:val="0"/>
      <w:divBdr>
        <w:top w:val="none" w:sz="0" w:space="0" w:color="auto"/>
        <w:left w:val="none" w:sz="0" w:space="0" w:color="auto"/>
        <w:bottom w:val="none" w:sz="0" w:space="0" w:color="auto"/>
        <w:right w:val="none" w:sz="0" w:space="0" w:color="auto"/>
      </w:divBdr>
    </w:div>
    <w:div w:id="1824615614">
      <w:bodyDiv w:val="1"/>
      <w:marLeft w:val="0"/>
      <w:marRight w:val="0"/>
      <w:marTop w:val="0"/>
      <w:marBottom w:val="0"/>
      <w:divBdr>
        <w:top w:val="none" w:sz="0" w:space="0" w:color="auto"/>
        <w:left w:val="none" w:sz="0" w:space="0" w:color="auto"/>
        <w:bottom w:val="none" w:sz="0" w:space="0" w:color="auto"/>
        <w:right w:val="none" w:sz="0" w:space="0" w:color="auto"/>
      </w:divBdr>
    </w:div>
    <w:div w:id="1826700279">
      <w:bodyDiv w:val="1"/>
      <w:marLeft w:val="0"/>
      <w:marRight w:val="0"/>
      <w:marTop w:val="0"/>
      <w:marBottom w:val="0"/>
      <w:divBdr>
        <w:top w:val="none" w:sz="0" w:space="0" w:color="auto"/>
        <w:left w:val="none" w:sz="0" w:space="0" w:color="auto"/>
        <w:bottom w:val="none" w:sz="0" w:space="0" w:color="auto"/>
        <w:right w:val="none" w:sz="0" w:space="0" w:color="auto"/>
      </w:divBdr>
    </w:div>
    <w:div w:id="1827672152">
      <w:bodyDiv w:val="1"/>
      <w:marLeft w:val="0"/>
      <w:marRight w:val="0"/>
      <w:marTop w:val="0"/>
      <w:marBottom w:val="0"/>
      <w:divBdr>
        <w:top w:val="none" w:sz="0" w:space="0" w:color="auto"/>
        <w:left w:val="none" w:sz="0" w:space="0" w:color="auto"/>
        <w:bottom w:val="none" w:sz="0" w:space="0" w:color="auto"/>
        <w:right w:val="none" w:sz="0" w:space="0" w:color="auto"/>
      </w:divBdr>
    </w:div>
    <w:div w:id="1828545223">
      <w:bodyDiv w:val="1"/>
      <w:marLeft w:val="0"/>
      <w:marRight w:val="0"/>
      <w:marTop w:val="0"/>
      <w:marBottom w:val="0"/>
      <w:divBdr>
        <w:top w:val="none" w:sz="0" w:space="0" w:color="auto"/>
        <w:left w:val="none" w:sz="0" w:space="0" w:color="auto"/>
        <w:bottom w:val="none" w:sz="0" w:space="0" w:color="auto"/>
        <w:right w:val="none" w:sz="0" w:space="0" w:color="auto"/>
      </w:divBdr>
    </w:div>
    <w:div w:id="1828665682">
      <w:bodyDiv w:val="1"/>
      <w:marLeft w:val="0"/>
      <w:marRight w:val="0"/>
      <w:marTop w:val="0"/>
      <w:marBottom w:val="0"/>
      <w:divBdr>
        <w:top w:val="none" w:sz="0" w:space="0" w:color="auto"/>
        <w:left w:val="none" w:sz="0" w:space="0" w:color="auto"/>
        <w:bottom w:val="none" w:sz="0" w:space="0" w:color="auto"/>
        <w:right w:val="none" w:sz="0" w:space="0" w:color="auto"/>
      </w:divBdr>
    </w:div>
    <w:div w:id="1829324761">
      <w:bodyDiv w:val="1"/>
      <w:marLeft w:val="0"/>
      <w:marRight w:val="0"/>
      <w:marTop w:val="0"/>
      <w:marBottom w:val="0"/>
      <w:divBdr>
        <w:top w:val="none" w:sz="0" w:space="0" w:color="auto"/>
        <w:left w:val="none" w:sz="0" w:space="0" w:color="auto"/>
        <w:bottom w:val="none" w:sz="0" w:space="0" w:color="auto"/>
        <w:right w:val="none" w:sz="0" w:space="0" w:color="auto"/>
      </w:divBdr>
    </w:div>
    <w:div w:id="1830518670">
      <w:bodyDiv w:val="1"/>
      <w:marLeft w:val="0"/>
      <w:marRight w:val="0"/>
      <w:marTop w:val="0"/>
      <w:marBottom w:val="0"/>
      <w:divBdr>
        <w:top w:val="none" w:sz="0" w:space="0" w:color="auto"/>
        <w:left w:val="none" w:sz="0" w:space="0" w:color="auto"/>
        <w:bottom w:val="none" w:sz="0" w:space="0" w:color="auto"/>
        <w:right w:val="none" w:sz="0" w:space="0" w:color="auto"/>
      </w:divBdr>
    </w:div>
    <w:div w:id="1831019001">
      <w:bodyDiv w:val="1"/>
      <w:marLeft w:val="0"/>
      <w:marRight w:val="0"/>
      <w:marTop w:val="0"/>
      <w:marBottom w:val="0"/>
      <w:divBdr>
        <w:top w:val="none" w:sz="0" w:space="0" w:color="auto"/>
        <w:left w:val="none" w:sz="0" w:space="0" w:color="auto"/>
        <w:bottom w:val="none" w:sz="0" w:space="0" w:color="auto"/>
        <w:right w:val="none" w:sz="0" w:space="0" w:color="auto"/>
      </w:divBdr>
    </w:div>
    <w:div w:id="1831092501">
      <w:bodyDiv w:val="1"/>
      <w:marLeft w:val="0"/>
      <w:marRight w:val="0"/>
      <w:marTop w:val="0"/>
      <w:marBottom w:val="0"/>
      <w:divBdr>
        <w:top w:val="none" w:sz="0" w:space="0" w:color="auto"/>
        <w:left w:val="none" w:sz="0" w:space="0" w:color="auto"/>
        <w:bottom w:val="none" w:sz="0" w:space="0" w:color="auto"/>
        <w:right w:val="none" w:sz="0" w:space="0" w:color="auto"/>
      </w:divBdr>
    </w:div>
    <w:div w:id="1831408552">
      <w:bodyDiv w:val="1"/>
      <w:marLeft w:val="0"/>
      <w:marRight w:val="0"/>
      <w:marTop w:val="0"/>
      <w:marBottom w:val="0"/>
      <w:divBdr>
        <w:top w:val="none" w:sz="0" w:space="0" w:color="auto"/>
        <w:left w:val="none" w:sz="0" w:space="0" w:color="auto"/>
        <w:bottom w:val="none" w:sz="0" w:space="0" w:color="auto"/>
        <w:right w:val="none" w:sz="0" w:space="0" w:color="auto"/>
      </w:divBdr>
    </w:div>
    <w:div w:id="1832060949">
      <w:bodyDiv w:val="1"/>
      <w:marLeft w:val="0"/>
      <w:marRight w:val="0"/>
      <w:marTop w:val="0"/>
      <w:marBottom w:val="0"/>
      <w:divBdr>
        <w:top w:val="none" w:sz="0" w:space="0" w:color="auto"/>
        <w:left w:val="none" w:sz="0" w:space="0" w:color="auto"/>
        <w:bottom w:val="none" w:sz="0" w:space="0" w:color="auto"/>
        <w:right w:val="none" w:sz="0" w:space="0" w:color="auto"/>
      </w:divBdr>
    </w:div>
    <w:div w:id="1832790272">
      <w:bodyDiv w:val="1"/>
      <w:marLeft w:val="0"/>
      <w:marRight w:val="0"/>
      <w:marTop w:val="0"/>
      <w:marBottom w:val="0"/>
      <w:divBdr>
        <w:top w:val="none" w:sz="0" w:space="0" w:color="auto"/>
        <w:left w:val="none" w:sz="0" w:space="0" w:color="auto"/>
        <w:bottom w:val="none" w:sz="0" w:space="0" w:color="auto"/>
        <w:right w:val="none" w:sz="0" w:space="0" w:color="auto"/>
      </w:divBdr>
    </w:div>
    <w:div w:id="1832942798">
      <w:bodyDiv w:val="1"/>
      <w:marLeft w:val="0"/>
      <w:marRight w:val="0"/>
      <w:marTop w:val="0"/>
      <w:marBottom w:val="0"/>
      <w:divBdr>
        <w:top w:val="none" w:sz="0" w:space="0" w:color="auto"/>
        <w:left w:val="none" w:sz="0" w:space="0" w:color="auto"/>
        <w:bottom w:val="none" w:sz="0" w:space="0" w:color="auto"/>
        <w:right w:val="none" w:sz="0" w:space="0" w:color="auto"/>
      </w:divBdr>
    </w:div>
    <w:div w:id="1834638369">
      <w:bodyDiv w:val="1"/>
      <w:marLeft w:val="0"/>
      <w:marRight w:val="0"/>
      <w:marTop w:val="0"/>
      <w:marBottom w:val="0"/>
      <w:divBdr>
        <w:top w:val="none" w:sz="0" w:space="0" w:color="auto"/>
        <w:left w:val="none" w:sz="0" w:space="0" w:color="auto"/>
        <w:bottom w:val="none" w:sz="0" w:space="0" w:color="auto"/>
        <w:right w:val="none" w:sz="0" w:space="0" w:color="auto"/>
      </w:divBdr>
    </w:div>
    <w:div w:id="1838617769">
      <w:bodyDiv w:val="1"/>
      <w:marLeft w:val="0"/>
      <w:marRight w:val="0"/>
      <w:marTop w:val="0"/>
      <w:marBottom w:val="0"/>
      <w:divBdr>
        <w:top w:val="none" w:sz="0" w:space="0" w:color="auto"/>
        <w:left w:val="none" w:sz="0" w:space="0" w:color="auto"/>
        <w:bottom w:val="none" w:sz="0" w:space="0" w:color="auto"/>
        <w:right w:val="none" w:sz="0" w:space="0" w:color="auto"/>
      </w:divBdr>
    </w:div>
    <w:div w:id="1839075494">
      <w:bodyDiv w:val="1"/>
      <w:marLeft w:val="0"/>
      <w:marRight w:val="0"/>
      <w:marTop w:val="0"/>
      <w:marBottom w:val="0"/>
      <w:divBdr>
        <w:top w:val="none" w:sz="0" w:space="0" w:color="auto"/>
        <w:left w:val="none" w:sz="0" w:space="0" w:color="auto"/>
        <w:bottom w:val="none" w:sz="0" w:space="0" w:color="auto"/>
        <w:right w:val="none" w:sz="0" w:space="0" w:color="auto"/>
      </w:divBdr>
    </w:div>
    <w:div w:id="1840193455">
      <w:bodyDiv w:val="1"/>
      <w:marLeft w:val="0"/>
      <w:marRight w:val="0"/>
      <w:marTop w:val="0"/>
      <w:marBottom w:val="0"/>
      <w:divBdr>
        <w:top w:val="none" w:sz="0" w:space="0" w:color="auto"/>
        <w:left w:val="none" w:sz="0" w:space="0" w:color="auto"/>
        <w:bottom w:val="none" w:sz="0" w:space="0" w:color="auto"/>
        <w:right w:val="none" w:sz="0" w:space="0" w:color="auto"/>
      </w:divBdr>
    </w:div>
    <w:div w:id="1840653006">
      <w:bodyDiv w:val="1"/>
      <w:marLeft w:val="0"/>
      <w:marRight w:val="0"/>
      <w:marTop w:val="0"/>
      <w:marBottom w:val="0"/>
      <w:divBdr>
        <w:top w:val="none" w:sz="0" w:space="0" w:color="auto"/>
        <w:left w:val="none" w:sz="0" w:space="0" w:color="auto"/>
        <w:bottom w:val="none" w:sz="0" w:space="0" w:color="auto"/>
        <w:right w:val="none" w:sz="0" w:space="0" w:color="auto"/>
      </w:divBdr>
    </w:div>
    <w:div w:id="1842696523">
      <w:bodyDiv w:val="1"/>
      <w:marLeft w:val="0"/>
      <w:marRight w:val="0"/>
      <w:marTop w:val="0"/>
      <w:marBottom w:val="0"/>
      <w:divBdr>
        <w:top w:val="none" w:sz="0" w:space="0" w:color="auto"/>
        <w:left w:val="none" w:sz="0" w:space="0" w:color="auto"/>
        <w:bottom w:val="none" w:sz="0" w:space="0" w:color="auto"/>
        <w:right w:val="none" w:sz="0" w:space="0" w:color="auto"/>
      </w:divBdr>
    </w:div>
    <w:div w:id="1845123270">
      <w:bodyDiv w:val="1"/>
      <w:marLeft w:val="0"/>
      <w:marRight w:val="0"/>
      <w:marTop w:val="0"/>
      <w:marBottom w:val="0"/>
      <w:divBdr>
        <w:top w:val="none" w:sz="0" w:space="0" w:color="auto"/>
        <w:left w:val="none" w:sz="0" w:space="0" w:color="auto"/>
        <w:bottom w:val="none" w:sz="0" w:space="0" w:color="auto"/>
        <w:right w:val="none" w:sz="0" w:space="0" w:color="auto"/>
      </w:divBdr>
    </w:div>
    <w:div w:id="1845318530">
      <w:bodyDiv w:val="1"/>
      <w:marLeft w:val="0"/>
      <w:marRight w:val="0"/>
      <w:marTop w:val="0"/>
      <w:marBottom w:val="0"/>
      <w:divBdr>
        <w:top w:val="none" w:sz="0" w:space="0" w:color="auto"/>
        <w:left w:val="none" w:sz="0" w:space="0" w:color="auto"/>
        <w:bottom w:val="none" w:sz="0" w:space="0" w:color="auto"/>
        <w:right w:val="none" w:sz="0" w:space="0" w:color="auto"/>
      </w:divBdr>
    </w:div>
    <w:div w:id="1845365546">
      <w:bodyDiv w:val="1"/>
      <w:marLeft w:val="0"/>
      <w:marRight w:val="0"/>
      <w:marTop w:val="0"/>
      <w:marBottom w:val="0"/>
      <w:divBdr>
        <w:top w:val="none" w:sz="0" w:space="0" w:color="auto"/>
        <w:left w:val="none" w:sz="0" w:space="0" w:color="auto"/>
        <w:bottom w:val="none" w:sz="0" w:space="0" w:color="auto"/>
        <w:right w:val="none" w:sz="0" w:space="0" w:color="auto"/>
      </w:divBdr>
    </w:div>
    <w:div w:id="1845827298">
      <w:bodyDiv w:val="1"/>
      <w:marLeft w:val="0"/>
      <w:marRight w:val="0"/>
      <w:marTop w:val="0"/>
      <w:marBottom w:val="0"/>
      <w:divBdr>
        <w:top w:val="none" w:sz="0" w:space="0" w:color="auto"/>
        <w:left w:val="none" w:sz="0" w:space="0" w:color="auto"/>
        <w:bottom w:val="none" w:sz="0" w:space="0" w:color="auto"/>
        <w:right w:val="none" w:sz="0" w:space="0" w:color="auto"/>
      </w:divBdr>
    </w:div>
    <w:div w:id="1846747932">
      <w:bodyDiv w:val="1"/>
      <w:marLeft w:val="0"/>
      <w:marRight w:val="0"/>
      <w:marTop w:val="0"/>
      <w:marBottom w:val="0"/>
      <w:divBdr>
        <w:top w:val="none" w:sz="0" w:space="0" w:color="auto"/>
        <w:left w:val="none" w:sz="0" w:space="0" w:color="auto"/>
        <w:bottom w:val="none" w:sz="0" w:space="0" w:color="auto"/>
        <w:right w:val="none" w:sz="0" w:space="0" w:color="auto"/>
      </w:divBdr>
    </w:div>
    <w:div w:id="1846901482">
      <w:bodyDiv w:val="1"/>
      <w:marLeft w:val="0"/>
      <w:marRight w:val="0"/>
      <w:marTop w:val="0"/>
      <w:marBottom w:val="0"/>
      <w:divBdr>
        <w:top w:val="none" w:sz="0" w:space="0" w:color="auto"/>
        <w:left w:val="none" w:sz="0" w:space="0" w:color="auto"/>
        <w:bottom w:val="none" w:sz="0" w:space="0" w:color="auto"/>
        <w:right w:val="none" w:sz="0" w:space="0" w:color="auto"/>
      </w:divBdr>
    </w:div>
    <w:div w:id="1847943925">
      <w:bodyDiv w:val="1"/>
      <w:marLeft w:val="0"/>
      <w:marRight w:val="0"/>
      <w:marTop w:val="0"/>
      <w:marBottom w:val="0"/>
      <w:divBdr>
        <w:top w:val="none" w:sz="0" w:space="0" w:color="auto"/>
        <w:left w:val="none" w:sz="0" w:space="0" w:color="auto"/>
        <w:bottom w:val="none" w:sz="0" w:space="0" w:color="auto"/>
        <w:right w:val="none" w:sz="0" w:space="0" w:color="auto"/>
      </w:divBdr>
    </w:div>
    <w:div w:id="1848715808">
      <w:bodyDiv w:val="1"/>
      <w:marLeft w:val="0"/>
      <w:marRight w:val="0"/>
      <w:marTop w:val="0"/>
      <w:marBottom w:val="0"/>
      <w:divBdr>
        <w:top w:val="none" w:sz="0" w:space="0" w:color="auto"/>
        <w:left w:val="none" w:sz="0" w:space="0" w:color="auto"/>
        <w:bottom w:val="none" w:sz="0" w:space="0" w:color="auto"/>
        <w:right w:val="none" w:sz="0" w:space="0" w:color="auto"/>
      </w:divBdr>
    </w:div>
    <w:div w:id="1849557157">
      <w:bodyDiv w:val="1"/>
      <w:marLeft w:val="0"/>
      <w:marRight w:val="0"/>
      <w:marTop w:val="0"/>
      <w:marBottom w:val="0"/>
      <w:divBdr>
        <w:top w:val="none" w:sz="0" w:space="0" w:color="auto"/>
        <w:left w:val="none" w:sz="0" w:space="0" w:color="auto"/>
        <w:bottom w:val="none" w:sz="0" w:space="0" w:color="auto"/>
        <w:right w:val="none" w:sz="0" w:space="0" w:color="auto"/>
      </w:divBdr>
    </w:div>
    <w:div w:id="1849827381">
      <w:bodyDiv w:val="1"/>
      <w:marLeft w:val="0"/>
      <w:marRight w:val="0"/>
      <w:marTop w:val="0"/>
      <w:marBottom w:val="0"/>
      <w:divBdr>
        <w:top w:val="none" w:sz="0" w:space="0" w:color="auto"/>
        <w:left w:val="none" w:sz="0" w:space="0" w:color="auto"/>
        <w:bottom w:val="none" w:sz="0" w:space="0" w:color="auto"/>
        <w:right w:val="none" w:sz="0" w:space="0" w:color="auto"/>
      </w:divBdr>
    </w:div>
    <w:div w:id="1851796535">
      <w:bodyDiv w:val="1"/>
      <w:marLeft w:val="0"/>
      <w:marRight w:val="0"/>
      <w:marTop w:val="0"/>
      <w:marBottom w:val="0"/>
      <w:divBdr>
        <w:top w:val="none" w:sz="0" w:space="0" w:color="auto"/>
        <w:left w:val="none" w:sz="0" w:space="0" w:color="auto"/>
        <w:bottom w:val="none" w:sz="0" w:space="0" w:color="auto"/>
        <w:right w:val="none" w:sz="0" w:space="0" w:color="auto"/>
      </w:divBdr>
    </w:div>
    <w:div w:id="1852528047">
      <w:bodyDiv w:val="1"/>
      <w:marLeft w:val="0"/>
      <w:marRight w:val="0"/>
      <w:marTop w:val="0"/>
      <w:marBottom w:val="0"/>
      <w:divBdr>
        <w:top w:val="none" w:sz="0" w:space="0" w:color="auto"/>
        <w:left w:val="none" w:sz="0" w:space="0" w:color="auto"/>
        <w:bottom w:val="none" w:sz="0" w:space="0" w:color="auto"/>
        <w:right w:val="none" w:sz="0" w:space="0" w:color="auto"/>
      </w:divBdr>
    </w:div>
    <w:div w:id="1853299475">
      <w:bodyDiv w:val="1"/>
      <w:marLeft w:val="0"/>
      <w:marRight w:val="0"/>
      <w:marTop w:val="0"/>
      <w:marBottom w:val="0"/>
      <w:divBdr>
        <w:top w:val="none" w:sz="0" w:space="0" w:color="auto"/>
        <w:left w:val="none" w:sz="0" w:space="0" w:color="auto"/>
        <w:bottom w:val="none" w:sz="0" w:space="0" w:color="auto"/>
        <w:right w:val="none" w:sz="0" w:space="0" w:color="auto"/>
      </w:divBdr>
    </w:div>
    <w:div w:id="1854997176">
      <w:bodyDiv w:val="1"/>
      <w:marLeft w:val="0"/>
      <w:marRight w:val="0"/>
      <w:marTop w:val="0"/>
      <w:marBottom w:val="0"/>
      <w:divBdr>
        <w:top w:val="none" w:sz="0" w:space="0" w:color="auto"/>
        <w:left w:val="none" w:sz="0" w:space="0" w:color="auto"/>
        <w:bottom w:val="none" w:sz="0" w:space="0" w:color="auto"/>
        <w:right w:val="none" w:sz="0" w:space="0" w:color="auto"/>
      </w:divBdr>
    </w:div>
    <w:div w:id="1857229917">
      <w:bodyDiv w:val="1"/>
      <w:marLeft w:val="0"/>
      <w:marRight w:val="0"/>
      <w:marTop w:val="0"/>
      <w:marBottom w:val="0"/>
      <w:divBdr>
        <w:top w:val="none" w:sz="0" w:space="0" w:color="auto"/>
        <w:left w:val="none" w:sz="0" w:space="0" w:color="auto"/>
        <w:bottom w:val="none" w:sz="0" w:space="0" w:color="auto"/>
        <w:right w:val="none" w:sz="0" w:space="0" w:color="auto"/>
      </w:divBdr>
    </w:div>
    <w:div w:id="1859195594">
      <w:bodyDiv w:val="1"/>
      <w:marLeft w:val="0"/>
      <w:marRight w:val="0"/>
      <w:marTop w:val="0"/>
      <w:marBottom w:val="0"/>
      <w:divBdr>
        <w:top w:val="none" w:sz="0" w:space="0" w:color="auto"/>
        <w:left w:val="none" w:sz="0" w:space="0" w:color="auto"/>
        <w:bottom w:val="none" w:sz="0" w:space="0" w:color="auto"/>
        <w:right w:val="none" w:sz="0" w:space="0" w:color="auto"/>
      </w:divBdr>
    </w:div>
    <w:div w:id="1859275072">
      <w:bodyDiv w:val="1"/>
      <w:marLeft w:val="0"/>
      <w:marRight w:val="0"/>
      <w:marTop w:val="0"/>
      <w:marBottom w:val="0"/>
      <w:divBdr>
        <w:top w:val="none" w:sz="0" w:space="0" w:color="auto"/>
        <w:left w:val="none" w:sz="0" w:space="0" w:color="auto"/>
        <w:bottom w:val="none" w:sz="0" w:space="0" w:color="auto"/>
        <w:right w:val="none" w:sz="0" w:space="0" w:color="auto"/>
      </w:divBdr>
    </w:div>
    <w:div w:id="1861164200">
      <w:bodyDiv w:val="1"/>
      <w:marLeft w:val="0"/>
      <w:marRight w:val="0"/>
      <w:marTop w:val="0"/>
      <w:marBottom w:val="0"/>
      <w:divBdr>
        <w:top w:val="none" w:sz="0" w:space="0" w:color="auto"/>
        <w:left w:val="none" w:sz="0" w:space="0" w:color="auto"/>
        <w:bottom w:val="none" w:sz="0" w:space="0" w:color="auto"/>
        <w:right w:val="none" w:sz="0" w:space="0" w:color="auto"/>
      </w:divBdr>
    </w:div>
    <w:div w:id="1865552567">
      <w:bodyDiv w:val="1"/>
      <w:marLeft w:val="0"/>
      <w:marRight w:val="0"/>
      <w:marTop w:val="0"/>
      <w:marBottom w:val="0"/>
      <w:divBdr>
        <w:top w:val="none" w:sz="0" w:space="0" w:color="auto"/>
        <w:left w:val="none" w:sz="0" w:space="0" w:color="auto"/>
        <w:bottom w:val="none" w:sz="0" w:space="0" w:color="auto"/>
        <w:right w:val="none" w:sz="0" w:space="0" w:color="auto"/>
      </w:divBdr>
    </w:div>
    <w:div w:id="1865827886">
      <w:bodyDiv w:val="1"/>
      <w:marLeft w:val="0"/>
      <w:marRight w:val="0"/>
      <w:marTop w:val="0"/>
      <w:marBottom w:val="0"/>
      <w:divBdr>
        <w:top w:val="none" w:sz="0" w:space="0" w:color="auto"/>
        <w:left w:val="none" w:sz="0" w:space="0" w:color="auto"/>
        <w:bottom w:val="none" w:sz="0" w:space="0" w:color="auto"/>
        <w:right w:val="none" w:sz="0" w:space="0" w:color="auto"/>
      </w:divBdr>
    </w:div>
    <w:div w:id="1866669552">
      <w:bodyDiv w:val="1"/>
      <w:marLeft w:val="0"/>
      <w:marRight w:val="0"/>
      <w:marTop w:val="0"/>
      <w:marBottom w:val="0"/>
      <w:divBdr>
        <w:top w:val="none" w:sz="0" w:space="0" w:color="auto"/>
        <w:left w:val="none" w:sz="0" w:space="0" w:color="auto"/>
        <w:bottom w:val="none" w:sz="0" w:space="0" w:color="auto"/>
        <w:right w:val="none" w:sz="0" w:space="0" w:color="auto"/>
      </w:divBdr>
    </w:div>
    <w:div w:id="1867328831">
      <w:bodyDiv w:val="1"/>
      <w:marLeft w:val="0"/>
      <w:marRight w:val="0"/>
      <w:marTop w:val="0"/>
      <w:marBottom w:val="0"/>
      <w:divBdr>
        <w:top w:val="none" w:sz="0" w:space="0" w:color="auto"/>
        <w:left w:val="none" w:sz="0" w:space="0" w:color="auto"/>
        <w:bottom w:val="none" w:sz="0" w:space="0" w:color="auto"/>
        <w:right w:val="none" w:sz="0" w:space="0" w:color="auto"/>
      </w:divBdr>
    </w:div>
    <w:div w:id="1868254040">
      <w:bodyDiv w:val="1"/>
      <w:marLeft w:val="0"/>
      <w:marRight w:val="0"/>
      <w:marTop w:val="0"/>
      <w:marBottom w:val="0"/>
      <w:divBdr>
        <w:top w:val="none" w:sz="0" w:space="0" w:color="auto"/>
        <w:left w:val="none" w:sz="0" w:space="0" w:color="auto"/>
        <w:bottom w:val="none" w:sz="0" w:space="0" w:color="auto"/>
        <w:right w:val="none" w:sz="0" w:space="0" w:color="auto"/>
      </w:divBdr>
    </w:div>
    <w:div w:id="1868517774">
      <w:bodyDiv w:val="1"/>
      <w:marLeft w:val="0"/>
      <w:marRight w:val="0"/>
      <w:marTop w:val="0"/>
      <w:marBottom w:val="0"/>
      <w:divBdr>
        <w:top w:val="none" w:sz="0" w:space="0" w:color="auto"/>
        <w:left w:val="none" w:sz="0" w:space="0" w:color="auto"/>
        <w:bottom w:val="none" w:sz="0" w:space="0" w:color="auto"/>
        <w:right w:val="none" w:sz="0" w:space="0" w:color="auto"/>
      </w:divBdr>
    </w:div>
    <w:div w:id="1869223779">
      <w:bodyDiv w:val="1"/>
      <w:marLeft w:val="0"/>
      <w:marRight w:val="0"/>
      <w:marTop w:val="0"/>
      <w:marBottom w:val="0"/>
      <w:divBdr>
        <w:top w:val="none" w:sz="0" w:space="0" w:color="auto"/>
        <w:left w:val="none" w:sz="0" w:space="0" w:color="auto"/>
        <w:bottom w:val="none" w:sz="0" w:space="0" w:color="auto"/>
        <w:right w:val="none" w:sz="0" w:space="0" w:color="auto"/>
      </w:divBdr>
    </w:div>
    <w:div w:id="1869490322">
      <w:bodyDiv w:val="1"/>
      <w:marLeft w:val="0"/>
      <w:marRight w:val="0"/>
      <w:marTop w:val="0"/>
      <w:marBottom w:val="0"/>
      <w:divBdr>
        <w:top w:val="none" w:sz="0" w:space="0" w:color="auto"/>
        <w:left w:val="none" w:sz="0" w:space="0" w:color="auto"/>
        <w:bottom w:val="none" w:sz="0" w:space="0" w:color="auto"/>
        <w:right w:val="none" w:sz="0" w:space="0" w:color="auto"/>
      </w:divBdr>
    </w:div>
    <w:div w:id="1870948646">
      <w:bodyDiv w:val="1"/>
      <w:marLeft w:val="0"/>
      <w:marRight w:val="0"/>
      <w:marTop w:val="0"/>
      <w:marBottom w:val="0"/>
      <w:divBdr>
        <w:top w:val="none" w:sz="0" w:space="0" w:color="auto"/>
        <w:left w:val="none" w:sz="0" w:space="0" w:color="auto"/>
        <w:bottom w:val="none" w:sz="0" w:space="0" w:color="auto"/>
        <w:right w:val="none" w:sz="0" w:space="0" w:color="auto"/>
      </w:divBdr>
    </w:div>
    <w:div w:id="1872106186">
      <w:bodyDiv w:val="1"/>
      <w:marLeft w:val="0"/>
      <w:marRight w:val="0"/>
      <w:marTop w:val="0"/>
      <w:marBottom w:val="0"/>
      <w:divBdr>
        <w:top w:val="none" w:sz="0" w:space="0" w:color="auto"/>
        <w:left w:val="none" w:sz="0" w:space="0" w:color="auto"/>
        <w:bottom w:val="none" w:sz="0" w:space="0" w:color="auto"/>
        <w:right w:val="none" w:sz="0" w:space="0" w:color="auto"/>
      </w:divBdr>
    </w:div>
    <w:div w:id="1872302209">
      <w:bodyDiv w:val="1"/>
      <w:marLeft w:val="0"/>
      <w:marRight w:val="0"/>
      <w:marTop w:val="0"/>
      <w:marBottom w:val="0"/>
      <w:divBdr>
        <w:top w:val="none" w:sz="0" w:space="0" w:color="auto"/>
        <w:left w:val="none" w:sz="0" w:space="0" w:color="auto"/>
        <w:bottom w:val="none" w:sz="0" w:space="0" w:color="auto"/>
        <w:right w:val="none" w:sz="0" w:space="0" w:color="auto"/>
      </w:divBdr>
    </w:div>
    <w:div w:id="1873489929">
      <w:bodyDiv w:val="1"/>
      <w:marLeft w:val="0"/>
      <w:marRight w:val="0"/>
      <w:marTop w:val="0"/>
      <w:marBottom w:val="0"/>
      <w:divBdr>
        <w:top w:val="none" w:sz="0" w:space="0" w:color="auto"/>
        <w:left w:val="none" w:sz="0" w:space="0" w:color="auto"/>
        <w:bottom w:val="none" w:sz="0" w:space="0" w:color="auto"/>
        <w:right w:val="none" w:sz="0" w:space="0" w:color="auto"/>
      </w:divBdr>
    </w:div>
    <w:div w:id="1876844285">
      <w:bodyDiv w:val="1"/>
      <w:marLeft w:val="0"/>
      <w:marRight w:val="0"/>
      <w:marTop w:val="0"/>
      <w:marBottom w:val="0"/>
      <w:divBdr>
        <w:top w:val="none" w:sz="0" w:space="0" w:color="auto"/>
        <w:left w:val="none" w:sz="0" w:space="0" w:color="auto"/>
        <w:bottom w:val="none" w:sz="0" w:space="0" w:color="auto"/>
        <w:right w:val="none" w:sz="0" w:space="0" w:color="auto"/>
      </w:divBdr>
    </w:div>
    <w:div w:id="1877110332">
      <w:bodyDiv w:val="1"/>
      <w:marLeft w:val="0"/>
      <w:marRight w:val="0"/>
      <w:marTop w:val="0"/>
      <w:marBottom w:val="0"/>
      <w:divBdr>
        <w:top w:val="none" w:sz="0" w:space="0" w:color="auto"/>
        <w:left w:val="none" w:sz="0" w:space="0" w:color="auto"/>
        <w:bottom w:val="none" w:sz="0" w:space="0" w:color="auto"/>
        <w:right w:val="none" w:sz="0" w:space="0" w:color="auto"/>
      </w:divBdr>
    </w:div>
    <w:div w:id="1878202945">
      <w:bodyDiv w:val="1"/>
      <w:marLeft w:val="0"/>
      <w:marRight w:val="0"/>
      <w:marTop w:val="0"/>
      <w:marBottom w:val="0"/>
      <w:divBdr>
        <w:top w:val="none" w:sz="0" w:space="0" w:color="auto"/>
        <w:left w:val="none" w:sz="0" w:space="0" w:color="auto"/>
        <w:bottom w:val="none" w:sz="0" w:space="0" w:color="auto"/>
        <w:right w:val="none" w:sz="0" w:space="0" w:color="auto"/>
      </w:divBdr>
    </w:div>
    <w:div w:id="1878619560">
      <w:bodyDiv w:val="1"/>
      <w:marLeft w:val="0"/>
      <w:marRight w:val="0"/>
      <w:marTop w:val="0"/>
      <w:marBottom w:val="0"/>
      <w:divBdr>
        <w:top w:val="none" w:sz="0" w:space="0" w:color="auto"/>
        <w:left w:val="none" w:sz="0" w:space="0" w:color="auto"/>
        <w:bottom w:val="none" w:sz="0" w:space="0" w:color="auto"/>
        <w:right w:val="none" w:sz="0" w:space="0" w:color="auto"/>
      </w:divBdr>
    </w:div>
    <w:div w:id="1878739608">
      <w:bodyDiv w:val="1"/>
      <w:marLeft w:val="0"/>
      <w:marRight w:val="0"/>
      <w:marTop w:val="0"/>
      <w:marBottom w:val="0"/>
      <w:divBdr>
        <w:top w:val="none" w:sz="0" w:space="0" w:color="auto"/>
        <w:left w:val="none" w:sz="0" w:space="0" w:color="auto"/>
        <w:bottom w:val="none" w:sz="0" w:space="0" w:color="auto"/>
        <w:right w:val="none" w:sz="0" w:space="0" w:color="auto"/>
      </w:divBdr>
    </w:div>
    <w:div w:id="1879389518">
      <w:bodyDiv w:val="1"/>
      <w:marLeft w:val="0"/>
      <w:marRight w:val="0"/>
      <w:marTop w:val="0"/>
      <w:marBottom w:val="0"/>
      <w:divBdr>
        <w:top w:val="none" w:sz="0" w:space="0" w:color="auto"/>
        <w:left w:val="none" w:sz="0" w:space="0" w:color="auto"/>
        <w:bottom w:val="none" w:sz="0" w:space="0" w:color="auto"/>
        <w:right w:val="none" w:sz="0" w:space="0" w:color="auto"/>
      </w:divBdr>
    </w:div>
    <w:div w:id="1879580886">
      <w:bodyDiv w:val="1"/>
      <w:marLeft w:val="0"/>
      <w:marRight w:val="0"/>
      <w:marTop w:val="0"/>
      <w:marBottom w:val="0"/>
      <w:divBdr>
        <w:top w:val="none" w:sz="0" w:space="0" w:color="auto"/>
        <w:left w:val="none" w:sz="0" w:space="0" w:color="auto"/>
        <w:bottom w:val="none" w:sz="0" w:space="0" w:color="auto"/>
        <w:right w:val="none" w:sz="0" w:space="0" w:color="auto"/>
      </w:divBdr>
    </w:div>
    <w:div w:id="1879582120">
      <w:bodyDiv w:val="1"/>
      <w:marLeft w:val="0"/>
      <w:marRight w:val="0"/>
      <w:marTop w:val="0"/>
      <w:marBottom w:val="0"/>
      <w:divBdr>
        <w:top w:val="none" w:sz="0" w:space="0" w:color="auto"/>
        <w:left w:val="none" w:sz="0" w:space="0" w:color="auto"/>
        <w:bottom w:val="none" w:sz="0" w:space="0" w:color="auto"/>
        <w:right w:val="none" w:sz="0" w:space="0" w:color="auto"/>
      </w:divBdr>
    </w:div>
    <w:div w:id="1879777473">
      <w:bodyDiv w:val="1"/>
      <w:marLeft w:val="0"/>
      <w:marRight w:val="0"/>
      <w:marTop w:val="0"/>
      <w:marBottom w:val="0"/>
      <w:divBdr>
        <w:top w:val="none" w:sz="0" w:space="0" w:color="auto"/>
        <w:left w:val="none" w:sz="0" w:space="0" w:color="auto"/>
        <w:bottom w:val="none" w:sz="0" w:space="0" w:color="auto"/>
        <w:right w:val="none" w:sz="0" w:space="0" w:color="auto"/>
      </w:divBdr>
    </w:div>
    <w:div w:id="1882980785">
      <w:bodyDiv w:val="1"/>
      <w:marLeft w:val="0"/>
      <w:marRight w:val="0"/>
      <w:marTop w:val="0"/>
      <w:marBottom w:val="0"/>
      <w:divBdr>
        <w:top w:val="none" w:sz="0" w:space="0" w:color="auto"/>
        <w:left w:val="none" w:sz="0" w:space="0" w:color="auto"/>
        <w:bottom w:val="none" w:sz="0" w:space="0" w:color="auto"/>
        <w:right w:val="none" w:sz="0" w:space="0" w:color="auto"/>
      </w:divBdr>
    </w:div>
    <w:div w:id="1883130120">
      <w:bodyDiv w:val="1"/>
      <w:marLeft w:val="0"/>
      <w:marRight w:val="0"/>
      <w:marTop w:val="0"/>
      <w:marBottom w:val="0"/>
      <w:divBdr>
        <w:top w:val="none" w:sz="0" w:space="0" w:color="auto"/>
        <w:left w:val="none" w:sz="0" w:space="0" w:color="auto"/>
        <w:bottom w:val="none" w:sz="0" w:space="0" w:color="auto"/>
        <w:right w:val="none" w:sz="0" w:space="0" w:color="auto"/>
      </w:divBdr>
    </w:div>
    <w:div w:id="1884167845">
      <w:bodyDiv w:val="1"/>
      <w:marLeft w:val="0"/>
      <w:marRight w:val="0"/>
      <w:marTop w:val="0"/>
      <w:marBottom w:val="0"/>
      <w:divBdr>
        <w:top w:val="none" w:sz="0" w:space="0" w:color="auto"/>
        <w:left w:val="none" w:sz="0" w:space="0" w:color="auto"/>
        <w:bottom w:val="none" w:sz="0" w:space="0" w:color="auto"/>
        <w:right w:val="none" w:sz="0" w:space="0" w:color="auto"/>
      </w:divBdr>
    </w:div>
    <w:div w:id="1884559877">
      <w:bodyDiv w:val="1"/>
      <w:marLeft w:val="0"/>
      <w:marRight w:val="0"/>
      <w:marTop w:val="0"/>
      <w:marBottom w:val="0"/>
      <w:divBdr>
        <w:top w:val="none" w:sz="0" w:space="0" w:color="auto"/>
        <w:left w:val="none" w:sz="0" w:space="0" w:color="auto"/>
        <w:bottom w:val="none" w:sz="0" w:space="0" w:color="auto"/>
        <w:right w:val="none" w:sz="0" w:space="0" w:color="auto"/>
      </w:divBdr>
    </w:div>
    <w:div w:id="1885554419">
      <w:bodyDiv w:val="1"/>
      <w:marLeft w:val="0"/>
      <w:marRight w:val="0"/>
      <w:marTop w:val="0"/>
      <w:marBottom w:val="0"/>
      <w:divBdr>
        <w:top w:val="none" w:sz="0" w:space="0" w:color="auto"/>
        <w:left w:val="none" w:sz="0" w:space="0" w:color="auto"/>
        <w:bottom w:val="none" w:sz="0" w:space="0" w:color="auto"/>
        <w:right w:val="none" w:sz="0" w:space="0" w:color="auto"/>
      </w:divBdr>
    </w:div>
    <w:div w:id="1886142070">
      <w:bodyDiv w:val="1"/>
      <w:marLeft w:val="0"/>
      <w:marRight w:val="0"/>
      <w:marTop w:val="0"/>
      <w:marBottom w:val="0"/>
      <w:divBdr>
        <w:top w:val="none" w:sz="0" w:space="0" w:color="auto"/>
        <w:left w:val="none" w:sz="0" w:space="0" w:color="auto"/>
        <w:bottom w:val="none" w:sz="0" w:space="0" w:color="auto"/>
        <w:right w:val="none" w:sz="0" w:space="0" w:color="auto"/>
      </w:divBdr>
    </w:div>
    <w:div w:id="1891184539">
      <w:bodyDiv w:val="1"/>
      <w:marLeft w:val="0"/>
      <w:marRight w:val="0"/>
      <w:marTop w:val="0"/>
      <w:marBottom w:val="0"/>
      <w:divBdr>
        <w:top w:val="none" w:sz="0" w:space="0" w:color="auto"/>
        <w:left w:val="none" w:sz="0" w:space="0" w:color="auto"/>
        <w:bottom w:val="none" w:sz="0" w:space="0" w:color="auto"/>
        <w:right w:val="none" w:sz="0" w:space="0" w:color="auto"/>
      </w:divBdr>
    </w:div>
    <w:div w:id="1892031393">
      <w:bodyDiv w:val="1"/>
      <w:marLeft w:val="0"/>
      <w:marRight w:val="0"/>
      <w:marTop w:val="0"/>
      <w:marBottom w:val="0"/>
      <w:divBdr>
        <w:top w:val="none" w:sz="0" w:space="0" w:color="auto"/>
        <w:left w:val="none" w:sz="0" w:space="0" w:color="auto"/>
        <w:bottom w:val="none" w:sz="0" w:space="0" w:color="auto"/>
        <w:right w:val="none" w:sz="0" w:space="0" w:color="auto"/>
      </w:divBdr>
    </w:div>
    <w:div w:id="1893689116">
      <w:bodyDiv w:val="1"/>
      <w:marLeft w:val="0"/>
      <w:marRight w:val="0"/>
      <w:marTop w:val="0"/>
      <w:marBottom w:val="0"/>
      <w:divBdr>
        <w:top w:val="none" w:sz="0" w:space="0" w:color="auto"/>
        <w:left w:val="none" w:sz="0" w:space="0" w:color="auto"/>
        <w:bottom w:val="none" w:sz="0" w:space="0" w:color="auto"/>
        <w:right w:val="none" w:sz="0" w:space="0" w:color="auto"/>
      </w:divBdr>
    </w:div>
    <w:div w:id="1894460383">
      <w:bodyDiv w:val="1"/>
      <w:marLeft w:val="0"/>
      <w:marRight w:val="0"/>
      <w:marTop w:val="0"/>
      <w:marBottom w:val="0"/>
      <w:divBdr>
        <w:top w:val="none" w:sz="0" w:space="0" w:color="auto"/>
        <w:left w:val="none" w:sz="0" w:space="0" w:color="auto"/>
        <w:bottom w:val="none" w:sz="0" w:space="0" w:color="auto"/>
        <w:right w:val="none" w:sz="0" w:space="0" w:color="auto"/>
      </w:divBdr>
    </w:div>
    <w:div w:id="1894465010">
      <w:bodyDiv w:val="1"/>
      <w:marLeft w:val="0"/>
      <w:marRight w:val="0"/>
      <w:marTop w:val="0"/>
      <w:marBottom w:val="0"/>
      <w:divBdr>
        <w:top w:val="none" w:sz="0" w:space="0" w:color="auto"/>
        <w:left w:val="none" w:sz="0" w:space="0" w:color="auto"/>
        <w:bottom w:val="none" w:sz="0" w:space="0" w:color="auto"/>
        <w:right w:val="none" w:sz="0" w:space="0" w:color="auto"/>
      </w:divBdr>
    </w:div>
    <w:div w:id="1895307735">
      <w:bodyDiv w:val="1"/>
      <w:marLeft w:val="0"/>
      <w:marRight w:val="0"/>
      <w:marTop w:val="0"/>
      <w:marBottom w:val="0"/>
      <w:divBdr>
        <w:top w:val="none" w:sz="0" w:space="0" w:color="auto"/>
        <w:left w:val="none" w:sz="0" w:space="0" w:color="auto"/>
        <w:bottom w:val="none" w:sz="0" w:space="0" w:color="auto"/>
        <w:right w:val="none" w:sz="0" w:space="0" w:color="auto"/>
      </w:divBdr>
    </w:div>
    <w:div w:id="1896771883">
      <w:bodyDiv w:val="1"/>
      <w:marLeft w:val="0"/>
      <w:marRight w:val="0"/>
      <w:marTop w:val="0"/>
      <w:marBottom w:val="0"/>
      <w:divBdr>
        <w:top w:val="none" w:sz="0" w:space="0" w:color="auto"/>
        <w:left w:val="none" w:sz="0" w:space="0" w:color="auto"/>
        <w:bottom w:val="none" w:sz="0" w:space="0" w:color="auto"/>
        <w:right w:val="none" w:sz="0" w:space="0" w:color="auto"/>
      </w:divBdr>
    </w:div>
    <w:div w:id="1896892114">
      <w:bodyDiv w:val="1"/>
      <w:marLeft w:val="0"/>
      <w:marRight w:val="0"/>
      <w:marTop w:val="0"/>
      <w:marBottom w:val="0"/>
      <w:divBdr>
        <w:top w:val="none" w:sz="0" w:space="0" w:color="auto"/>
        <w:left w:val="none" w:sz="0" w:space="0" w:color="auto"/>
        <w:bottom w:val="none" w:sz="0" w:space="0" w:color="auto"/>
        <w:right w:val="none" w:sz="0" w:space="0" w:color="auto"/>
      </w:divBdr>
    </w:div>
    <w:div w:id="1898010161">
      <w:bodyDiv w:val="1"/>
      <w:marLeft w:val="0"/>
      <w:marRight w:val="0"/>
      <w:marTop w:val="0"/>
      <w:marBottom w:val="0"/>
      <w:divBdr>
        <w:top w:val="none" w:sz="0" w:space="0" w:color="auto"/>
        <w:left w:val="none" w:sz="0" w:space="0" w:color="auto"/>
        <w:bottom w:val="none" w:sz="0" w:space="0" w:color="auto"/>
        <w:right w:val="none" w:sz="0" w:space="0" w:color="auto"/>
      </w:divBdr>
    </w:div>
    <w:div w:id="1899391552">
      <w:bodyDiv w:val="1"/>
      <w:marLeft w:val="0"/>
      <w:marRight w:val="0"/>
      <w:marTop w:val="0"/>
      <w:marBottom w:val="0"/>
      <w:divBdr>
        <w:top w:val="none" w:sz="0" w:space="0" w:color="auto"/>
        <w:left w:val="none" w:sz="0" w:space="0" w:color="auto"/>
        <w:bottom w:val="none" w:sz="0" w:space="0" w:color="auto"/>
        <w:right w:val="none" w:sz="0" w:space="0" w:color="auto"/>
      </w:divBdr>
    </w:div>
    <w:div w:id="1899710041">
      <w:bodyDiv w:val="1"/>
      <w:marLeft w:val="0"/>
      <w:marRight w:val="0"/>
      <w:marTop w:val="0"/>
      <w:marBottom w:val="0"/>
      <w:divBdr>
        <w:top w:val="none" w:sz="0" w:space="0" w:color="auto"/>
        <w:left w:val="none" w:sz="0" w:space="0" w:color="auto"/>
        <w:bottom w:val="none" w:sz="0" w:space="0" w:color="auto"/>
        <w:right w:val="none" w:sz="0" w:space="0" w:color="auto"/>
      </w:divBdr>
    </w:div>
    <w:div w:id="1900826386">
      <w:bodyDiv w:val="1"/>
      <w:marLeft w:val="0"/>
      <w:marRight w:val="0"/>
      <w:marTop w:val="0"/>
      <w:marBottom w:val="0"/>
      <w:divBdr>
        <w:top w:val="none" w:sz="0" w:space="0" w:color="auto"/>
        <w:left w:val="none" w:sz="0" w:space="0" w:color="auto"/>
        <w:bottom w:val="none" w:sz="0" w:space="0" w:color="auto"/>
        <w:right w:val="none" w:sz="0" w:space="0" w:color="auto"/>
      </w:divBdr>
    </w:div>
    <w:div w:id="1902666314">
      <w:bodyDiv w:val="1"/>
      <w:marLeft w:val="0"/>
      <w:marRight w:val="0"/>
      <w:marTop w:val="0"/>
      <w:marBottom w:val="0"/>
      <w:divBdr>
        <w:top w:val="none" w:sz="0" w:space="0" w:color="auto"/>
        <w:left w:val="none" w:sz="0" w:space="0" w:color="auto"/>
        <w:bottom w:val="none" w:sz="0" w:space="0" w:color="auto"/>
        <w:right w:val="none" w:sz="0" w:space="0" w:color="auto"/>
      </w:divBdr>
    </w:div>
    <w:div w:id="1905288463">
      <w:bodyDiv w:val="1"/>
      <w:marLeft w:val="0"/>
      <w:marRight w:val="0"/>
      <w:marTop w:val="0"/>
      <w:marBottom w:val="0"/>
      <w:divBdr>
        <w:top w:val="none" w:sz="0" w:space="0" w:color="auto"/>
        <w:left w:val="none" w:sz="0" w:space="0" w:color="auto"/>
        <w:bottom w:val="none" w:sz="0" w:space="0" w:color="auto"/>
        <w:right w:val="none" w:sz="0" w:space="0" w:color="auto"/>
      </w:divBdr>
    </w:div>
    <w:div w:id="1905485868">
      <w:bodyDiv w:val="1"/>
      <w:marLeft w:val="0"/>
      <w:marRight w:val="0"/>
      <w:marTop w:val="0"/>
      <w:marBottom w:val="0"/>
      <w:divBdr>
        <w:top w:val="none" w:sz="0" w:space="0" w:color="auto"/>
        <w:left w:val="none" w:sz="0" w:space="0" w:color="auto"/>
        <w:bottom w:val="none" w:sz="0" w:space="0" w:color="auto"/>
        <w:right w:val="none" w:sz="0" w:space="0" w:color="auto"/>
      </w:divBdr>
    </w:div>
    <w:div w:id="1906800011">
      <w:bodyDiv w:val="1"/>
      <w:marLeft w:val="0"/>
      <w:marRight w:val="0"/>
      <w:marTop w:val="0"/>
      <w:marBottom w:val="0"/>
      <w:divBdr>
        <w:top w:val="none" w:sz="0" w:space="0" w:color="auto"/>
        <w:left w:val="none" w:sz="0" w:space="0" w:color="auto"/>
        <w:bottom w:val="none" w:sz="0" w:space="0" w:color="auto"/>
        <w:right w:val="none" w:sz="0" w:space="0" w:color="auto"/>
      </w:divBdr>
    </w:div>
    <w:div w:id="1906912326">
      <w:bodyDiv w:val="1"/>
      <w:marLeft w:val="0"/>
      <w:marRight w:val="0"/>
      <w:marTop w:val="0"/>
      <w:marBottom w:val="0"/>
      <w:divBdr>
        <w:top w:val="none" w:sz="0" w:space="0" w:color="auto"/>
        <w:left w:val="none" w:sz="0" w:space="0" w:color="auto"/>
        <w:bottom w:val="none" w:sz="0" w:space="0" w:color="auto"/>
        <w:right w:val="none" w:sz="0" w:space="0" w:color="auto"/>
      </w:divBdr>
    </w:div>
    <w:div w:id="1907376576">
      <w:bodyDiv w:val="1"/>
      <w:marLeft w:val="0"/>
      <w:marRight w:val="0"/>
      <w:marTop w:val="0"/>
      <w:marBottom w:val="0"/>
      <w:divBdr>
        <w:top w:val="none" w:sz="0" w:space="0" w:color="auto"/>
        <w:left w:val="none" w:sz="0" w:space="0" w:color="auto"/>
        <w:bottom w:val="none" w:sz="0" w:space="0" w:color="auto"/>
        <w:right w:val="none" w:sz="0" w:space="0" w:color="auto"/>
      </w:divBdr>
    </w:div>
    <w:div w:id="1908221518">
      <w:bodyDiv w:val="1"/>
      <w:marLeft w:val="0"/>
      <w:marRight w:val="0"/>
      <w:marTop w:val="0"/>
      <w:marBottom w:val="0"/>
      <w:divBdr>
        <w:top w:val="none" w:sz="0" w:space="0" w:color="auto"/>
        <w:left w:val="none" w:sz="0" w:space="0" w:color="auto"/>
        <w:bottom w:val="none" w:sz="0" w:space="0" w:color="auto"/>
        <w:right w:val="none" w:sz="0" w:space="0" w:color="auto"/>
      </w:divBdr>
    </w:div>
    <w:div w:id="1912231483">
      <w:bodyDiv w:val="1"/>
      <w:marLeft w:val="0"/>
      <w:marRight w:val="0"/>
      <w:marTop w:val="0"/>
      <w:marBottom w:val="0"/>
      <w:divBdr>
        <w:top w:val="none" w:sz="0" w:space="0" w:color="auto"/>
        <w:left w:val="none" w:sz="0" w:space="0" w:color="auto"/>
        <w:bottom w:val="none" w:sz="0" w:space="0" w:color="auto"/>
        <w:right w:val="none" w:sz="0" w:space="0" w:color="auto"/>
      </w:divBdr>
    </w:div>
    <w:div w:id="1912962844">
      <w:bodyDiv w:val="1"/>
      <w:marLeft w:val="0"/>
      <w:marRight w:val="0"/>
      <w:marTop w:val="0"/>
      <w:marBottom w:val="0"/>
      <w:divBdr>
        <w:top w:val="none" w:sz="0" w:space="0" w:color="auto"/>
        <w:left w:val="none" w:sz="0" w:space="0" w:color="auto"/>
        <w:bottom w:val="none" w:sz="0" w:space="0" w:color="auto"/>
        <w:right w:val="none" w:sz="0" w:space="0" w:color="auto"/>
      </w:divBdr>
    </w:div>
    <w:div w:id="1914856226">
      <w:bodyDiv w:val="1"/>
      <w:marLeft w:val="0"/>
      <w:marRight w:val="0"/>
      <w:marTop w:val="0"/>
      <w:marBottom w:val="0"/>
      <w:divBdr>
        <w:top w:val="none" w:sz="0" w:space="0" w:color="auto"/>
        <w:left w:val="none" w:sz="0" w:space="0" w:color="auto"/>
        <w:bottom w:val="none" w:sz="0" w:space="0" w:color="auto"/>
        <w:right w:val="none" w:sz="0" w:space="0" w:color="auto"/>
      </w:divBdr>
    </w:div>
    <w:div w:id="1914926905">
      <w:bodyDiv w:val="1"/>
      <w:marLeft w:val="0"/>
      <w:marRight w:val="0"/>
      <w:marTop w:val="0"/>
      <w:marBottom w:val="0"/>
      <w:divBdr>
        <w:top w:val="none" w:sz="0" w:space="0" w:color="auto"/>
        <w:left w:val="none" w:sz="0" w:space="0" w:color="auto"/>
        <w:bottom w:val="none" w:sz="0" w:space="0" w:color="auto"/>
        <w:right w:val="none" w:sz="0" w:space="0" w:color="auto"/>
      </w:divBdr>
    </w:div>
    <w:div w:id="1916276616">
      <w:bodyDiv w:val="1"/>
      <w:marLeft w:val="0"/>
      <w:marRight w:val="0"/>
      <w:marTop w:val="0"/>
      <w:marBottom w:val="0"/>
      <w:divBdr>
        <w:top w:val="none" w:sz="0" w:space="0" w:color="auto"/>
        <w:left w:val="none" w:sz="0" w:space="0" w:color="auto"/>
        <w:bottom w:val="none" w:sz="0" w:space="0" w:color="auto"/>
        <w:right w:val="none" w:sz="0" w:space="0" w:color="auto"/>
      </w:divBdr>
    </w:div>
    <w:div w:id="1916667481">
      <w:bodyDiv w:val="1"/>
      <w:marLeft w:val="0"/>
      <w:marRight w:val="0"/>
      <w:marTop w:val="0"/>
      <w:marBottom w:val="0"/>
      <w:divBdr>
        <w:top w:val="none" w:sz="0" w:space="0" w:color="auto"/>
        <w:left w:val="none" w:sz="0" w:space="0" w:color="auto"/>
        <w:bottom w:val="none" w:sz="0" w:space="0" w:color="auto"/>
        <w:right w:val="none" w:sz="0" w:space="0" w:color="auto"/>
      </w:divBdr>
    </w:div>
    <w:div w:id="1919052254">
      <w:bodyDiv w:val="1"/>
      <w:marLeft w:val="0"/>
      <w:marRight w:val="0"/>
      <w:marTop w:val="0"/>
      <w:marBottom w:val="0"/>
      <w:divBdr>
        <w:top w:val="none" w:sz="0" w:space="0" w:color="auto"/>
        <w:left w:val="none" w:sz="0" w:space="0" w:color="auto"/>
        <w:bottom w:val="none" w:sz="0" w:space="0" w:color="auto"/>
        <w:right w:val="none" w:sz="0" w:space="0" w:color="auto"/>
      </w:divBdr>
    </w:div>
    <w:div w:id="1919246352">
      <w:bodyDiv w:val="1"/>
      <w:marLeft w:val="0"/>
      <w:marRight w:val="0"/>
      <w:marTop w:val="0"/>
      <w:marBottom w:val="0"/>
      <w:divBdr>
        <w:top w:val="none" w:sz="0" w:space="0" w:color="auto"/>
        <w:left w:val="none" w:sz="0" w:space="0" w:color="auto"/>
        <w:bottom w:val="none" w:sz="0" w:space="0" w:color="auto"/>
        <w:right w:val="none" w:sz="0" w:space="0" w:color="auto"/>
      </w:divBdr>
    </w:div>
    <w:div w:id="1921909846">
      <w:bodyDiv w:val="1"/>
      <w:marLeft w:val="0"/>
      <w:marRight w:val="0"/>
      <w:marTop w:val="0"/>
      <w:marBottom w:val="0"/>
      <w:divBdr>
        <w:top w:val="none" w:sz="0" w:space="0" w:color="auto"/>
        <w:left w:val="none" w:sz="0" w:space="0" w:color="auto"/>
        <w:bottom w:val="none" w:sz="0" w:space="0" w:color="auto"/>
        <w:right w:val="none" w:sz="0" w:space="0" w:color="auto"/>
      </w:divBdr>
    </w:div>
    <w:div w:id="1922180344">
      <w:bodyDiv w:val="1"/>
      <w:marLeft w:val="0"/>
      <w:marRight w:val="0"/>
      <w:marTop w:val="0"/>
      <w:marBottom w:val="0"/>
      <w:divBdr>
        <w:top w:val="none" w:sz="0" w:space="0" w:color="auto"/>
        <w:left w:val="none" w:sz="0" w:space="0" w:color="auto"/>
        <w:bottom w:val="none" w:sz="0" w:space="0" w:color="auto"/>
        <w:right w:val="none" w:sz="0" w:space="0" w:color="auto"/>
      </w:divBdr>
    </w:div>
    <w:div w:id="1922716735">
      <w:bodyDiv w:val="1"/>
      <w:marLeft w:val="0"/>
      <w:marRight w:val="0"/>
      <w:marTop w:val="0"/>
      <w:marBottom w:val="0"/>
      <w:divBdr>
        <w:top w:val="none" w:sz="0" w:space="0" w:color="auto"/>
        <w:left w:val="none" w:sz="0" w:space="0" w:color="auto"/>
        <w:bottom w:val="none" w:sz="0" w:space="0" w:color="auto"/>
        <w:right w:val="none" w:sz="0" w:space="0" w:color="auto"/>
      </w:divBdr>
    </w:div>
    <w:div w:id="1923834989">
      <w:bodyDiv w:val="1"/>
      <w:marLeft w:val="0"/>
      <w:marRight w:val="0"/>
      <w:marTop w:val="0"/>
      <w:marBottom w:val="0"/>
      <w:divBdr>
        <w:top w:val="none" w:sz="0" w:space="0" w:color="auto"/>
        <w:left w:val="none" w:sz="0" w:space="0" w:color="auto"/>
        <w:bottom w:val="none" w:sz="0" w:space="0" w:color="auto"/>
        <w:right w:val="none" w:sz="0" w:space="0" w:color="auto"/>
      </w:divBdr>
    </w:div>
    <w:div w:id="1923876632">
      <w:bodyDiv w:val="1"/>
      <w:marLeft w:val="0"/>
      <w:marRight w:val="0"/>
      <w:marTop w:val="0"/>
      <w:marBottom w:val="0"/>
      <w:divBdr>
        <w:top w:val="none" w:sz="0" w:space="0" w:color="auto"/>
        <w:left w:val="none" w:sz="0" w:space="0" w:color="auto"/>
        <w:bottom w:val="none" w:sz="0" w:space="0" w:color="auto"/>
        <w:right w:val="none" w:sz="0" w:space="0" w:color="auto"/>
      </w:divBdr>
    </w:div>
    <w:div w:id="1924803607">
      <w:bodyDiv w:val="1"/>
      <w:marLeft w:val="0"/>
      <w:marRight w:val="0"/>
      <w:marTop w:val="0"/>
      <w:marBottom w:val="0"/>
      <w:divBdr>
        <w:top w:val="none" w:sz="0" w:space="0" w:color="auto"/>
        <w:left w:val="none" w:sz="0" w:space="0" w:color="auto"/>
        <w:bottom w:val="none" w:sz="0" w:space="0" w:color="auto"/>
        <w:right w:val="none" w:sz="0" w:space="0" w:color="auto"/>
      </w:divBdr>
    </w:div>
    <w:div w:id="1927155169">
      <w:bodyDiv w:val="1"/>
      <w:marLeft w:val="0"/>
      <w:marRight w:val="0"/>
      <w:marTop w:val="0"/>
      <w:marBottom w:val="0"/>
      <w:divBdr>
        <w:top w:val="none" w:sz="0" w:space="0" w:color="auto"/>
        <w:left w:val="none" w:sz="0" w:space="0" w:color="auto"/>
        <w:bottom w:val="none" w:sz="0" w:space="0" w:color="auto"/>
        <w:right w:val="none" w:sz="0" w:space="0" w:color="auto"/>
      </w:divBdr>
    </w:div>
    <w:div w:id="1927302336">
      <w:bodyDiv w:val="1"/>
      <w:marLeft w:val="0"/>
      <w:marRight w:val="0"/>
      <w:marTop w:val="0"/>
      <w:marBottom w:val="0"/>
      <w:divBdr>
        <w:top w:val="none" w:sz="0" w:space="0" w:color="auto"/>
        <w:left w:val="none" w:sz="0" w:space="0" w:color="auto"/>
        <w:bottom w:val="none" w:sz="0" w:space="0" w:color="auto"/>
        <w:right w:val="none" w:sz="0" w:space="0" w:color="auto"/>
      </w:divBdr>
    </w:div>
    <w:div w:id="1927572493">
      <w:bodyDiv w:val="1"/>
      <w:marLeft w:val="0"/>
      <w:marRight w:val="0"/>
      <w:marTop w:val="0"/>
      <w:marBottom w:val="0"/>
      <w:divBdr>
        <w:top w:val="none" w:sz="0" w:space="0" w:color="auto"/>
        <w:left w:val="none" w:sz="0" w:space="0" w:color="auto"/>
        <w:bottom w:val="none" w:sz="0" w:space="0" w:color="auto"/>
        <w:right w:val="none" w:sz="0" w:space="0" w:color="auto"/>
      </w:divBdr>
    </w:div>
    <w:div w:id="1928464809">
      <w:bodyDiv w:val="1"/>
      <w:marLeft w:val="0"/>
      <w:marRight w:val="0"/>
      <w:marTop w:val="0"/>
      <w:marBottom w:val="0"/>
      <w:divBdr>
        <w:top w:val="none" w:sz="0" w:space="0" w:color="auto"/>
        <w:left w:val="none" w:sz="0" w:space="0" w:color="auto"/>
        <w:bottom w:val="none" w:sz="0" w:space="0" w:color="auto"/>
        <w:right w:val="none" w:sz="0" w:space="0" w:color="auto"/>
      </w:divBdr>
    </w:div>
    <w:div w:id="1928733738">
      <w:bodyDiv w:val="1"/>
      <w:marLeft w:val="0"/>
      <w:marRight w:val="0"/>
      <w:marTop w:val="0"/>
      <w:marBottom w:val="0"/>
      <w:divBdr>
        <w:top w:val="none" w:sz="0" w:space="0" w:color="auto"/>
        <w:left w:val="none" w:sz="0" w:space="0" w:color="auto"/>
        <w:bottom w:val="none" w:sz="0" w:space="0" w:color="auto"/>
        <w:right w:val="none" w:sz="0" w:space="0" w:color="auto"/>
      </w:divBdr>
    </w:div>
    <w:div w:id="1931616889">
      <w:bodyDiv w:val="1"/>
      <w:marLeft w:val="0"/>
      <w:marRight w:val="0"/>
      <w:marTop w:val="0"/>
      <w:marBottom w:val="0"/>
      <w:divBdr>
        <w:top w:val="none" w:sz="0" w:space="0" w:color="auto"/>
        <w:left w:val="none" w:sz="0" w:space="0" w:color="auto"/>
        <w:bottom w:val="none" w:sz="0" w:space="0" w:color="auto"/>
        <w:right w:val="none" w:sz="0" w:space="0" w:color="auto"/>
      </w:divBdr>
    </w:div>
    <w:div w:id="1933004858">
      <w:bodyDiv w:val="1"/>
      <w:marLeft w:val="0"/>
      <w:marRight w:val="0"/>
      <w:marTop w:val="0"/>
      <w:marBottom w:val="0"/>
      <w:divBdr>
        <w:top w:val="none" w:sz="0" w:space="0" w:color="auto"/>
        <w:left w:val="none" w:sz="0" w:space="0" w:color="auto"/>
        <w:bottom w:val="none" w:sz="0" w:space="0" w:color="auto"/>
        <w:right w:val="none" w:sz="0" w:space="0" w:color="auto"/>
      </w:divBdr>
    </w:div>
    <w:div w:id="1933707030">
      <w:bodyDiv w:val="1"/>
      <w:marLeft w:val="0"/>
      <w:marRight w:val="0"/>
      <w:marTop w:val="0"/>
      <w:marBottom w:val="0"/>
      <w:divBdr>
        <w:top w:val="none" w:sz="0" w:space="0" w:color="auto"/>
        <w:left w:val="none" w:sz="0" w:space="0" w:color="auto"/>
        <w:bottom w:val="none" w:sz="0" w:space="0" w:color="auto"/>
        <w:right w:val="none" w:sz="0" w:space="0" w:color="auto"/>
      </w:divBdr>
    </w:div>
    <w:div w:id="1934430179">
      <w:bodyDiv w:val="1"/>
      <w:marLeft w:val="0"/>
      <w:marRight w:val="0"/>
      <w:marTop w:val="0"/>
      <w:marBottom w:val="0"/>
      <w:divBdr>
        <w:top w:val="none" w:sz="0" w:space="0" w:color="auto"/>
        <w:left w:val="none" w:sz="0" w:space="0" w:color="auto"/>
        <w:bottom w:val="none" w:sz="0" w:space="0" w:color="auto"/>
        <w:right w:val="none" w:sz="0" w:space="0" w:color="auto"/>
      </w:divBdr>
    </w:div>
    <w:div w:id="1937517369">
      <w:bodyDiv w:val="1"/>
      <w:marLeft w:val="0"/>
      <w:marRight w:val="0"/>
      <w:marTop w:val="0"/>
      <w:marBottom w:val="0"/>
      <w:divBdr>
        <w:top w:val="none" w:sz="0" w:space="0" w:color="auto"/>
        <w:left w:val="none" w:sz="0" w:space="0" w:color="auto"/>
        <w:bottom w:val="none" w:sz="0" w:space="0" w:color="auto"/>
        <w:right w:val="none" w:sz="0" w:space="0" w:color="auto"/>
      </w:divBdr>
    </w:div>
    <w:div w:id="1937784136">
      <w:bodyDiv w:val="1"/>
      <w:marLeft w:val="0"/>
      <w:marRight w:val="0"/>
      <w:marTop w:val="0"/>
      <w:marBottom w:val="0"/>
      <w:divBdr>
        <w:top w:val="none" w:sz="0" w:space="0" w:color="auto"/>
        <w:left w:val="none" w:sz="0" w:space="0" w:color="auto"/>
        <w:bottom w:val="none" w:sz="0" w:space="0" w:color="auto"/>
        <w:right w:val="none" w:sz="0" w:space="0" w:color="auto"/>
      </w:divBdr>
    </w:div>
    <w:div w:id="1938168295">
      <w:bodyDiv w:val="1"/>
      <w:marLeft w:val="0"/>
      <w:marRight w:val="0"/>
      <w:marTop w:val="0"/>
      <w:marBottom w:val="0"/>
      <w:divBdr>
        <w:top w:val="none" w:sz="0" w:space="0" w:color="auto"/>
        <w:left w:val="none" w:sz="0" w:space="0" w:color="auto"/>
        <w:bottom w:val="none" w:sz="0" w:space="0" w:color="auto"/>
        <w:right w:val="none" w:sz="0" w:space="0" w:color="auto"/>
      </w:divBdr>
    </w:div>
    <w:div w:id="1939092286">
      <w:bodyDiv w:val="1"/>
      <w:marLeft w:val="0"/>
      <w:marRight w:val="0"/>
      <w:marTop w:val="0"/>
      <w:marBottom w:val="0"/>
      <w:divBdr>
        <w:top w:val="none" w:sz="0" w:space="0" w:color="auto"/>
        <w:left w:val="none" w:sz="0" w:space="0" w:color="auto"/>
        <w:bottom w:val="none" w:sz="0" w:space="0" w:color="auto"/>
        <w:right w:val="none" w:sz="0" w:space="0" w:color="auto"/>
      </w:divBdr>
    </w:div>
    <w:div w:id="1940328937">
      <w:bodyDiv w:val="1"/>
      <w:marLeft w:val="0"/>
      <w:marRight w:val="0"/>
      <w:marTop w:val="0"/>
      <w:marBottom w:val="0"/>
      <w:divBdr>
        <w:top w:val="none" w:sz="0" w:space="0" w:color="auto"/>
        <w:left w:val="none" w:sz="0" w:space="0" w:color="auto"/>
        <w:bottom w:val="none" w:sz="0" w:space="0" w:color="auto"/>
        <w:right w:val="none" w:sz="0" w:space="0" w:color="auto"/>
      </w:divBdr>
    </w:div>
    <w:div w:id="1942299999">
      <w:bodyDiv w:val="1"/>
      <w:marLeft w:val="0"/>
      <w:marRight w:val="0"/>
      <w:marTop w:val="0"/>
      <w:marBottom w:val="0"/>
      <w:divBdr>
        <w:top w:val="none" w:sz="0" w:space="0" w:color="auto"/>
        <w:left w:val="none" w:sz="0" w:space="0" w:color="auto"/>
        <w:bottom w:val="none" w:sz="0" w:space="0" w:color="auto"/>
        <w:right w:val="none" w:sz="0" w:space="0" w:color="auto"/>
      </w:divBdr>
    </w:div>
    <w:div w:id="1942374206">
      <w:bodyDiv w:val="1"/>
      <w:marLeft w:val="0"/>
      <w:marRight w:val="0"/>
      <w:marTop w:val="0"/>
      <w:marBottom w:val="0"/>
      <w:divBdr>
        <w:top w:val="none" w:sz="0" w:space="0" w:color="auto"/>
        <w:left w:val="none" w:sz="0" w:space="0" w:color="auto"/>
        <w:bottom w:val="none" w:sz="0" w:space="0" w:color="auto"/>
        <w:right w:val="none" w:sz="0" w:space="0" w:color="auto"/>
      </w:divBdr>
    </w:div>
    <w:div w:id="1943144318">
      <w:bodyDiv w:val="1"/>
      <w:marLeft w:val="0"/>
      <w:marRight w:val="0"/>
      <w:marTop w:val="0"/>
      <w:marBottom w:val="0"/>
      <w:divBdr>
        <w:top w:val="none" w:sz="0" w:space="0" w:color="auto"/>
        <w:left w:val="none" w:sz="0" w:space="0" w:color="auto"/>
        <w:bottom w:val="none" w:sz="0" w:space="0" w:color="auto"/>
        <w:right w:val="none" w:sz="0" w:space="0" w:color="auto"/>
      </w:divBdr>
    </w:div>
    <w:div w:id="1943295606">
      <w:bodyDiv w:val="1"/>
      <w:marLeft w:val="0"/>
      <w:marRight w:val="0"/>
      <w:marTop w:val="0"/>
      <w:marBottom w:val="0"/>
      <w:divBdr>
        <w:top w:val="none" w:sz="0" w:space="0" w:color="auto"/>
        <w:left w:val="none" w:sz="0" w:space="0" w:color="auto"/>
        <w:bottom w:val="none" w:sz="0" w:space="0" w:color="auto"/>
        <w:right w:val="none" w:sz="0" w:space="0" w:color="auto"/>
      </w:divBdr>
    </w:div>
    <w:div w:id="1943415821">
      <w:bodyDiv w:val="1"/>
      <w:marLeft w:val="0"/>
      <w:marRight w:val="0"/>
      <w:marTop w:val="0"/>
      <w:marBottom w:val="0"/>
      <w:divBdr>
        <w:top w:val="none" w:sz="0" w:space="0" w:color="auto"/>
        <w:left w:val="none" w:sz="0" w:space="0" w:color="auto"/>
        <w:bottom w:val="none" w:sz="0" w:space="0" w:color="auto"/>
        <w:right w:val="none" w:sz="0" w:space="0" w:color="auto"/>
      </w:divBdr>
    </w:div>
    <w:div w:id="1943873273">
      <w:bodyDiv w:val="1"/>
      <w:marLeft w:val="0"/>
      <w:marRight w:val="0"/>
      <w:marTop w:val="0"/>
      <w:marBottom w:val="0"/>
      <w:divBdr>
        <w:top w:val="none" w:sz="0" w:space="0" w:color="auto"/>
        <w:left w:val="none" w:sz="0" w:space="0" w:color="auto"/>
        <w:bottom w:val="none" w:sz="0" w:space="0" w:color="auto"/>
        <w:right w:val="none" w:sz="0" w:space="0" w:color="auto"/>
      </w:divBdr>
    </w:div>
    <w:div w:id="1944678807">
      <w:bodyDiv w:val="1"/>
      <w:marLeft w:val="0"/>
      <w:marRight w:val="0"/>
      <w:marTop w:val="0"/>
      <w:marBottom w:val="0"/>
      <w:divBdr>
        <w:top w:val="none" w:sz="0" w:space="0" w:color="auto"/>
        <w:left w:val="none" w:sz="0" w:space="0" w:color="auto"/>
        <w:bottom w:val="none" w:sz="0" w:space="0" w:color="auto"/>
        <w:right w:val="none" w:sz="0" w:space="0" w:color="auto"/>
      </w:divBdr>
    </w:div>
    <w:div w:id="1945844871">
      <w:bodyDiv w:val="1"/>
      <w:marLeft w:val="0"/>
      <w:marRight w:val="0"/>
      <w:marTop w:val="0"/>
      <w:marBottom w:val="0"/>
      <w:divBdr>
        <w:top w:val="none" w:sz="0" w:space="0" w:color="auto"/>
        <w:left w:val="none" w:sz="0" w:space="0" w:color="auto"/>
        <w:bottom w:val="none" w:sz="0" w:space="0" w:color="auto"/>
        <w:right w:val="none" w:sz="0" w:space="0" w:color="auto"/>
      </w:divBdr>
    </w:div>
    <w:div w:id="1945922738">
      <w:bodyDiv w:val="1"/>
      <w:marLeft w:val="0"/>
      <w:marRight w:val="0"/>
      <w:marTop w:val="0"/>
      <w:marBottom w:val="0"/>
      <w:divBdr>
        <w:top w:val="none" w:sz="0" w:space="0" w:color="auto"/>
        <w:left w:val="none" w:sz="0" w:space="0" w:color="auto"/>
        <w:bottom w:val="none" w:sz="0" w:space="0" w:color="auto"/>
        <w:right w:val="none" w:sz="0" w:space="0" w:color="auto"/>
      </w:divBdr>
    </w:div>
    <w:div w:id="1950157188">
      <w:bodyDiv w:val="1"/>
      <w:marLeft w:val="0"/>
      <w:marRight w:val="0"/>
      <w:marTop w:val="0"/>
      <w:marBottom w:val="0"/>
      <w:divBdr>
        <w:top w:val="none" w:sz="0" w:space="0" w:color="auto"/>
        <w:left w:val="none" w:sz="0" w:space="0" w:color="auto"/>
        <w:bottom w:val="none" w:sz="0" w:space="0" w:color="auto"/>
        <w:right w:val="none" w:sz="0" w:space="0" w:color="auto"/>
      </w:divBdr>
    </w:div>
    <w:div w:id="1950159952">
      <w:bodyDiv w:val="1"/>
      <w:marLeft w:val="0"/>
      <w:marRight w:val="0"/>
      <w:marTop w:val="0"/>
      <w:marBottom w:val="0"/>
      <w:divBdr>
        <w:top w:val="none" w:sz="0" w:space="0" w:color="auto"/>
        <w:left w:val="none" w:sz="0" w:space="0" w:color="auto"/>
        <w:bottom w:val="none" w:sz="0" w:space="0" w:color="auto"/>
        <w:right w:val="none" w:sz="0" w:space="0" w:color="auto"/>
      </w:divBdr>
    </w:div>
    <w:div w:id="1950309815">
      <w:bodyDiv w:val="1"/>
      <w:marLeft w:val="0"/>
      <w:marRight w:val="0"/>
      <w:marTop w:val="0"/>
      <w:marBottom w:val="0"/>
      <w:divBdr>
        <w:top w:val="none" w:sz="0" w:space="0" w:color="auto"/>
        <w:left w:val="none" w:sz="0" w:space="0" w:color="auto"/>
        <w:bottom w:val="none" w:sz="0" w:space="0" w:color="auto"/>
        <w:right w:val="none" w:sz="0" w:space="0" w:color="auto"/>
      </w:divBdr>
    </w:div>
    <w:div w:id="1950814781">
      <w:bodyDiv w:val="1"/>
      <w:marLeft w:val="0"/>
      <w:marRight w:val="0"/>
      <w:marTop w:val="0"/>
      <w:marBottom w:val="0"/>
      <w:divBdr>
        <w:top w:val="none" w:sz="0" w:space="0" w:color="auto"/>
        <w:left w:val="none" w:sz="0" w:space="0" w:color="auto"/>
        <w:bottom w:val="none" w:sz="0" w:space="0" w:color="auto"/>
        <w:right w:val="none" w:sz="0" w:space="0" w:color="auto"/>
      </w:divBdr>
    </w:div>
    <w:div w:id="1953778554">
      <w:bodyDiv w:val="1"/>
      <w:marLeft w:val="0"/>
      <w:marRight w:val="0"/>
      <w:marTop w:val="0"/>
      <w:marBottom w:val="0"/>
      <w:divBdr>
        <w:top w:val="none" w:sz="0" w:space="0" w:color="auto"/>
        <w:left w:val="none" w:sz="0" w:space="0" w:color="auto"/>
        <w:bottom w:val="none" w:sz="0" w:space="0" w:color="auto"/>
        <w:right w:val="none" w:sz="0" w:space="0" w:color="auto"/>
      </w:divBdr>
    </w:div>
    <w:div w:id="1954167164">
      <w:bodyDiv w:val="1"/>
      <w:marLeft w:val="0"/>
      <w:marRight w:val="0"/>
      <w:marTop w:val="0"/>
      <w:marBottom w:val="0"/>
      <w:divBdr>
        <w:top w:val="none" w:sz="0" w:space="0" w:color="auto"/>
        <w:left w:val="none" w:sz="0" w:space="0" w:color="auto"/>
        <w:bottom w:val="none" w:sz="0" w:space="0" w:color="auto"/>
        <w:right w:val="none" w:sz="0" w:space="0" w:color="auto"/>
      </w:divBdr>
    </w:div>
    <w:div w:id="1956591515">
      <w:bodyDiv w:val="1"/>
      <w:marLeft w:val="0"/>
      <w:marRight w:val="0"/>
      <w:marTop w:val="0"/>
      <w:marBottom w:val="0"/>
      <w:divBdr>
        <w:top w:val="none" w:sz="0" w:space="0" w:color="auto"/>
        <w:left w:val="none" w:sz="0" w:space="0" w:color="auto"/>
        <w:bottom w:val="none" w:sz="0" w:space="0" w:color="auto"/>
        <w:right w:val="none" w:sz="0" w:space="0" w:color="auto"/>
      </w:divBdr>
    </w:div>
    <w:div w:id="1956860589">
      <w:bodyDiv w:val="1"/>
      <w:marLeft w:val="0"/>
      <w:marRight w:val="0"/>
      <w:marTop w:val="0"/>
      <w:marBottom w:val="0"/>
      <w:divBdr>
        <w:top w:val="none" w:sz="0" w:space="0" w:color="auto"/>
        <w:left w:val="none" w:sz="0" w:space="0" w:color="auto"/>
        <w:bottom w:val="none" w:sz="0" w:space="0" w:color="auto"/>
        <w:right w:val="none" w:sz="0" w:space="0" w:color="auto"/>
      </w:divBdr>
    </w:div>
    <w:div w:id="1957633558">
      <w:bodyDiv w:val="1"/>
      <w:marLeft w:val="0"/>
      <w:marRight w:val="0"/>
      <w:marTop w:val="0"/>
      <w:marBottom w:val="0"/>
      <w:divBdr>
        <w:top w:val="none" w:sz="0" w:space="0" w:color="auto"/>
        <w:left w:val="none" w:sz="0" w:space="0" w:color="auto"/>
        <w:bottom w:val="none" w:sz="0" w:space="0" w:color="auto"/>
        <w:right w:val="none" w:sz="0" w:space="0" w:color="auto"/>
      </w:divBdr>
    </w:div>
    <w:div w:id="1957826726">
      <w:bodyDiv w:val="1"/>
      <w:marLeft w:val="0"/>
      <w:marRight w:val="0"/>
      <w:marTop w:val="0"/>
      <w:marBottom w:val="0"/>
      <w:divBdr>
        <w:top w:val="none" w:sz="0" w:space="0" w:color="auto"/>
        <w:left w:val="none" w:sz="0" w:space="0" w:color="auto"/>
        <w:bottom w:val="none" w:sz="0" w:space="0" w:color="auto"/>
        <w:right w:val="none" w:sz="0" w:space="0" w:color="auto"/>
      </w:divBdr>
    </w:div>
    <w:div w:id="1958289114">
      <w:bodyDiv w:val="1"/>
      <w:marLeft w:val="0"/>
      <w:marRight w:val="0"/>
      <w:marTop w:val="0"/>
      <w:marBottom w:val="0"/>
      <w:divBdr>
        <w:top w:val="none" w:sz="0" w:space="0" w:color="auto"/>
        <w:left w:val="none" w:sz="0" w:space="0" w:color="auto"/>
        <w:bottom w:val="none" w:sz="0" w:space="0" w:color="auto"/>
        <w:right w:val="none" w:sz="0" w:space="0" w:color="auto"/>
      </w:divBdr>
    </w:div>
    <w:div w:id="1959871597">
      <w:bodyDiv w:val="1"/>
      <w:marLeft w:val="0"/>
      <w:marRight w:val="0"/>
      <w:marTop w:val="0"/>
      <w:marBottom w:val="0"/>
      <w:divBdr>
        <w:top w:val="none" w:sz="0" w:space="0" w:color="auto"/>
        <w:left w:val="none" w:sz="0" w:space="0" w:color="auto"/>
        <w:bottom w:val="none" w:sz="0" w:space="0" w:color="auto"/>
        <w:right w:val="none" w:sz="0" w:space="0" w:color="auto"/>
      </w:divBdr>
    </w:div>
    <w:div w:id="1960262695">
      <w:bodyDiv w:val="1"/>
      <w:marLeft w:val="0"/>
      <w:marRight w:val="0"/>
      <w:marTop w:val="0"/>
      <w:marBottom w:val="0"/>
      <w:divBdr>
        <w:top w:val="none" w:sz="0" w:space="0" w:color="auto"/>
        <w:left w:val="none" w:sz="0" w:space="0" w:color="auto"/>
        <w:bottom w:val="none" w:sz="0" w:space="0" w:color="auto"/>
        <w:right w:val="none" w:sz="0" w:space="0" w:color="auto"/>
      </w:divBdr>
    </w:div>
    <w:div w:id="1960527522">
      <w:bodyDiv w:val="1"/>
      <w:marLeft w:val="0"/>
      <w:marRight w:val="0"/>
      <w:marTop w:val="0"/>
      <w:marBottom w:val="0"/>
      <w:divBdr>
        <w:top w:val="none" w:sz="0" w:space="0" w:color="auto"/>
        <w:left w:val="none" w:sz="0" w:space="0" w:color="auto"/>
        <w:bottom w:val="none" w:sz="0" w:space="0" w:color="auto"/>
        <w:right w:val="none" w:sz="0" w:space="0" w:color="auto"/>
      </w:divBdr>
    </w:div>
    <w:div w:id="1960607039">
      <w:bodyDiv w:val="1"/>
      <w:marLeft w:val="0"/>
      <w:marRight w:val="0"/>
      <w:marTop w:val="0"/>
      <w:marBottom w:val="0"/>
      <w:divBdr>
        <w:top w:val="none" w:sz="0" w:space="0" w:color="auto"/>
        <w:left w:val="none" w:sz="0" w:space="0" w:color="auto"/>
        <w:bottom w:val="none" w:sz="0" w:space="0" w:color="auto"/>
        <w:right w:val="none" w:sz="0" w:space="0" w:color="auto"/>
      </w:divBdr>
    </w:div>
    <w:div w:id="1963418373">
      <w:bodyDiv w:val="1"/>
      <w:marLeft w:val="0"/>
      <w:marRight w:val="0"/>
      <w:marTop w:val="0"/>
      <w:marBottom w:val="0"/>
      <w:divBdr>
        <w:top w:val="none" w:sz="0" w:space="0" w:color="auto"/>
        <w:left w:val="none" w:sz="0" w:space="0" w:color="auto"/>
        <w:bottom w:val="none" w:sz="0" w:space="0" w:color="auto"/>
        <w:right w:val="none" w:sz="0" w:space="0" w:color="auto"/>
      </w:divBdr>
    </w:div>
    <w:div w:id="1966277849">
      <w:bodyDiv w:val="1"/>
      <w:marLeft w:val="0"/>
      <w:marRight w:val="0"/>
      <w:marTop w:val="0"/>
      <w:marBottom w:val="0"/>
      <w:divBdr>
        <w:top w:val="none" w:sz="0" w:space="0" w:color="auto"/>
        <w:left w:val="none" w:sz="0" w:space="0" w:color="auto"/>
        <w:bottom w:val="none" w:sz="0" w:space="0" w:color="auto"/>
        <w:right w:val="none" w:sz="0" w:space="0" w:color="auto"/>
      </w:divBdr>
    </w:div>
    <w:div w:id="1967003152">
      <w:bodyDiv w:val="1"/>
      <w:marLeft w:val="0"/>
      <w:marRight w:val="0"/>
      <w:marTop w:val="0"/>
      <w:marBottom w:val="0"/>
      <w:divBdr>
        <w:top w:val="none" w:sz="0" w:space="0" w:color="auto"/>
        <w:left w:val="none" w:sz="0" w:space="0" w:color="auto"/>
        <w:bottom w:val="none" w:sz="0" w:space="0" w:color="auto"/>
        <w:right w:val="none" w:sz="0" w:space="0" w:color="auto"/>
      </w:divBdr>
    </w:div>
    <w:div w:id="1968854244">
      <w:bodyDiv w:val="1"/>
      <w:marLeft w:val="0"/>
      <w:marRight w:val="0"/>
      <w:marTop w:val="0"/>
      <w:marBottom w:val="0"/>
      <w:divBdr>
        <w:top w:val="none" w:sz="0" w:space="0" w:color="auto"/>
        <w:left w:val="none" w:sz="0" w:space="0" w:color="auto"/>
        <w:bottom w:val="none" w:sz="0" w:space="0" w:color="auto"/>
        <w:right w:val="none" w:sz="0" w:space="0" w:color="auto"/>
      </w:divBdr>
    </w:div>
    <w:div w:id="1968899028">
      <w:bodyDiv w:val="1"/>
      <w:marLeft w:val="0"/>
      <w:marRight w:val="0"/>
      <w:marTop w:val="0"/>
      <w:marBottom w:val="0"/>
      <w:divBdr>
        <w:top w:val="none" w:sz="0" w:space="0" w:color="auto"/>
        <w:left w:val="none" w:sz="0" w:space="0" w:color="auto"/>
        <w:bottom w:val="none" w:sz="0" w:space="0" w:color="auto"/>
        <w:right w:val="none" w:sz="0" w:space="0" w:color="auto"/>
      </w:divBdr>
    </w:div>
    <w:div w:id="1969510777">
      <w:bodyDiv w:val="1"/>
      <w:marLeft w:val="0"/>
      <w:marRight w:val="0"/>
      <w:marTop w:val="0"/>
      <w:marBottom w:val="0"/>
      <w:divBdr>
        <w:top w:val="none" w:sz="0" w:space="0" w:color="auto"/>
        <w:left w:val="none" w:sz="0" w:space="0" w:color="auto"/>
        <w:bottom w:val="none" w:sz="0" w:space="0" w:color="auto"/>
        <w:right w:val="none" w:sz="0" w:space="0" w:color="auto"/>
      </w:divBdr>
    </w:div>
    <w:div w:id="1969819849">
      <w:bodyDiv w:val="1"/>
      <w:marLeft w:val="0"/>
      <w:marRight w:val="0"/>
      <w:marTop w:val="0"/>
      <w:marBottom w:val="0"/>
      <w:divBdr>
        <w:top w:val="none" w:sz="0" w:space="0" w:color="auto"/>
        <w:left w:val="none" w:sz="0" w:space="0" w:color="auto"/>
        <w:bottom w:val="none" w:sz="0" w:space="0" w:color="auto"/>
        <w:right w:val="none" w:sz="0" w:space="0" w:color="auto"/>
      </w:divBdr>
    </w:div>
    <w:div w:id="1974405195">
      <w:bodyDiv w:val="1"/>
      <w:marLeft w:val="0"/>
      <w:marRight w:val="0"/>
      <w:marTop w:val="0"/>
      <w:marBottom w:val="0"/>
      <w:divBdr>
        <w:top w:val="none" w:sz="0" w:space="0" w:color="auto"/>
        <w:left w:val="none" w:sz="0" w:space="0" w:color="auto"/>
        <w:bottom w:val="none" w:sz="0" w:space="0" w:color="auto"/>
        <w:right w:val="none" w:sz="0" w:space="0" w:color="auto"/>
      </w:divBdr>
    </w:div>
    <w:div w:id="1974942242">
      <w:bodyDiv w:val="1"/>
      <w:marLeft w:val="0"/>
      <w:marRight w:val="0"/>
      <w:marTop w:val="0"/>
      <w:marBottom w:val="0"/>
      <w:divBdr>
        <w:top w:val="none" w:sz="0" w:space="0" w:color="auto"/>
        <w:left w:val="none" w:sz="0" w:space="0" w:color="auto"/>
        <w:bottom w:val="none" w:sz="0" w:space="0" w:color="auto"/>
        <w:right w:val="none" w:sz="0" w:space="0" w:color="auto"/>
      </w:divBdr>
    </w:div>
    <w:div w:id="1976834641">
      <w:bodyDiv w:val="1"/>
      <w:marLeft w:val="0"/>
      <w:marRight w:val="0"/>
      <w:marTop w:val="0"/>
      <w:marBottom w:val="0"/>
      <w:divBdr>
        <w:top w:val="none" w:sz="0" w:space="0" w:color="auto"/>
        <w:left w:val="none" w:sz="0" w:space="0" w:color="auto"/>
        <w:bottom w:val="none" w:sz="0" w:space="0" w:color="auto"/>
        <w:right w:val="none" w:sz="0" w:space="0" w:color="auto"/>
      </w:divBdr>
    </w:div>
    <w:div w:id="1977225207">
      <w:bodyDiv w:val="1"/>
      <w:marLeft w:val="0"/>
      <w:marRight w:val="0"/>
      <w:marTop w:val="0"/>
      <w:marBottom w:val="0"/>
      <w:divBdr>
        <w:top w:val="none" w:sz="0" w:space="0" w:color="auto"/>
        <w:left w:val="none" w:sz="0" w:space="0" w:color="auto"/>
        <w:bottom w:val="none" w:sz="0" w:space="0" w:color="auto"/>
        <w:right w:val="none" w:sz="0" w:space="0" w:color="auto"/>
      </w:divBdr>
    </w:div>
    <w:div w:id="1978097464">
      <w:bodyDiv w:val="1"/>
      <w:marLeft w:val="0"/>
      <w:marRight w:val="0"/>
      <w:marTop w:val="0"/>
      <w:marBottom w:val="0"/>
      <w:divBdr>
        <w:top w:val="none" w:sz="0" w:space="0" w:color="auto"/>
        <w:left w:val="none" w:sz="0" w:space="0" w:color="auto"/>
        <w:bottom w:val="none" w:sz="0" w:space="0" w:color="auto"/>
        <w:right w:val="none" w:sz="0" w:space="0" w:color="auto"/>
      </w:divBdr>
    </w:div>
    <w:div w:id="1978101732">
      <w:bodyDiv w:val="1"/>
      <w:marLeft w:val="0"/>
      <w:marRight w:val="0"/>
      <w:marTop w:val="0"/>
      <w:marBottom w:val="0"/>
      <w:divBdr>
        <w:top w:val="none" w:sz="0" w:space="0" w:color="auto"/>
        <w:left w:val="none" w:sz="0" w:space="0" w:color="auto"/>
        <w:bottom w:val="none" w:sz="0" w:space="0" w:color="auto"/>
        <w:right w:val="none" w:sz="0" w:space="0" w:color="auto"/>
      </w:divBdr>
    </w:div>
    <w:div w:id="1978143911">
      <w:bodyDiv w:val="1"/>
      <w:marLeft w:val="0"/>
      <w:marRight w:val="0"/>
      <w:marTop w:val="0"/>
      <w:marBottom w:val="0"/>
      <w:divBdr>
        <w:top w:val="none" w:sz="0" w:space="0" w:color="auto"/>
        <w:left w:val="none" w:sz="0" w:space="0" w:color="auto"/>
        <w:bottom w:val="none" w:sz="0" w:space="0" w:color="auto"/>
        <w:right w:val="none" w:sz="0" w:space="0" w:color="auto"/>
      </w:divBdr>
    </w:div>
    <w:div w:id="1978993082">
      <w:bodyDiv w:val="1"/>
      <w:marLeft w:val="0"/>
      <w:marRight w:val="0"/>
      <w:marTop w:val="0"/>
      <w:marBottom w:val="0"/>
      <w:divBdr>
        <w:top w:val="none" w:sz="0" w:space="0" w:color="auto"/>
        <w:left w:val="none" w:sz="0" w:space="0" w:color="auto"/>
        <w:bottom w:val="none" w:sz="0" w:space="0" w:color="auto"/>
        <w:right w:val="none" w:sz="0" w:space="0" w:color="auto"/>
      </w:divBdr>
    </w:div>
    <w:div w:id="1979410492">
      <w:bodyDiv w:val="1"/>
      <w:marLeft w:val="0"/>
      <w:marRight w:val="0"/>
      <w:marTop w:val="0"/>
      <w:marBottom w:val="0"/>
      <w:divBdr>
        <w:top w:val="none" w:sz="0" w:space="0" w:color="auto"/>
        <w:left w:val="none" w:sz="0" w:space="0" w:color="auto"/>
        <w:bottom w:val="none" w:sz="0" w:space="0" w:color="auto"/>
        <w:right w:val="none" w:sz="0" w:space="0" w:color="auto"/>
      </w:divBdr>
    </w:div>
    <w:div w:id="1979913503">
      <w:bodyDiv w:val="1"/>
      <w:marLeft w:val="0"/>
      <w:marRight w:val="0"/>
      <w:marTop w:val="0"/>
      <w:marBottom w:val="0"/>
      <w:divBdr>
        <w:top w:val="none" w:sz="0" w:space="0" w:color="auto"/>
        <w:left w:val="none" w:sz="0" w:space="0" w:color="auto"/>
        <w:bottom w:val="none" w:sz="0" w:space="0" w:color="auto"/>
        <w:right w:val="none" w:sz="0" w:space="0" w:color="auto"/>
      </w:divBdr>
    </w:div>
    <w:div w:id="1980106138">
      <w:bodyDiv w:val="1"/>
      <w:marLeft w:val="0"/>
      <w:marRight w:val="0"/>
      <w:marTop w:val="0"/>
      <w:marBottom w:val="0"/>
      <w:divBdr>
        <w:top w:val="none" w:sz="0" w:space="0" w:color="auto"/>
        <w:left w:val="none" w:sz="0" w:space="0" w:color="auto"/>
        <w:bottom w:val="none" w:sz="0" w:space="0" w:color="auto"/>
        <w:right w:val="none" w:sz="0" w:space="0" w:color="auto"/>
      </w:divBdr>
    </w:div>
    <w:div w:id="1981229874">
      <w:bodyDiv w:val="1"/>
      <w:marLeft w:val="0"/>
      <w:marRight w:val="0"/>
      <w:marTop w:val="0"/>
      <w:marBottom w:val="0"/>
      <w:divBdr>
        <w:top w:val="none" w:sz="0" w:space="0" w:color="auto"/>
        <w:left w:val="none" w:sz="0" w:space="0" w:color="auto"/>
        <w:bottom w:val="none" w:sz="0" w:space="0" w:color="auto"/>
        <w:right w:val="none" w:sz="0" w:space="0" w:color="auto"/>
      </w:divBdr>
    </w:div>
    <w:div w:id="1982416412">
      <w:bodyDiv w:val="1"/>
      <w:marLeft w:val="0"/>
      <w:marRight w:val="0"/>
      <w:marTop w:val="0"/>
      <w:marBottom w:val="0"/>
      <w:divBdr>
        <w:top w:val="none" w:sz="0" w:space="0" w:color="auto"/>
        <w:left w:val="none" w:sz="0" w:space="0" w:color="auto"/>
        <w:bottom w:val="none" w:sz="0" w:space="0" w:color="auto"/>
        <w:right w:val="none" w:sz="0" w:space="0" w:color="auto"/>
      </w:divBdr>
    </w:div>
    <w:div w:id="1982877799">
      <w:bodyDiv w:val="1"/>
      <w:marLeft w:val="0"/>
      <w:marRight w:val="0"/>
      <w:marTop w:val="0"/>
      <w:marBottom w:val="0"/>
      <w:divBdr>
        <w:top w:val="none" w:sz="0" w:space="0" w:color="auto"/>
        <w:left w:val="none" w:sz="0" w:space="0" w:color="auto"/>
        <w:bottom w:val="none" w:sz="0" w:space="0" w:color="auto"/>
        <w:right w:val="none" w:sz="0" w:space="0" w:color="auto"/>
      </w:divBdr>
    </w:div>
    <w:div w:id="1983920704">
      <w:bodyDiv w:val="1"/>
      <w:marLeft w:val="0"/>
      <w:marRight w:val="0"/>
      <w:marTop w:val="0"/>
      <w:marBottom w:val="0"/>
      <w:divBdr>
        <w:top w:val="none" w:sz="0" w:space="0" w:color="auto"/>
        <w:left w:val="none" w:sz="0" w:space="0" w:color="auto"/>
        <w:bottom w:val="none" w:sz="0" w:space="0" w:color="auto"/>
        <w:right w:val="none" w:sz="0" w:space="0" w:color="auto"/>
      </w:divBdr>
    </w:div>
    <w:div w:id="1985230250">
      <w:bodyDiv w:val="1"/>
      <w:marLeft w:val="0"/>
      <w:marRight w:val="0"/>
      <w:marTop w:val="0"/>
      <w:marBottom w:val="0"/>
      <w:divBdr>
        <w:top w:val="none" w:sz="0" w:space="0" w:color="auto"/>
        <w:left w:val="none" w:sz="0" w:space="0" w:color="auto"/>
        <w:bottom w:val="none" w:sz="0" w:space="0" w:color="auto"/>
        <w:right w:val="none" w:sz="0" w:space="0" w:color="auto"/>
      </w:divBdr>
    </w:div>
    <w:div w:id="1986857556">
      <w:bodyDiv w:val="1"/>
      <w:marLeft w:val="0"/>
      <w:marRight w:val="0"/>
      <w:marTop w:val="0"/>
      <w:marBottom w:val="0"/>
      <w:divBdr>
        <w:top w:val="none" w:sz="0" w:space="0" w:color="auto"/>
        <w:left w:val="none" w:sz="0" w:space="0" w:color="auto"/>
        <w:bottom w:val="none" w:sz="0" w:space="0" w:color="auto"/>
        <w:right w:val="none" w:sz="0" w:space="0" w:color="auto"/>
      </w:divBdr>
    </w:div>
    <w:div w:id="1987009368">
      <w:bodyDiv w:val="1"/>
      <w:marLeft w:val="0"/>
      <w:marRight w:val="0"/>
      <w:marTop w:val="0"/>
      <w:marBottom w:val="0"/>
      <w:divBdr>
        <w:top w:val="none" w:sz="0" w:space="0" w:color="auto"/>
        <w:left w:val="none" w:sz="0" w:space="0" w:color="auto"/>
        <w:bottom w:val="none" w:sz="0" w:space="0" w:color="auto"/>
        <w:right w:val="none" w:sz="0" w:space="0" w:color="auto"/>
      </w:divBdr>
    </w:div>
    <w:div w:id="1987735994">
      <w:bodyDiv w:val="1"/>
      <w:marLeft w:val="0"/>
      <w:marRight w:val="0"/>
      <w:marTop w:val="0"/>
      <w:marBottom w:val="0"/>
      <w:divBdr>
        <w:top w:val="none" w:sz="0" w:space="0" w:color="auto"/>
        <w:left w:val="none" w:sz="0" w:space="0" w:color="auto"/>
        <w:bottom w:val="none" w:sz="0" w:space="0" w:color="auto"/>
        <w:right w:val="none" w:sz="0" w:space="0" w:color="auto"/>
      </w:divBdr>
    </w:div>
    <w:div w:id="1988053605">
      <w:bodyDiv w:val="1"/>
      <w:marLeft w:val="0"/>
      <w:marRight w:val="0"/>
      <w:marTop w:val="0"/>
      <w:marBottom w:val="0"/>
      <w:divBdr>
        <w:top w:val="none" w:sz="0" w:space="0" w:color="auto"/>
        <w:left w:val="none" w:sz="0" w:space="0" w:color="auto"/>
        <w:bottom w:val="none" w:sz="0" w:space="0" w:color="auto"/>
        <w:right w:val="none" w:sz="0" w:space="0" w:color="auto"/>
      </w:divBdr>
    </w:div>
    <w:div w:id="1993676185">
      <w:bodyDiv w:val="1"/>
      <w:marLeft w:val="0"/>
      <w:marRight w:val="0"/>
      <w:marTop w:val="0"/>
      <w:marBottom w:val="0"/>
      <w:divBdr>
        <w:top w:val="none" w:sz="0" w:space="0" w:color="auto"/>
        <w:left w:val="none" w:sz="0" w:space="0" w:color="auto"/>
        <w:bottom w:val="none" w:sz="0" w:space="0" w:color="auto"/>
        <w:right w:val="none" w:sz="0" w:space="0" w:color="auto"/>
      </w:divBdr>
    </w:div>
    <w:div w:id="2003502177">
      <w:bodyDiv w:val="1"/>
      <w:marLeft w:val="0"/>
      <w:marRight w:val="0"/>
      <w:marTop w:val="0"/>
      <w:marBottom w:val="0"/>
      <w:divBdr>
        <w:top w:val="none" w:sz="0" w:space="0" w:color="auto"/>
        <w:left w:val="none" w:sz="0" w:space="0" w:color="auto"/>
        <w:bottom w:val="none" w:sz="0" w:space="0" w:color="auto"/>
        <w:right w:val="none" w:sz="0" w:space="0" w:color="auto"/>
      </w:divBdr>
    </w:div>
    <w:div w:id="2004626909">
      <w:bodyDiv w:val="1"/>
      <w:marLeft w:val="0"/>
      <w:marRight w:val="0"/>
      <w:marTop w:val="0"/>
      <w:marBottom w:val="0"/>
      <w:divBdr>
        <w:top w:val="none" w:sz="0" w:space="0" w:color="auto"/>
        <w:left w:val="none" w:sz="0" w:space="0" w:color="auto"/>
        <w:bottom w:val="none" w:sz="0" w:space="0" w:color="auto"/>
        <w:right w:val="none" w:sz="0" w:space="0" w:color="auto"/>
      </w:divBdr>
    </w:div>
    <w:div w:id="2005743317">
      <w:bodyDiv w:val="1"/>
      <w:marLeft w:val="0"/>
      <w:marRight w:val="0"/>
      <w:marTop w:val="0"/>
      <w:marBottom w:val="0"/>
      <w:divBdr>
        <w:top w:val="none" w:sz="0" w:space="0" w:color="auto"/>
        <w:left w:val="none" w:sz="0" w:space="0" w:color="auto"/>
        <w:bottom w:val="none" w:sz="0" w:space="0" w:color="auto"/>
        <w:right w:val="none" w:sz="0" w:space="0" w:color="auto"/>
      </w:divBdr>
    </w:div>
    <w:div w:id="2006980512">
      <w:bodyDiv w:val="1"/>
      <w:marLeft w:val="0"/>
      <w:marRight w:val="0"/>
      <w:marTop w:val="0"/>
      <w:marBottom w:val="0"/>
      <w:divBdr>
        <w:top w:val="none" w:sz="0" w:space="0" w:color="auto"/>
        <w:left w:val="none" w:sz="0" w:space="0" w:color="auto"/>
        <w:bottom w:val="none" w:sz="0" w:space="0" w:color="auto"/>
        <w:right w:val="none" w:sz="0" w:space="0" w:color="auto"/>
      </w:divBdr>
    </w:div>
    <w:div w:id="2007197921">
      <w:bodyDiv w:val="1"/>
      <w:marLeft w:val="0"/>
      <w:marRight w:val="0"/>
      <w:marTop w:val="0"/>
      <w:marBottom w:val="0"/>
      <w:divBdr>
        <w:top w:val="none" w:sz="0" w:space="0" w:color="auto"/>
        <w:left w:val="none" w:sz="0" w:space="0" w:color="auto"/>
        <w:bottom w:val="none" w:sz="0" w:space="0" w:color="auto"/>
        <w:right w:val="none" w:sz="0" w:space="0" w:color="auto"/>
      </w:divBdr>
    </w:div>
    <w:div w:id="2009745818">
      <w:bodyDiv w:val="1"/>
      <w:marLeft w:val="0"/>
      <w:marRight w:val="0"/>
      <w:marTop w:val="0"/>
      <w:marBottom w:val="0"/>
      <w:divBdr>
        <w:top w:val="none" w:sz="0" w:space="0" w:color="auto"/>
        <w:left w:val="none" w:sz="0" w:space="0" w:color="auto"/>
        <w:bottom w:val="none" w:sz="0" w:space="0" w:color="auto"/>
        <w:right w:val="none" w:sz="0" w:space="0" w:color="auto"/>
      </w:divBdr>
    </w:div>
    <w:div w:id="2011369657">
      <w:bodyDiv w:val="1"/>
      <w:marLeft w:val="0"/>
      <w:marRight w:val="0"/>
      <w:marTop w:val="0"/>
      <w:marBottom w:val="0"/>
      <w:divBdr>
        <w:top w:val="none" w:sz="0" w:space="0" w:color="auto"/>
        <w:left w:val="none" w:sz="0" w:space="0" w:color="auto"/>
        <w:bottom w:val="none" w:sz="0" w:space="0" w:color="auto"/>
        <w:right w:val="none" w:sz="0" w:space="0" w:color="auto"/>
      </w:divBdr>
    </w:div>
    <w:div w:id="2011443573">
      <w:bodyDiv w:val="1"/>
      <w:marLeft w:val="0"/>
      <w:marRight w:val="0"/>
      <w:marTop w:val="0"/>
      <w:marBottom w:val="0"/>
      <w:divBdr>
        <w:top w:val="none" w:sz="0" w:space="0" w:color="auto"/>
        <w:left w:val="none" w:sz="0" w:space="0" w:color="auto"/>
        <w:bottom w:val="none" w:sz="0" w:space="0" w:color="auto"/>
        <w:right w:val="none" w:sz="0" w:space="0" w:color="auto"/>
      </w:divBdr>
    </w:div>
    <w:div w:id="2012632973">
      <w:bodyDiv w:val="1"/>
      <w:marLeft w:val="0"/>
      <w:marRight w:val="0"/>
      <w:marTop w:val="0"/>
      <w:marBottom w:val="0"/>
      <w:divBdr>
        <w:top w:val="none" w:sz="0" w:space="0" w:color="auto"/>
        <w:left w:val="none" w:sz="0" w:space="0" w:color="auto"/>
        <w:bottom w:val="none" w:sz="0" w:space="0" w:color="auto"/>
        <w:right w:val="none" w:sz="0" w:space="0" w:color="auto"/>
      </w:divBdr>
    </w:div>
    <w:div w:id="2012754262">
      <w:bodyDiv w:val="1"/>
      <w:marLeft w:val="0"/>
      <w:marRight w:val="0"/>
      <w:marTop w:val="0"/>
      <w:marBottom w:val="0"/>
      <w:divBdr>
        <w:top w:val="none" w:sz="0" w:space="0" w:color="auto"/>
        <w:left w:val="none" w:sz="0" w:space="0" w:color="auto"/>
        <w:bottom w:val="none" w:sz="0" w:space="0" w:color="auto"/>
        <w:right w:val="none" w:sz="0" w:space="0" w:color="auto"/>
      </w:divBdr>
    </w:div>
    <w:div w:id="2013752866">
      <w:bodyDiv w:val="1"/>
      <w:marLeft w:val="0"/>
      <w:marRight w:val="0"/>
      <w:marTop w:val="0"/>
      <w:marBottom w:val="0"/>
      <w:divBdr>
        <w:top w:val="none" w:sz="0" w:space="0" w:color="auto"/>
        <w:left w:val="none" w:sz="0" w:space="0" w:color="auto"/>
        <w:bottom w:val="none" w:sz="0" w:space="0" w:color="auto"/>
        <w:right w:val="none" w:sz="0" w:space="0" w:color="auto"/>
      </w:divBdr>
    </w:div>
    <w:div w:id="2013798366">
      <w:bodyDiv w:val="1"/>
      <w:marLeft w:val="0"/>
      <w:marRight w:val="0"/>
      <w:marTop w:val="0"/>
      <w:marBottom w:val="0"/>
      <w:divBdr>
        <w:top w:val="none" w:sz="0" w:space="0" w:color="auto"/>
        <w:left w:val="none" w:sz="0" w:space="0" w:color="auto"/>
        <w:bottom w:val="none" w:sz="0" w:space="0" w:color="auto"/>
        <w:right w:val="none" w:sz="0" w:space="0" w:color="auto"/>
      </w:divBdr>
    </w:div>
    <w:div w:id="2014335722">
      <w:bodyDiv w:val="1"/>
      <w:marLeft w:val="0"/>
      <w:marRight w:val="0"/>
      <w:marTop w:val="0"/>
      <w:marBottom w:val="0"/>
      <w:divBdr>
        <w:top w:val="none" w:sz="0" w:space="0" w:color="auto"/>
        <w:left w:val="none" w:sz="0" w:space="0" w:color="auto"/>
        <w:bottom w:val="none" w:sz="0" w:space="0" w:color="auto"/>
        <w:right w:val="none" w:sz="0" w:space="0" w:color="auto"/>
      </w:divBdr>
    </w:div>
    <w:div w:id="2015758966">
      <w:bodyDiv w:val="1"/>
      <w:marLeft w:val="0"/>
      <w:marRight w:val="0"/>
      <w:marTop w:val="0"/>
      <w:marBottom w:val="0"/>
      <w:divBdr>
        <w:top w:val="none" w:sz="0" w:space="0" w:color="auto"/>
        <w:left w:val="none" w:sz="0" w:space="0" w:color="auto"/>
        <w:bottom w:val="none" w:sz="0" w:space="0" w:color="auto"/>
        <w:right w:val="none" w:sz="0" w:space="0" w:color="auto"/>
      </w:divBdr>
    </w:div>
    <w:div w:id="2015835184">
      <w:bodyDiv w:val="1"/>
      <w:marLeft w:val="0"/>
      <w:marRight w:val="0"/>
      <w:marTop w:val="0"/>
      <w:marBottom w:val="0"/>
      <w:divBdr>
        <w:top w:val="none" w:sz="0" w:space="0" w:color="auto"/>
        <w:left w:val="none" w:sz="0" w:space="0" w:color="auto"/>
        <w:bottom w:val="none" w:sz="0" w:space="0" w:color="auto"/>
        <w:right w:val="none" w:sz="0" w:space="0" w:color="auto"/>
      </w:divBdr>
    </w:div>
    <w:div w:id="2015958280">
      <w:bodyDiv w:val="1"/>
      <w:marLeft w:val="0"/>
      <w:marRight w:val="0"/>
      <w:marTop w:val="0"/>
      <w:marBottom w:val="0"/>
      <w:divBdr>
        <w:top w:val="none" w:sz="0" w:space="0" w:color="auto"/>
        <w:left w:val="none" w:sz="0" w:space="0" w:color="auto"/>
        <w:bottom w:val="none" w:sz="0" w:space="0" w:color="auto"/>
        <w:right w:val="none" w:sz="0" w:space="0" w:color="auto"/>
      </w:divBdr>
    </w:div>
    <w:div w:id="2015960710">
      <w:bodyDiv w:val="1"/>
      <w:marLeft w:val="0"/>
      <w:marRight w:val="0"/>
      <w:marTop w:val="0"/>
      <w:marBottom w:val="0"/>
      <w:divBdr>
        <w:top w:val="none" w:sz="0" w:space="0" w:color="auto"/>
        <w:left w:val="none" w:sz="0" w:space="0" w:color="auto"/>
        <w:bottom w:val="none" w:sz="0" w:space="0" w:color="auto"/>
        <w:right w:val="none" w:sz="0" w:space="0" w:color="auto"/>
      </w:divBdr>
    </w:div>
    <w:div w:id="2016683578">
      <w:bodyDiv w:val="1"/>
      <w:marLeft w:val="0"/>
      <w:marRight w:val="0"/>
      <w:marTop w:val="0"/>
      <w:marBottom w:val="0"/>
      <w:divBdr>
        <w:top w:val="none" w:sz="0" w:space="0" w:color="auto"/>
        <w:left w:val="none" w:sz="0" w:space="0" w:color="auto"/>
        <w:bottom w:val="none" w:sz="0" w:space="0" w:color="auto"/>
        <w:right w:val="none" w:sz="0" w:space="0" w:color="auto"/>
      </w:divBdr>
    </w:div>
    <w:div w:id="2017413602">
      <w:bodyDiv w:val="1"/>
      <w:marLeft w:val="0"/>
      <w:marRight w:val="0"/>
      <w:marTop w:val="0"/>
      <w:marBottom w:val="0"/>
      <w:divBdr>
        <w:top w:val="none" w:sz="0" w:space="0" w:color="auto"/>
        <w:left w:val="none" w:sz="0" w:space="0" w:color="auto"/>
        <w:bottom w:val="none" w:sz="0" w:space="0" w:color="auto"/>
        <w:right w:val="none" w:sz="0" w:space="0" w:color="auto"/>
      </w:divBdr>
    </w:div>
    <w:div w:id="2020503370">
      <w:bodyDiv w:val="1"/>
      <w:marLeft w:val="0"/>
      <w:marRight w:val="0"/>
      <w:marTop w:val="0"/>
      <w:marBottom w:val="0"/>
      <w:divBdr>
        <w:top w:val="none" w:sz="0" w:space="0" w:color="auto"/>
        <w:left w:val="none" w:sz="0" w:space="0" w:color="auto"/>
        <w:bottom w:val="none" w:sz="0" w:space="0" w:color="auto"/>
        <w:right w:val="none" w:sz="0" w:space="0" w:color="auto"/>
      </w:divBdr>
    </w:div>
    <w:div w:id="2020741012">
      <w:bodyDiv w:val="1"/>
      <w:marLeft w:val="0"/>
      <w:marRight w:val="0"/>
      <w:marTop w:val="0"/>
      <w:marBottom w:val="0"/>
      <w:divBdr>
        <w:top w:val="none" w:sz="0" w:space="0" w:color="auto"/>
        <w:left w:val="none" w:sz="0" w:space="0" w:color="auto"/>
        <w:bottom w:val="none" w:sz="0" w:space="0" w:color="auto"/>
        <w:right w:val="none" w:sz="0" w:space="0" w:color="auto"/>
      </w:divBdr>
    </w:div>
    <w:div w:id="2024091342">
      <w:bodyDiv w:val="1"/>
      <w:marLeft w:val="0"/>
      <w:marRight w:val="0"/>
      <w:marTop w:val="0"/>
      <w:marBottom w:val="0"/>
      <w:divBdr>
        <w:top w:val="none" w:sz="0" w:space="0" w:color="auto"/>
        <w:left w:val="none" w:sz="0" w:space="0" w:color="auto"/>
        <w:bottom w:val="none" w:sz="0" w:space="0" w:color="auto"/>
        <w:right w:val="none" w:sz="0" w:space="0" w:color="auto"/>
      </w:divBdr>
    </w:div>
    <w:div w:id="2027096934">
      <w:bodyDiv w:val="1"/>
      <w:marLeft w:val="0"/>
      <w:marRight w:val="0"/>
      <w:marTop w:val="0"/>
      <w:marBottom w:val="0"/>
      <w:divBdr>
        <w:top w:val="none" w:sz="0" w:space="0" w:color="auto"/>
        <w:left w:val="none" w:sz="0" w:space="0" w:color="auto"/>
        <w:bottom w:val="none" w:sz="0" w:space="0" w:color="auto"/>
        <w:right w:val="none" w:sz="0" w:space="0" w:color="auto"/>
      </w:divBdr>
    </w:div>
    <w:div w:id="2027367623">
      <w:bodyDiv w:val="1"/>
      <w:marLeft w:val="0"/>
      <w:marRight w:val="0"/>
      <w:marTop w:val="0"/>
      <w:marBottom w:val="0"/>
      <w:divBdr>
        <w:top w:val="none" w:sz="0" w:space="0" w:color="auto"/>
        <w:left w:val="none" w:sz="0" w:space="0" w:color="auto"/>
        <w:bottom w:val="none" w:sz="0" w:space="0" w:color="auto"/>
        <w:right w:val="none" w:sz="0" w:space="0" w:color="auto"/>
      </w:divBdr>
    </w:div>
    <w:div w:id="2027752815">
      <w:bodyDiv w:val="1"/>
      <w:marLeft w:val="0"/>
      <w:marRight w:val="0"/>
      <w:marTop w:val="0"/>
      <w:marBottom w:val="0"/>
      <w:divBdr>
        <w:top w:val="none" w:sz="0" w:space="0" w:color="auto"/>
        <w:left w:val="none" w:sz="0" w:space="0" w:color="auto"/>
        <w:bottom w:val="none" w:sz="0" w:space="0" w:color="auto"/>
        <w:right w:val="none" w:sz="0" w:space="0" w:color="auto"/>
      </w:divBdr>
    </w:div>
    <w:div w:id="2029407958">
      <w:bodyDiv w:val="1"/>
      <w:marLeft w:val="0"/>
      <w:marRight w:val="0"/>
      <w:marTop w:val="0"/>
      <w:marBottom w:val="0"/>
      <w:divBdr>
        <w:top w:val="none" w:sz="0" w:space="0" w:color="auto"/>
        <w:left w:val="none" w:sz="0" w:space="0" w:color="auto"/>
        <w:bottom w:val="none" w:sz="0" w:space="0" w:color="auto"/>
        <w:right w:val="none" w:sz="0" w:space="0" w:color="auto"/>
      </w:divBdr>
    </w:div>
    <w:div w:id="2029789761">
      <w:bodyDiv w:val="1"/>
      <w:marLeft w:val="0"/>
      <w:marRight w:val="0"/>
      <w:marTop w:val="0"/>
      <w:marBottom w:val="0"/>
      <w:divBdr>
        <w:top w:val="none" w:sz="0" w:space="0" w:color="auto"/>
        <w:left w:val="none" w:sz="0" w:space="0" w:color="auto"/>
        <w:bottom w:val="none" w:sz="0" w:space="0" w:color="auto"/>
        <w:right w:val="none" w:sz="0" w:space="0" w:color="auto"/>
      </w:divBdr>
    </w:div>
    <w:div w:id="2029914556">
      <w:bodyDiv w:val="1"/>
      <w:marLeft w:val="0"/>
      <w:marRight w:val="0"/>
      <w:marTop w:val="0"/>
      <w:marBottom w:val="0"/>
      <w:divBdr>
        <w:top w:val="none" w:sz="0" w:space="0" w:color="auto"/>
        <w:left w:val="none" w:sz="0" w:space="0" w:color="auto"/>
        <w:bottom w:val="none" w:sz="0" w:space="0" w:color="auto"/>
        <w:right w:val="none" w:sz="0" w:space="0" w:color="auto"/>
      </w:divBdr>
    </w:div>
    <w:div w:id="2030177166">
      <w:bodyDiv w:val="1"/>
      <w:marLeft w:val="0"/>
      <w:marRight w:val="0"/>
      <w:marTop w:val="0"/>
      <w:marBottom w:val="0"/>
      <w:divBdr>
        <w:top w:val="none" w:sz="0" w:space="0" w:color="auto"/>
        <w:left w:val="none" w:sz="0" w:space="0" w:color="auto"/>
        <w:bottom w:val="none" w:sz="0" w:space="0" w:color="auto"/>
        <w:right w:val="none" w:sz="0" w:space="0" w:color="auto"/>
      </w:divBdr>
    </w:div>
    <w:div w:id="2031907174">
      <w:bodyDiv w:val="1"/>
      <w:marLeft w:val="0"/>
      <w:marRight w:val="0"/>
      <w:marTop w:val="0"/>
      <w:marBottom w:val="0"/>
      <w:divBdr>
        <w:top w:val="none" w:sz="0" w:space="0" w:color="auto"/>
        <w:left w:val="none" w:sz="0" w:space="0" w:color="auto"/>
        <w:bottom w:val="none" w:sz="0" w:space="0" w:color="auto"/>
        <w:right w:val="none" w:sz="0" w:space="0" w:color="auto"/>
      </w:divBdr>
    </w:div>
    <w:div w:id="2032409291">
      <w:bodyDiv w:val="1"/>
      <w:marLeft w:val="0"/>
      <w:marRight w:val="0"/>
      <w:marTop w:val="0"/>
      <w:marBottom w:val="0"/>
      <w:divBdr>
        <w:top w:val="none" w:sz="0" w:space="0" w:color="auto"/>
        <w:left w:val="none" w:sz="0" w:space="0" w:color="auto"/>
        <w:bottom w:val="none" w:sz="0" w:space="0" w:color="auto"/>
        <w:right w:val="none" w:sz="0" w:space="0" w:color="auto"/>
      </w:divBdr>
    </w:div>
    <w:div w:id="2032798633">
      <w:bodyDiv w:val="1"/>
      <w:marLeft w:val="0"/>
      <w:marRight w:val="0"/>
      <w:marTop w:val="0"/>
      <w:marBottom w:val="0"/>
      <w:divBdr>
        <w:top w:val="none" w:sz="0" w:space="0" w:color="auto"/>
        <w:left w:val="none" w:sz="0" w:space="0" w:color="auto"/>
        <w:bottom w:val="none" w:sz="0" w:space="0" w:color="auto"/>
        <w:right w:val="none" w:sz="0" w:space="0" w:color="auto"/>
      </w:divBdr>
    </w:div>
    <w:div w:id="2032952349">
      <w:bodyDiv w:val="1"/>
      <w:marLeft w:val="0"/>
      <w:marRight w:val="0"/>
      <w:marTop w:val="0"/>
      <w:marBottom w:val="0"/>
      <w:divBdr>
        <w:top w:val="none" w:sz="0" w:space="0" w:color="auto"/>
        <w:left w:val="none" w:sz="0" w:space="0" w:color="auto"/>
        <w:bottom w:val="none" w:sz="0" w:space="0" w:color="auto"/>
        <w:right w:val="none" w:sz="0" w:space="0" w:color="auto"/>
      </w:divBdr>
    </w:div>
    <w:div w:id="2034263610">
      <w:bodyDiv w:val="1"/>
      <w:marLeft w:val="0"/>
      <w:marRight w:val="0"/>
      <w:marTop w:val="0"/>
      <w:marBottom w:val="0"/>
      <w:divBdr>
        <w:top w:val="none" w:sz="0" w:space="0" w:color="auto"/>
        <w:left w:val="none" w:sz="0" w:space="0" w:color="auto"/>
        <w:bottom w:val="none" w:sz="0" w:space="0" w:color="auto"/>
        <w:right w:val="none" w:sz="0" w:space="0" w:color="auto"/>
      </w:divBdr>
    </w:div>
    <w:div w:id="2035032264">
      <w:bodyDiv w:val="1"/>
      <w:marLeft w:val="0"/>
      <w:marRight w:val="0"/>
      <w:marTop w:val="0"/>
      <w:marBottom w:val="0"/>
      <w:divBdr>
        <w:top w:val="none" w:sz="0" w:space="0" w:color="auto"/>
        <w:left w:val="none" w:sz="0" w:space="0" w:color="auto"/>
        <w:bottom w:val="none" w:sz="0" w:space="0" w:color="auto"/>
        <w:right w:val="none" w:sz="0" w:space="0" w:color="auto"/>
      </w:divBdr>
    </w:div>
    <w:div w:id="2035233132">
      <w:bodyDiv w:val="1"/>
      <w:marLeft w:val="0"/>
      <w:marRight w:val="0"/>
      <w:marTop w:val="0"/>
      <w:marBottom w:val="0"/>
      <w:divBdr>
        <w:top w:val="none" w:sz="0" w:space="0" w:color="auto"/>
        <w:left w:val="none" w:sz="0" w:space="0" w:color="auto"/>
        <w:bottom w:val="none" w:sz="0" w:space="0" w:color="auto"/>
        <w:right w:val="none" w:sz="0" w:space="0" w:color="auto"/>
      </w:divBdr>
    </w:div>
    <w:div w:id="2036424904">
      <w:bodyDiv w:val="1"/>
      <w:marLeft w:val="0"/>
      <w:marRight w:val="0"/>
      <w:marTop w:val="0"/>
      <w:marBottom w:val="0"/>
      <w:divBdr>
        <w:top w:val="none" w:sz="0" w:space="0" w:color="auto"/>
        <w:left w:val="none" w:sz="0" w:space="0" w:color="auto"/>
        <w:bottom w:val="none" w:sz="0" w:space="0" w:color="auto"/>
        <w:right w:val="none" w:sz="0" w:space="0" w:color="auto"/>
      </w:divBdr>
    </w:div>
    <w:div w:id="2037736157">
      <w:bodyDiv w:val="1"/>
      <w:marLeft w:val="0"/>
      <w:marRight w:val="0"/>
      <w:marTop w:val="0"/>
      <w:marBottom w:val="0"/>
      <w:divBdr>
        <w:top w:val="none" w:sz="0" w:space="0" w:color="auto"/>
        <w:left w:val="none" w:sz="0" w:space="0" w:color="auto"/>
        <w:bottom w:val="none" w:sz="0" w:space="0" w:color="auto"/>
        <w:right w:val="none" w:sz="0" w:space="0" w:color="auto"/>
      </w:divBdr>
    </w:div>
    <w:div w:id="2039624659">
      <w:bodyDiv w:val="1"/>
      <w:marLeft w:val="0"/>
      <w:marRight w:val="0"/>
      <w:marTop w:val="0"/>
      <w:marBottom w:val="0"/>
      <w:divBdr>
        <w:top w:val="none" w:sz="0" w:space="0" w:color="auto"/>
        <w:left w:val="none" w:sz="0" w:space="0" w:color="auto"/>
        <w:bottom w:val="none" w:sz="0" w:space="0" w:color="auto"/>
        <w:right w:val="none" w:sz="0" w:space="0" w:color="auto"/>
      </w:divBdr>
    </w:div>
    <w:div w:id="2040205239">
      <w:bodyDiv w:val="1"/>
      <w:marLeft w:val="0"/>
      <w:marRight w:val="0"/>
      <w:marTop w:val="0"/>
      <w:marBottom w:val="0"/>
      <w:divBdr>
        <w:top w:val="none" w:sz="0" w:space="0" w:color="auto"/>
        <w:left w:val="none" w:sz="0" w:space="0" w:color="auto"/>
        <w:bottom w:val="none" w:sz="0" w:space="0" w:color="auto"/>
        <w:right w:val="none" w:sz="0" w:space="0" w:color="auto"/>
      </w:divBdr>
    </w:div>
    <w:div w:id="2040664823">
      <w:bodyDiv w:val="1"/>
      <w:marLeft w:val="0"/>
      <w:marRight w:val="0"/>
      <w:marTop w:val="0"/>
      <w:marBottom w:val="0"/>
      <w:divBdr>
        <w:top w:val="none" w:sz="0" w:space="0" w:color="auto"/>
        <w:left w:val="none" w:sz="0" w:space="0" w:color="auto"/>
        <w:bottom w:val="none" w:sz="0" w:space="0" w:color="auto"/>
        <w:right w:val="none" w:sz="0" w:space="0" w:color="auto"/>
      </w:divBdr>
    </w:div>
    <w:div w:id="2041927170">
      <w:bodyDiv w:val="1"/>
      <w:marLeft w:val="0"/>
      <w:marRight w:val="0"/>
      <w:marTop w:val="0"/>
      <w:marBottom w:val="0"/>
      <w:divBdr>
        <w:top w:val="none" w:sz="0" w:space="0" w:color="auto"/>
        <w:left w:val="none" w:sz="0" w:space="0" w:color="auto"/>
        <w:bottom w:val="none" w:sz="0" w:space="0" w:color="auto"/>
        <w:right w:val="none" w:sz="0" w:space="0" w:color="auto"/>
      </w:divBdr>
    </w:div>
    <w:div w:id="2042435464">
      <w:bodyDiv w:val="1"/>
      <w:marLeft w:val="0"/>
      <w:marRight w:val="0"/>
      <w:marTop w:val="0"/>
      <w:marBottom w:val="0"/>
      <w:divBdr>
        <w:top w:val="none" w:sz="0" w:space="0" w:color="auto"/>
        <w:left w:val="none" w:sz="0" w:space="0" w:color="auto"/>
        <w:bottom w:val="none" w:sz="0" w:space="0" w:color="auto"/>
        <w:right w:val="none" w:sz="0" w:space="0" w:color="auto"/>
      </w:divBdr>
    </w:div>
    <w:div w:id="2042629535">
      <w:bodyDiv w:val="1"/>
      <w:marLeft w:val="0"/>
      <w:marRight w:val="0"/>
      <w:marTop w:val="0"/>
      <w:marBottom w:val="0"/>
      <w:divBdr>
        <w:top w:val="none" w:sz="0" w:space="0" w:color="auto"/>
        <w:left w:val="none" w:sz="0" w:space="0" w:color="auto"/>
        <w:bottom w:val="none" w:sz="0" w:space="0" w:color="auto"/>
        <w:right w:val="none" w:sz="0" w:space="0" w:color="auto"/>
      </w:divBdr>
    </w:div>
    <w:div w:id="2042895893">
      <w:bodyDiv w:val="1"/>
      <w:marLeft w:val="0"/>
      <w:marRight w:val="0"/>
      <w:marTop w:val="0"/>
      <w:marBottom w:val="0"/>
      <w:divBdr>
        <w:top w:val="none" w:sz="0" w:space="0" w:color="auto"/>
        <w:left w:val="none" w:sz="0" w:space="0" w:color="auto"/>
        <w:bottom w:val="none" w:sz="0" w:space="0" w:color="auto"/>
        <w:right w:val="none" w:sz="0" w:space="0" w:color="auto"/>
      </w:divBdr>
    </w:div>
    <w:div w:id="2043701133">
      <w:bodyDiv w:val="1"/>
      <w:marLeft w:val="0"/>
      <w:marRight w:val="0"/>
      <w:marTop w:val="0"/>
      <w:marBottom w:val="0"/>
      <w:divBdr>
        <w:top w:val="none" w:sz="0" w:space="0" w:color="auto"/>
        <w:left w:val="none" w:sz="0" w:space="0" w:color="auto"/>
        <w:bottom w:val="none" w:sz="0" w:space="0" w:color="auto"/>
        <w:right w:val="none" w:sz="0" w:space="0" w:color="auto"/>
      </w:divBdr>
    </w:div>
    <w:div w:id="2046711876">
      <w:bodyDiv w:val="1"/>
      <w:marLeft w:val="0"/>
      <w:marRight w:val="0"/>
      <w:marTop w:val="0"/>
      <w:marBottom w:val="0"/>
      <w:divBdr>
        <w:top w:val="none" w:sz="0" w:space="0" w:color="auto"/>
        <w:left w:val="none" w:sz="0" w:space="0" w:color="auto"/>
        <w:bottom w:val="none" w:sz="0" w:space="0" w:color="auto"/>
        <w:right w:val="none" w:sz="0" w:space="0" w:color="auto"/>
      </w:divBdr>
    </w:div>
    <w:div w:id="2050182179">
      <w:bodyDiv w:val="1"/>
      <w:marLeft w:val="0"/>
      <w:marRight w:val="0"/>
      <w:marTop w:val="0"/>
      <w:marBottom w:val="0"/>
      <w:divBdr>
        <w:top w:val="none" w:sz="0" w:space="0" w:color="auto"/>
        <w:left w:val="none" w:sz="0" w:space="0" w:color="auto"/>
        <w:bottom w:val="none" w:sz="0" w:space="0" w:color="auto"/>
        <w:right w:val="none" w:sz="0" w:space="0" w:color="auto"/>
      </w:divBdr>
    </w:div>
    <w:div w:id="2050449265">
      <w:bodyDiv w:val="1"/>
      <w:marLeft w:val="0"/>
      <w:marRight w:val="0"/>
      <w:marTop w:val="0"/>
      <w:marBottom w:val="0"/>
      <w:divBdr>
        <w:top w:val="none" w:sz="0" w:space="0" w:color="auto"/>
        <w:left w:val="none" w:sz="0" w:space="0" w:color="auto"/>
        <w:bottom w:val="none" w:sz="0" w:space="0" w:color="auto"/>
        <w:right w:val="none" w:sz="0" w:space="0" w:color="auto"/>
      </w:divBdr>
    </w:div>
    <w:div w:id="2050883880">
      <w:bodyDiv w:val="1"/>
      <w:marLeft w:val="0"/>
      <w:marRight w:val="0"/>
      <w:marTop w:val="0"/>
      <w:marBottom w:val="0"/>
      <w:divBdr>
        <w:top w:val="none" w:sz="0" w:space="0" w:color="auto"/>
        <w:left w:val="none" w:sz="0" w:space="0" w:color="auto"/>
        <w:bottom w:val="none" w:sz="0" w:space="0" w:color="auto"/>
        <w:right w:val="none" w:sz="0" w:space="0" w:color="auto"/>
      </w:divBdr>
    </w:div>
    <w:div w:id="2051034891">
      <w:bodyDiv w:val="1"/>
      <w:marLeft w:val="0"/>
      <w:marRight w:val="0"/>
      <w:marTop w:val="0"/>
      <w:marBottom w:val="0"/>
      <w:divBdr>
        <w:top w:val="none" w:sz="0" w:space="0" w:color="auto"/>
        <w:left w:val="none" w:sz="0" w:space="0" w:color="auto"/>
        <w:bottom w:val="none" w:sz="0" w:space="0" w:color="auto"/>
        <w:right w:val="none" w:sz="0" w:space="0" w:color="auto"/>
      </w:divBdr>
    </w:div>
    <w:div w:id="2051412606">
      <w:bodyDiv w:val="1"/>
      <w:marLeft w:val="0"/>
      <w:marRight w:val="0"/>
      <w:marTop w:val="0"/>
      <w:marBottom w:val="0"/>
      <w:divBdr>
        <w:top w:val="none" w:sz="0" w:space="0" w:color="auto"/>
        <w:left w:val="none" w:sz="0" w:space="0" w:color="auto"/>
        <w:bottom w:val="none" w:sz="0" w:space="0" w:color="auto"/>
        <w:right w:val="none" w:sz="0" w:space="0" w:color="auto"/>
      </w:divBdr>
    </w:div>
    <w:div w:id="2057001001">
      <w:bodyDiv w:val="1"/>
      <w:marLeft w:val="0"/>
      <w:marRight w:val="0"/>
      <w:marTop w:val="0"/>
      <w:marBottom w:val="0"/>
      <w:divBdr>
        <w:top w:val="none" w:sz="0" w:space="0" w:color="auto"/>
        <w:left w:val="none" w:sz="0" w:space="0" w:color="auto"/>
        <w:bottom w:val="none" w:sz="0" w:space="0" w:color="auto"/>
        <w:right w:val="none" w:sz="0" w:space="0" w:color="auto"/>
      </w:divBdr>
    </w:div>
    <w:div w:id="2057465561">
      <w:bodyDiv w:val="1"/>
      <w:marLeft w:val="0"/>
      <w:marRight w:val="0"/>
      <w:marTop w:val="0"/>
      <w:marBottom w:val="0"/>
      <w:divBdr>
        <w:top w:val="none" w:sz="0" w:space="0" w:color="auto"/>
        <w:left w:val="none" w:sz="0" w:space="0" w:color="auto"/>
        <w:bottom w:val="none" w:sz="0" w:space="0" w:color="auto"/>
        <w:right w:val="none" w:sz="0" w:space="0" w:color="auto"/>
      </w:divBdr>
    </w:div>
    <w:div w:id="2058116969">
      <w:bodyDiv w:val="1"/>
      <w:marLeft w:val="0"/>
      <w:marRight w:val="0"/>
      <w:marTop w:val="0"/>
      <w:marBottom w:val="0"/>
      <w:divBdr>
        <w:top w:val="none" w:sz="0" w:space="0" w:color="auto"/>
        <w:left w:val="none" w:sz="0" w:space="0" w:color="auto"/>
        <w:bottom w:val="none" w:sz="0" w:space="0" w:color="auto"/>
        <w:right w:val="none" w:sz="0" w:space="0" w:color="auto"/>
      </w:divBdr>
    </w:div>
    <w:div w:id="2059238219">
      <w:bodyDiv w:val="1"/>
      <w:marLeft w:val="0"/>
      <w:marRight w:val="0"/>
      <w:marTop w:val="0"/>
      <w:marBottom w:val="0"/>
      <w:divBdr>
        <w:top w:val="none" w:sz="0" w:space="0" w:color="auto"/>
        <w:left w:val="none" w:sz="0" w:space="0" w:color="auto"/>
        <w:bottom w:val="none" w:sz="0" w:space="0" w:color="auto"/>
        <w:right w:val="none" w:sz="0" w:space="0" w:color="auto"/>
      </w:divBdr>
    </w:div>
    <w:div w:id="2060785792">
      <w:bodyDiv w:val="1"/>
      <w:marLeft w:val="0"/>
      <w:marRight w:val="0"/>
      <w:marTop w:val="0"/>
      <w:marBottom w:val="0"/>
      <w:divBdr>
        <w:top w:val="none" w:sz="0" w:space="0" w:color="auto"/>
        <w:left w:val="none" w:sz="0" w:space="0" w:color="auto"/>
        <w:bottom w:val="none" w:sz="0" w:space="0" w:color="auto"/>
        <w:right w:val="none" w:sz="0" w:space="0" w:color="auto"/>
      </w:divBdr>
    </w:div>
    <w:div w:id="2061055574">
      <w:bodyDiv w:val="1"/>
      <w:marLeft w:val="0"/>
      <w:marRight w:val="0"/>
      <w:marTop w:val="0"/>
      <w:marBottom w:val="0"/>
      <w:divBdr>
        <w:top w:val="none" w:sz="0" w:space="0" w:color="auto"/>
        <w:left w:val="none" w:sz="0" w:space="0" w:color="auto"/>
        <w:bottom w:val="none" w:sz="0" w:space="0" w:color="auto"/>
        <w:right w:val="none" w:sz="0" w:space="0" w:color="auto"/>
      </w:divBdr>
    </w:div>
    <w:div w:id="2062165603">
      <w:bodyDiv w:val="1"/>
      <w:marLeft w:val="0"/>
      <w:marRight w:val="0"/>
      <w:marTop w:val="0"/>
      <w:marBottom w:val="0"/>
      <w:divBdr>
        <w:top w:val="none" w:sz="0" w:space="0" w:color="auto"/>
        <w:left w:val="none" w:sz="0" w:space="0" w:color="auto"/>
        <w:bottom w:val="none" w:sz="0" w:space="0" w:color="auto"/>
        <w:right w:val="none" w:sz="0" w:space="0" w:color="auto"/>
      </w:divBdr>
    </w:div>
    <w:div w:id="2062173038">
      <w:bodyDiv w:val="1"/>
      <w:marLeft w:val="0"/>
      <w:marRight w:val="0"/>
      <w:marTop w:val="0"/>
      <w:marBottom w:val="0"/>
      <w:divBdr>
        <w:top w:val="none" w:sz="0" w:space="0" w:color="auto"/>
        <w:left w:val="none" w:sz="0" w:space="0" w:color="auto"/>
        <w:bottom w:val="none" w:sz="0" w:space="0" w:color="auto"/>
        <w:right w:val="none" w:sz="0" w:space="0" w:color="auto"/>
      </w:divBdr>
    </w:div>
    <w:div w:id="2062705788">
      <w:bodyDiv w:val="1"/>
      <w:marLeft w:val="0"/>
      <w:marRight w:val="0"/>
      <w:marTop w:val="0"/>
      <w:marBottom w:val="0"/>
      <w:divBdr>
        <w:top w:val="none" w:sz="0" w:space="0" w:color="auto"/>
        <w:left w:val="none" w:sz="0" w:space="0" w:color="auto"/>
        <w:bottom w:val="none" w:sz="0" w:space="0" w:color="auto"/>
        <w:right w:val="none" w:sz="0" w:space="0" w:color="auto"/>
      </w:divBdr>
    </w:div>
    <w:div w:id="2063559358">
      <w:bodyDiv w:val="1"/>
      <w:marLeft w:val="0"/>
      <w:marRight w:val="0"/>
      <w:marTop w:val="0"/>
      <w:marBottom w:val="0"/>
      <w:divBdr>
        <w:top w:val="none" w:sz="0" w:space="0" w:color="auto"/>
        <w:left w:val="none" w:sz="0" w:space="0" w:color="auto"/>
        <w:bottom w:val="none" w:sz="0" w:space="0" w:color="auto"/>
        <w:right w:val="none" w:sz="0" w:space="0" w:color="auto"/>
      </w:divBdr>
    </w:div>
    <w:div w:id="2063820544">
      <w:bodyDiv w:val="1"/>
      <w:marLeft w:val="0"/>
      <w:marRight w:val="0"/>
      <w:marTop w:val="0"/>
      <w:marBottom w:val="0"/>
      <w:divBdr>
        <w:top w:val="none" w:sz="0" w:space="0" w:color="auto"/>
        <w:left w:val="none" w:sz="0" w:space="0" w:color="auto"/>
        <w:bottom w:val="none" w:sz="0" w:space="0" w:color="auto"/>
        <w:right w:val="none" w:sz="0" w:space="0" w:color="auto"/>
      </w:divBdr>
    </w:div>
    <w:div w:id="2064408650">
      <w:bodyDiv w:val="1"/>
      <w:marLeft w:val="0"/>
      <w:marRight w:val="0"/>
      <w:marTop w:val="0"/>
      <w:marBottom w:val="0"/>
      <w:divBdr>
        <w:top w:val="none" w:sz="0" w:space="0" w:color="auto"/>
        <w:left w:val="none" w:sz="0" w:space="0" w:color="auto"/>
        <w:bottom w:val="none" w:sz="0" w:space="0" w:color="auto"/>
        <w:right w:val="none" w:sz="0" w:space="0" w:color="auto"/>
      </w:divBdr>
    </w:div>
    <w:div w:id="2065254208">
      <w:bodyDiv w:val="1"/>
      <w:marLeft w:val="0"/>
      <w:marRight w:val="0"/>
      <w:marTop w:val="0"/>
      <w:marBottom w:val="0"/>
      <w:divBdr>
        <w:top w:val="none" w:sz="0" w:space="0" w:color="auto"/>
        <w:left w:val="none" w:sz="0" w:space="0" w:color="auto"/>
        <w:bottom w:val="none" w:sz="0" w:space="0" w:color="auto"/>
        <w:right w:val="none" w:sz="0" w:space="0" w:color="auto"/>
      </w:divBdr>
    </w:div>
    <w:div w:id="2065398902">
      <w:bodyDiv w:val="1"/>
      <w:marLeft w:val="0"/>
      <w:marRight w:val="0"/>
      <w:marTop w:val="0"/>
      <w:marBottom w:val="0"/>
      <w:divBdr>
        <w:top w:val="none" w:sz="0" w:space="0" w:color="auto"/>
        <w:left w:val="none" w:sz="0" w:space="0" w:color="auto"/>
        <w:bottom w:val="none" w:sz="0" w:space="0" w:color="auto"/>
        <w:right w:val="none" w:sz="0" w:space="0" w:color="auto"/>
      </w:divBdr>
    </w:div>
    <w:div w:id="2066027046">
      <w:bodyDiv w:val="1"/>
      <w:marLeft w:val="0"/>
      <w:marRight w:val="0"/>
      <w:marTop w:val="0"/>
      <w:marBottom w:val="0"/>
      <w:divBdr>
        <w:top w:val="none" w:sz="0" w:space="0" w:color="auto"/>
        <w:left w:val="none" w:sz="0" w:space="0" w:color="auto"/>
        <w:bottom w:val="none" w:sz="0" w:space="0" w:color="auto"/>
        <w:right w:val="none" w:sz="0" w:space="0" w:color="auto"/>
      </w:divBdr>
    </w:div>
    <w:div w:id="2066643136">
      <w:bodyDiv w:val="1"/>
      <w:marLeft w:val="0"/>
      <w:marRight w:val="0"/>
      <w:marTop w:val="0"/>
      <w:marBottom w:val="0"/>
      <w:divBdr>
        <w:top w:val="none" w:sz="0" w:space="0" w:color="auto"/>
        <w:left w:val="none" w:sz="0" w:space="0" w:color="auto"/>
        <w:bottom w:val="none" w:sz="0" w:space="0" w:color="auto"/>
        <w:right w:val="none" w:sz="0" w:space="0" w:color="auto"/>
      </w:divBdr>
    </w:div>
    <w:div w:id="2071031805">
      <w:bodyDiv w:val="1"/>
      <w:marLeft w:val="0"/>
      <w:marRight w:val="0"/>
      <w:marTop w:val="0"/>
      <w:marBottom w:val="0"/>
      <w:divBdr>
        <w:top w:val="none" w:sz="0" w:space="0" w:color="auto"/>
        <w:left w:val="none" w:sz="0" w:space="0" w:color="auto"/>
        <w:bottom w:val="none" w:sz="0" w:space="0" w:color="auto"/>
        <w:right w:val="none" w:sz="0" w:space="0" w:color="auto"/>
      </w:divBdr>
    </w:div>
    <w:div w:id="2072001626">
      <w:bodyDiv w:val="1"/>
      <w:marLeft w:val="0"/>
      <w:marRight w:val="0"/>
      <w:marTop w:val="0"/>
      <w:marBottom w:val="0"/>
      <w:divBdr>
        <w:top w:val="none" w:sz="0" w:space="0" w:color="auto"/>
        <w:left w:val="none" w:sz="0" w:space="0" w:color="auto"/>
        <w:bottom w:val="none" w:sz="0" w:space="0" w:color="auto"/>
        <w:right w:val="none" w:sz="0" w:space="0" w:color="auto"/>
      </w:divBdr>
    </w:div>
    <w:div w:id="2073310847">
      <w:bodyDiv w:val="1"/>
      <w:marLeft w:val="0"/>
      <w:marRight w:val="0"/>
      <w:marTop w:val="0"/>
      <w:marBottom w:val="0"/>
      <w:divBdr>
        <w:top w:val="none" w:sz="0" w:space="0" w:color="auto"/>
        <w:left w:val="none" w:sz="0" w:space="0" w:color="auto"/>
        <w:bottom w:val="none" w:sz="0" w:space="0" w:color="auto"/>
        <w:right w:val="none" w:sz="0" w:space="0" w:color="auto"/>
      </w:divBdr>
    </w:div>
    <w:div w:id="2073691139">
      <w:bodyDiv w:val="1"/>
      <w:marLeft w:val="0"/>
      <w:marRight w:val="0"/>
      <w:marTop w:val="0"/>
      <w:marBottom w:val="0"/>
      <w:divBdr>
        <w:top w:val="none" w:sz="0" w:space="0" w:color="auto"/>
        <w:left w:val="none" w:sz="0" w:space="0" w:color="auto"/>
        <w:bottom w:val="none" w:sz="0" w:space="0" w:color="auto"/>
        <w:right w:val="none" w:sz="0" w:space="0" w:color="auto"/>
      </w:divBdr>
    </w:div>
    <w:div w:id="2075160183">
      <w:bodyDiv w:val="1"/>
      <w:marLeft w:val="0"/>
      <w:marRight w:val="0"/>
      <w:marTop w:val="0"/>
      <w:marBottom w:val="0"/>
      <w:divBdr>
        <w:top w:val="none" w:sz="0" w:space="0" w:color="auto"/>
        <w:left w:val="none" w:sz="0" w:space="0" w:color="auto"/>
        <w:bottom w:val="none" w:sz="0" w:space="0" w:color="auto"/>
        <w:right w:val="none" w:sz="0" w:space="0" w:color="auto"/>
      </w:divBdr>
    </w:div>
    <w:div w:id="2075929565">
      <w:bodyDiv w:val="1"/>
      <w:marLeft w:val="0"/>
      <w:marRight w:val="0"/>
      <w:marTop w:val="0"/>
      <w:marBottom w:val="0"/>
      <w:divBdr>
        <w:top w:val="none" w:sz="0" w:space="0" w:color="auto"/>
        <w:left w:val="none" w:sz="0" w:space="0" w:color="auto"/>
        <w:bottom w:val="none" w:sz="0" w:space="0" w:color="auto"/>
        <w:right w:val="none" w:sz="0" w:space="0" w:color="auto"/>
      </w:divBdr>
    </w:div>
    <w:div w:id="2076002739">
      <w:bodyDiv w:val="1"/>
      <w:marLeft w:val="0"/>
      <w:marRight w:val="0"/>
      <w:marTop w:val="0"/>
      <w:marBottom w:val="0"/>
      <w:divBdr>
        <w:top w:val="none" w:sz="0" w:space="0" w:color="auto"/>
        <w:left w:val="none" w:sz="0" w:space="0" w:color="auto"/>
        <w:bottom w:val="none" w:sz="0" w:space="0" w:color="auto"/>
        <w:right w:val="none" w:sz="0" w:space="0" w:color="auto"/>
      </w:divBdr>
    </w:div>
    <w:div w:id="2076272168">
      <w:bodyDiv w:val="1"/>
      <w:marLeft w:val="0"/>
      <w:marRight w:val="0"/>
      <w:marTop w:val="0"/>
      <w:marBottom w:val="0"/>
      <w:divBdr>
        <w:top w:val="none" w:sz="0" w:space="0" w:color="auto"/>
        <w:left w:val="none" w:sz="0" w:space="0" w:color="auto"/>
        <w:bottom w:val="none" w:sz="0" w:space="0" w:color="auto"/>
        <w:right w:val="none" w:sz="0" w:space="0" w:color="auto"/>
      </w:divBdr>
    </w:div>
    <w:div w:id="2076777017">
      <w:bodyDiv w:val="1"/>
      <w:marLeft w:val="0"/>
      <w:marRight w:val="0"/>
      <w:marTop w:val="0"/>
      <w:marBottom w:val="0"/>
      <w:divBdr>
        <w:top w:val="none" w:sz="0" w:space="0" w:color="auto"/>
        <w:left w:val="none" w:sz="0" w:space="0" w:color="auto"/>
        <w:bottom w:val="none" w:sz="0" w:space="0" w:color="auto"/>
        <w:right w:val="none" w:sz="0" w:space="0" w:color="auto"/>
      </w:divBdr>
    </w:div>
    <w:div w:id="2078284086">
      <w:bodyDiv w:val="1"/>
      <w:marLeft w:val="0"/>
      <w:marRight w:val="0"/>
      <w:marTop w:val="0"/>
      <w:marBottom w:val="0"/>
      <w:divBdr>
        <w:top w:val="none" w:sz="0" w:space="0" w:color="auto"/>
        <w:left w:val="none" w:sz="0" w:space="0" w:color="auto"/>
        <w:bottom w:val="none" w:sz="0" w:space="0" w:color="auto"/>
        <w:right w:val="none" w:sz="0" w:space="0" w:color="auto"/>
      </w:divBdr>
    </w:div>
    <w:div w:id="2078361713">
      <w:bodyDiv w:val="1"/>
      <w:marLeft w:val="0"/>
      <w:marRight w:val="0"/>
      <w:marTop w:val="0"/>
      <w:marBottom w:val="0"/>
      <w:divBdr>
        <w:top w:val="none" w:sz="0" w:space="0" w:color="auto"/>
        <w:left w:val="none" w:sz="0" w:space="0" w:color="auto"/>
        <w:bottom w:val="none" w:sz="0" w:space="0" w:color="auto"/>
        <w:right w:val="none" w:sz="0" w:space="0" w:color="auto"/>
      </w:divBdr>
    </w:div>
    <w:div w:id="2079398907">
      <w:bodyDiv w:val="1"/>
      <w:marLeft w:val="0"/>
      <w:marRight w:val="0"/>
      <w:marTop w:val="0"/>
      <w:marBottom w:val="0"/>
      <w:divBdr>
        <w:top w:val="none" w:sz="0" w:space="0" w:color="auto"/>
        <w:left w:val="none" w:sz="0" w:space="0" w:color="auto"/>
        <w:bottom w:val="none" w:sz="0" w:space="0" w:color="auto"/>
        <w:right w:val="none" w:sz="0" w:space="0" w:color="auto"/>
      </w:divBdr>
    </w:div>
    <w:div w:id="2080202984">
      <w:bodyDiv w:val="1"/>
      <w:marLeft w:val="0"/>
      <w:marRight w:val="0"/>
      <w:marTop w:val="0"/>
      <w:marBottom w:val="0"/>
      <w:divBdr>
        <w:top w:val="none" w:sz="0" w:space="0" w:color="auto"/>
        <w:left w:val="none" w:sz="0" w:space="0" w:color="auto"/>
        <w:bottom w:val="none" w:sz="0" w:space="0" w:color="auto"/>
        <w:right w:val="none" w:sz="0" w:space="0" w:color="auto"/>
      </w:divBdr>
    </w:div>
    <w:div w:id="2080667166">
      <w:bodyDiv w:val="1"/>
      <w:marLeft w:val="0"/>
      <w:marRight w:val="0"/>
      <w:marTop w:val="0"/>
      <w:marBottom w:val="0"/>
      <w:divBdr>
        <w:top w:val="none" w:sz="0" w:space="0" w:color="auto"/>
        <w:left w:val="none" w:sz="0" w:space="0" w:color="auto"/>
        <w:bottom w:val="none" w:sz="0" w:space="0" w:color="auto"/>
        <w:right w:val="none" w:sz="0" w:space="0" w:color="auto"/>
      </w:divBdr>
    </w:div>
    <w:div w:id="2081443272">
      <w:bodyDiv w:val="1"/>
      <w:marLeft w:val="0"/>
      <w:marRight w:val="0"/>
      <w:marTop w:val="0"/>
      <w:marBottom w:val="0"/>
      <w:divBdr>
        <w:top w:val="none" w:sz="0" w:space="0" w:color="auto"/>
        <w:left w:val="none" w:sz="0" w:space="0" w:color="auto"/>
        <w:bottom w:val="none" w:sz="0" w:space="0" w:color="auto"/>
        <w:right w:val="none" w:sz="0" w:space="0" w:color="auto"/>
      </w:divBdr>
    </w:div>
    <w:div w:id="2081555877">
      <w:bodyDiv w:val="1"/>
      <w:marLeft w:val="0"/>
      <w:marRight w:val="0"/>
      <w:marTop w:val="0"/>
      <w:marBottom w:val="0"/>
      <w:divBdr>
        <w:top w:val="none" w:sz="0" w:space="0" w:color="auto"/>
        <w:left w:val="none" w:sz="0" w:space="0" w:color="auto"/>
        <w:bottom w:val="none" w:sz="0" w:space="0" w:color="auto"/>
        <w:right w:val="none" w:sz="0" w:space="0" w:color="auto"/>
      </w:divBdr>
    </w:div>
    <w:div w:id="2083409415">
      <w:bodyDiv w:val="1"/>
      <w:marLeft w:val="0"/>
      <w:marRight w:val="0"/>
      <w:marTop w:val="0"/>
      <w:marBottom w:val="0"/>
      <w:divBdr>
        <w:top w:val="none" w:sz="0" w:space="0" w:color="auto"/>
        <w:left w:val="none" w:sz="0" w:space="0" w:color="auto"/>
        <w:bottom w:val="none" w:sz="0" w:space="0" w:color="auto"/>
        <w:right w:val="none" w:sz="0" w:space="0" w:color="auto"/>
      </w:divBdr>
    </w:div>
    <w:div w:id="2083601823">
      <w:bodyDiv w:val="1"/>
      <w:marLeft w:val="0"/>
      <w:marRight w:val="0"/>
      <w:marTop w:val="0"/>
      <w:marBottom w:val="0"/>
      <w:divBdr>
        <w:top w:val="none" w:sz="0" w:space="0" w:color="auto"/>
        <w:left w:val="none" w:sz="0" w:space="0" w:color="auto"/>
        <w:bottom w:val="none" w:sz="0" w:space="0" w:color="auto"/>
        <w:right w:val="none" w:sz="0" w:space="0" w:color="auto"/>
      </w:divBdr>
    </w:div>
    <w:div w:id="2083602057">
      <w:bodyDiv w:val="1"/>
      <w:marLeft w:val="0"/>
      <w:marRight w:val="0"/>
      <w:marTop w:val="0"/>
      <w:marBottom w:val="0"/>
      <w:divBdr>
        <w:top w:val="none" w:sz="0" w:space="0" w:color="auto"/>
        <w:left w:val="none" w:sz="0" w:space="0" w:color="auto"/>
        <w:bottom w:val="none" w:sz="0" w:space="0" w:color="auto"/>
        <w:right w:val="none" w:sz="0" w:space="0" w:color="auto"/>
      </w:divBdr>
    </w:div>
    <w:div w:id="2085225764">
      <w:bodyDiv w:val="1"/>
      <w:marLeft w:val="0"/>
      <w:marRight w:val="0"/>
      <w:marTop w:val="0"/>
      <w:marBottom w:val="0"/>
      <w:divBdr>
        <w:top w:val="none" w:sz="0" w:space="0" w:color="auto"/>
        <w:left w:val="none" w:sz="0" w:space="0" w:color="auto"/>
        <w:bottom w:val="none" w:sz="0" w:space="0" w:color="auto"/>
        <w:right w:val="none" w:sz="0" w:space="0" w:color="auto"/>
      </w:divBdr>
    </w:div>
    <w:div w:id="2085713066">
      <w:bodyDiv w:val="1"/>
      <w:marLeft w:val="0"/>
      <w:marRight w:val="0"/>
      <w:marTop w:val="0"/>
      <w:marBottom w:val="0"/>
      <w:divBdr>
        <w:top w:val="none" w:sz="0" w:space="0" w:color="auto"/>
        <w:left w:val="none" w:sz="0" w:space="0" w:color="auto"/>
        <w:bottom w:val="none" w:sz="0" w:space="0" w:color="auto"/>
        <w:right w:val="none" w:sz="0" w:space="0" w:color="auto"/>
      </w:divBdr>
    </w:div>
    <w:div w:id="2086342021">
      <w:bodyDiv w:val="1"/>
      <w:marLeft w:val="0"/>
      <w:marRight w:val="0"/>
      <w:marTop w:val="0"/>
      <w:marBottom w:val="0"/>
      <w:divBdr>
        <w:top w:val="none" w:sz="0" w:space="0" w:color="auto"/>
        <w:left w:val="none" w:sz="0" w:space="0" w:color="auto"/>
        <w:bottom w:val="none" w:sz="0" w:space="0" w:color="auto"/>
        <w:right w:val="none" w:sz="0" w:space="0" w:color="auto"/>
      </w:divBdr>
    </w:div>
    <w:div w:id="2087455857">
      <w:bodyDiv w:val="1"/>
      <w:marLeft w:val="0"/>
      <w:marRight w:val="0"/>
      <w:marTop w:val="0"/>
      <w:marBottom w:val="0"/>
      <w:divBdr>
        <w:top w:val="none" w:sz="0" w:space="0" w:color="auto"/>
        <w:left w:val="none" w:sz="0" w:space="0" w:color="auto"/>
        <w:bottom w:val="none" w:sz="0" w:space="0" w:color="auto"/>
        <w:right w:val="none" w:sz="0" w:space="0" w:color="auto"/>
      </w:divBdr>
    </w:div>
    <w:div w:id="2088183847">
      <w:bodyDiv w:val="1"/>
      <w:marLeft w:val="0"/>
      <w:marRight w:val="0"/>
      <w:marTop w:val="0"/>
      <w:marBottom w:val="0"/>
      <w:divBdr>
        <w:top w:val="none" w:sz="0" w:space="0" w:color="auto"/>
        <w:left w:val="none" w:sz="0" w:space="0" w:color="auto"/>
        <w:bottom w:val="none" w:sz="0" w:space="0" w:color="auto"/>
        <w:right w:val="none" w:sz="0" w:space="0" w:color="auto"/>
      </w:divBdr>
    </w:div>
    <w:div w:id="2089767008">
      <w:bodyDiv w:val="1"/>
      <w:marLeft w:val="0"/>
      <w:marRight w:val="0"/>
      <w:marTop w:val="0"/>
      <w:marBottom w:val="0"/>
      <w:divBdr>
        <w:top w:val="none" w:sz="0" w:space="0" w:color="auto"/>
        <w:left w:val="none" w:sz="0" w:space="0" w:color="auto"/>
        <w:bottom w:val="none" w:sz="0" w:space="0" w:color="auto"/>
        <w:right w:val="none" w:sz="0" w:space="0" w:color="auto"/>
      </w:divBdr>
    </w:div>
    <w:div w:id="2090541057">
      <w:bodyDiv w:val="1"/>
      <w:marLeft w:val="0"/>
      <w:marRight w:val="0"/>
      <w:marTop w:val="0"/>
      <w:marBottom w:val="0"/>
      <w:divBdr>
        <w:top w:val="none" w:sz="0" w:space="0" w:color="auto"/>
        <w:left w:val="none" w:sz="0" w:space="0" w:color="auto"/>
        <w:bottom w:val="none" w:sz="0" w:space="0" w:color="auto"/>
        <w:right w:val="none" w:sz="0" w:space="0" w:color="auto"/>
      </w:divBdr>
    </w:div>
    <w:div w:id="2091803748">
      <w:bodyDiv w:val="1"/>
      <w:marLeft w:val="0"/>
      <w:marRight w:val="0"/>
      <w:marTop w:val="0"/>
      <w:marBottom w:val="0"/>
      <w:divBdr>
        <w:top w:val="none" w:sz="0" w:space="0" w:color="auto"/>
        <w:left w:val="none" w:sz="0" w:space="0" w:color="auto"/>
        <w:bottom w:val="none" w:sz="0" w:space="0" w:color="auto"/>
        <w:right w:val="none" w:sz="0" w:space="0" w:color="auto"/>
      </w:divBdr>
    </w:div>
    <w:div w:id="2094280030">
      <w:bodyDiv w:val="1"/>
      <w:marLeft w:val="0"/>
      <w:marRight w:val="0"/>
      <w:marTop w:val="0"/>
      <w:marBottom w:val="0"/>
      <w:divBdr>
        <w:top w:val="none" w:sz="0" w:space="0" w:color="auto"/>
        <w:left w:val="none" w:sz="0" w:space="0" w:color="auto"/>
        <w:bottom w:val="none" w:sz="0" w:space="0" w:color="auto"/>
        <w:right w:val="none" w:sz="0" w:space="0" w:color="auto"/>
      </w:divBdr>
    </w:div>
    <w:div w:id="2094474002">
      <w:bodyDiv w:val="1"/>
      <w:marLeft w:val="0"/>
      <w:marRight w:val="0"/>
      <w:marTop w:val="0"/>
      <w:marBottom w:val="0"/>
      <w:divBdr>
        <w:top w:val="none" w:sz="0" w:space="0" w:color="auto"/>
        <w:left w:val="none" w:sz="0" w:space="0" w:color="auto"/>
        <w:bottom w:val="none" w:sz="0" w:space="0" w:color="auto"/>
        <w:right w:val="none" w:sz="0" w:space="0" w:color="auto"/>
      </w:divBdr>
    </w:div>
    <w:div w:id="2094550158">
      <w:bodyDiv w:val="1"/>
      <w:marLeft w:val="0"/>
      <w:marRight w:val="0"/>
      <w:marTop w:val="0"/>
      <w:marBottom w:val="0"/>
      <w:divBdr>
        <w:top w:val="none" w:sz="0" w:space="0" w:color="auto"/>
        <w:left w:val="none" w:sz="0" w:space="0" w:color="auto"/>
        <w:bottom w:val="none" w:sz="0" w:space="0" w:color="auto"/>
        <w:right w:val="none" w:sz="0" w:space="0" w:color="auto"/>
      </w:divBdr>
    </w:div>
    <w:div w:id="2094929308">
      <w:bodyDiv w:val="1"/>
      <w:marLeft w:val="0"/>
      <w:marRight w:val="0"/>
      <w:marTop w:val="0"/>
      <w:marBottom w:val="0"/>
      <w:divBdr>
        <w:top w:val="none" w:sz="0" w:space="0" w:color="auto"/>
        <w:left w:val="none" w:sz="0" w:space="0" w:color="auto"/>
        <w:bottom w:val="none" w:sz="0" w:space="0" w:color="auto"/>
        <w:right w:val="none" w:sz="0" w:space="0" w:color="auto"/>
      </w:divBdr>
    </w:div>
    <w:div w:id="2097244849">
      <w:bodyDiv w:val="1"/>
      <w:marLeft w:val="0"/>
      <w:marRight w:val="0"/>
      <w:marTop w:val="0"/>
      <w:marBottom w:val="0"/>
      <w:divBdr>
        <w:top w:val="none" w:sz="0" w:space="0" w:color="auto"/>
        <w:left w:val="none" w:sz="0" w:space="0" w:color="auto"/>
        <w:bottom w:val="none" w:sz="0" w:space="0" w:color="auto"/>
        <w:right w:val="none" w:sz="0" w:space="0" w:color="auto"/>
      </w:divBdr>
    </w:div>
    <w:div w:id="2097629466">
      <w:bodyDiv w:val="1"/>
      <w:marLeft w:val="0"/>
      <w:marRight w:val="0"/>
      <w:marTop w:val="0"/>
      <w:marBottom w:val="0"/>
      <w:divBdr>
        <w:top w:val="none" w:sz="0" w:space="0" w:color="auto"/>
        <w:left w:val="none" w:sz="0" w:space="0" w:color="auto"/>
        <w:bottom w:val="none" w:sz="0" w:space="0" w:color="auto"/>
        <w:right w:val="none" w:sz="0" w:space="0" w:color="auto"/>
      </w:divBdr>
    </w:div>
    <w:div w:id="2097827549">
      <w:bodyDiv w:val="1"/>
      <w:marLeft w:val="0"/>
      <w:marRight w:val="0"/>
      <w:marTop w:val="0"/>
      <w:marBottom w:val="0"/>
      <w:divBdr>
        <w:top w:val="none" w:sz="0" w:space="0" w:color="auto"/>
        <w:left w:val="none" w:sz="0" w:space="0" w:color="auto"/>
        <w:bottom w:val="none" w:sz="0" w:space="0" w:color="auto"/>
        <w:right w:val="none" w:sz="0" w:space="0" w:color="auto"/>
      </w:divBdr>
    </w:div>
    <w:div w:id="2098864802">
      <w:bodyDiv w:val="1"/>
      <w:marLeft w:val="0"/>
      <w:marRight w:val="0"/>
      <w:marTop w:val="0"/>
      <w:marBottom w:val="0"/>
      <w:divBdr>
        <w:top w:val="none" w:sz="0" w:space="0" w:color="auto"/>
        <w:left w:val="none" w:sz="0" w:space="0" w:color="auto"/>
        <w:bottom w:val="none" w:sz="0" w:space="0" w:color="auto"/>
        <w:right w:val="none" w:sz="0" w:space="0" w:color="auto"/>
      </w:divBdr>
    </w:div>
    <w:div w:id="2099135426">
      <w:bodyDiv w:val="1"/>
      <w:marLeft w:val="0"/>
      <w:marRight w:val="0"/>
      <w:marTop w:val="0"/>
      <w:marBottom w:val="0"/>
      <w:divBdr>
        <w:top w:val="none" w:sz="0" w:space="0" w:color="auto"/>
        <w:left w:val="none" w:sz="0" w:space="0" w:color="auto"/>
        <w:bottom w:val="none" w:sz="0" w:space="0" w:color="auto"/>
        <w:right w:val="none" w:sz="0" w:space="0" w:color="auto"/>
      </w:divBdr>
    </w:div>
    <w:div w:id="2099398842">
      <w:bodyDiv w:val="1"/>
      <w:marLeft w:val="0"/>
      <w:marRight w:val="0"/>
      <w:marTop w:val="0"/>
      <w:marBottom w:val="0"/>
      <w:divBdr>
        <w:top w:val="none" w:sz="0" w:space="0" w:color="auto"/>
        <w:left w:val="none" w:sz="0" w:space="0" w:color="auto"/>
        <w:bottom w:val="none" w:sz="0" w:space="0" w:color="auto"/>
        <w:right w:val="none" w:sz="0" w:space="0" w:color="auto"/>
      </w:divBdr>
    </w:div>
    <w:div w:id="2099594669">
      <w:bodyDiv w:val="1"/>
      <w:marLeft w:val="0"/>
      <w:marRight w:val="0"/>
      <w:marTop w:val="0"/>
      <w:marBottom w:val="0"/>
      <w:divBdr>
        <w:top w:val="none" w:sz="0" w:space="0" w:color="auto"/>
        <w:left w:val="none" w:sz="0" w:space="0" w:color="auto"/>
        <w:bottom w:val="none" w:sz="0" w:space="0" w:color="auto"/>
        <w:right w:val="none" w:sz="0" w:space="0" w:color="auto"/>
      </w:divBdr>
    </w:div>
    <w:div w:id="2100253250">
      <w:bodyDiv w:val="1"/>
      <w:marLeft w:val="0"/>
      <w:marRight w:val="0"/>
      <w:marTop w:val="0"/>
      <w:marBottom w:val="0"/>
      <w:divBdr>
        <w:top w:val="none" w:sz="0" w:space="0" w:color="auto"/>
        <w:left w:val="none" w:sz="0" w:space="0" w:color="auto"/>
        <w:bottom w:val="none" w:sz="0" w:space="0" w:color="auto"/>
        <w:right w:val="none" w:sz="0" w:space="0" w:color="auto"/>
      </w:divBdr>
    </w:div>
    <w:div w:id="2101098351">
      <w:bodyDiv w:val="1"/>
      <w:marLeft w:val="0"/>
      <w:marRight w:val="0"/>
      <w:marTop w:val="0"/>
      <w:marBottom w:val="0"/>
      <w:divBdr>
        <w:top w:val="none" w:sz="0" w:space="0" w:color="auto"/>
        <w:left w:val="none" w:sz="0" w:space="0" w:color="auto"/>
        <w:bottom w:val="none" w:sz="0" w:space="0" w:color="auto"/>
        <w:right w:val="none" w:sz="0" w:space="0" w:color="auto"/>
      </w:divBdr>
    </w:div>
    <w:div w:id="2101364027">
      <w:bodyDiv w:val="1"/>
      <w:marLeft w:val="0"/>
      <w:marRight w:val="0"/>
      <w:marTop w:val="0"/>
      <w:marBottom w:val="0"/>
      <w:divBdr>
        <w:top w:val="none" w:sz="0" w:space="0" w:color="auto"/>
        <w:left w:val="none" w:sz="0" w:space="0" w:color="auto"/>
        <w:bottom w:val="none" w:sz="0" w:space="0" w:color="auto"/>
        <w:right w:val="none" w:sz="0" w:space="0" w:color="auto"/>
      </w:divBdr>
    </w:div>
    <w:div w:id="2101682816">
      <w:bodyDiv w:val="1"/>
      <w:marLeft w:val="0"/>
      <w:marRight w:val="0"/>
      <w:marTop w:val="0"/>
      <w:marBottom w:val="0"/>
      <w:divBdr>
        <w:top w:val="none" w:sz="0" w:space="0" w:color="auto"/>
        <w:left w:val="none" w:sz="0" w:space="0" w:color="auto"/>
        <w:bottom w:val="none" w:sz="0" w:space="0" w:color="auto"/>
        <w:right w:val="none" w:sz="0" w:space="0" w:color="auto"/>
      </w:divBdr>
    </w:div>
    <w:div w:id="2102529523">
      <w:bodyDiv w:val="1"/>
      <w:marLeft w:val="0"/>
      <w:marRight w:val="0"/>
      <w:marTop w:val="0"/>
      <w:marBottom w:val="0"/>
      <w:divBdr>
        <w:top w:val="none" w:sz="0" w:space="0" w:color="auto"/>
        <w:left w:val="none" w:sz="0" w:space="0" w:color="auto"/>
        <w:bottom w:val="none" w:sz="0" w:space="0" w:color="auto"/>
        <w:right w:val="none" w:sz="0" w:space="0" w:color="auto"/>
      </w:divBdr>
    </w:div>
    <w:div w:id="2103645267">
      <w:bodyDiv w:val="1"/>
      <w:marLeft w:val="0"/>
      <w:marRight w:val="0"/>
      <w:marTop w:val="0"/>
      <w:marBottom w:val="0"/>
      <w:divBdr>
        <w:top w:val="none" w:sz="0" w:space="0" w:color="auto"/>
        <w:left w:val="none" w:sz="0" w:space="0" w:color="auto"/>
        <w:bottom w:val="none" w:sz="0" w:space="0" w:color="auto"/>
        <w:right w:val="none" w:sz="0" w:space="0" w:color="auto"/>
      </w:divBdr>
    </w:div>
    <w:div w:id="2104371502">
      <w:bodyDiv w:val="1"/>
      <w:marLeft w:val="0"/>
      <w:marRight w:val="0"/>
      <w:marTop w:val="0"/>
      <w:marBottom w:val="0"/>
      <w:divBdr>
        <w:top w:val="none" w:sz="0" w:space="0" w:color="auto"/>
        <w:left w:val="none" w:sz="0" w:space="0" w:color="auto"/>
        <w:bottom w:val="none" w:sz="0" w:space="0" w:color="auto"/>
        <w:right w:val="none" w:sz="0" w:space="0" w:color="auto"/>
      </w:divBdr>
    </w:div>
    <w:div w:id="2104524204">
      <w:bodyDiv w:val="1"/>
      <w:marLeft w:val="0"/>
      <w:marRight w:val="0"/>
      <w:marTop w:val="0"/>
      <w:marBottom w:val="0"/>
      <w:divBdr>
        <w:top w:val="none" w:sz="0" w:space="0" w:color="auto"/>
        <w:left w:val="none" w:sz="0" w:space="0" w:color="auto"/>
        <w:bottom w:val="none" w:sz="0" w:space="0" w:color="auto"/>
        <w:right w:val="none" w:sz="0" w:space="0" w:color="auto"/>
      </w:divBdr>
    </w:div>
    <w:div w:id="2104915868">
      <w:bodyDiv w:val="1"/>
      <w:marLeft w:val="0"/>
      <w:marRight w:val="0"/>
      <w:marTop w:val="0"/>
      <w:marBottom w:val="0"/>
      <w:divBdr>
        <w:top w:val="none" w:sz="0" w:space="0" w:color="auto"/>
        <w:left w:val="none" w:sz="0" w:space="0" w:color="auto"/>
        <w:bottom w:val="none" w:sz="0" w:space="0" w:color="auto"/>
        <w:right w:val="none" w:sz="0" w:space="0" w:color="auto"/>
      </w:divBdr>
    </w:div>
    <w:div w:id="2105104380">
      <w:bodyDiv w:val="1"/>
      <w:marLeft w:val="0"/>
      <w:marRight w:val="0"/>
      <w:marTop w:val="0"/>
      <w:marBottom w:val="0"/>
      <w:divBdr>
        <w:top w:val="none" w:sz="0" w:space="0" w:color="auto"/>
        <w:left w:val="none" w:sz="0" w:space="0" w:color="auto"/>
        <w:bottom w:val="none" w:sz="0" w:space="0" w:color="auto"/>
        <w:right w:val="none" w:sz="0" w:space="0" w:color="auto"/>
      </w:divBdr>
    </w:div>
    <w:div w:id="2106076211">
      <w:bodyDiv w:val="1"/>
      <w:marLeft w:val="0"/>
      <w:marRight w:val="0"/>
      <w:marTop w:val="0"/>
      <w:marBottom w:val="0"/>
      <w:divBdr>
        <w:top w:val="none" w:sz="0" w:space="0" w:color="auto"/>
        <w:left w:val="none" w:sz="0" w:space="0" w:color="auto"/>
        <w:bottom w:val="none" w:sz="0" w:space="0" w:color="auto"/>
        <w:right w:val="none" w:sz="0" w:space="0" w:color="auto"/>
      </w:divBdr>
    </w:div>
    <w:div w:id="2107379279">
      <w:bodyDiv w:val="1"/>
      <w:marLeft w:val="0"/>
      <w:marRight w:val="0"/>
      <w:marTop w:val="0"/>
      <w:marBottom w:val="0"/>
      <w:divBdr>
        <w:top w:val="none" w:sz="0" w:space="0" w:color="auto"/>
        <w:left w:val="none" w:sz="0" w:space="0" w:color="auto"/>
        <w:bottom w:val="none" w:sz="0" w:space="0" w:color="auto"/>
        <w:right w:val="none" w:sz="0" w:space="0" w:color="auto"/>
      </w:divBdr>
    </w:div>
    <w:div w:id="2107848137">
      <w:bodyDiv w:val="1"/>
      <w:marLeft w:val="0"/>
      <w:marRight w:val="0"/>
      <w:marTop w:val="0"/>
      <w:marBottom w:val="0"/>
      <w:divBdr>
        <w:top w:val="none" w:sz="0" w:space="0" w:color="auto"/>
        <w:left w:val="none" w:sz="0" w:space="0" w:color="auto"/>
        <w:bottom w:val="none" w:sz="0" w:space="0" w:color="auto"/>
        <w:right w:val="none" w:sz="0" w:space="0" w:color="auto"/>
      </w:divBdr>
    </w:div>
    <w:div w:id="2109888721">
      <w:bodyDiv w:val="1"/>
      <w:marLeft w:val="0"/>
      <w:marRight w:val="0"/>
      <w:marTop w:val="0"/>
      <w:marBottom w:val="0"/>
      <w:divBdr>
        <w:top w:val="none" w:sz="0" w:space="0" w:color="auto"/>
        <w:left w:val="none" w:sz="0" w:space="0" w:color="auto"/>
        <w:bottom w:val="none" w:sz="0" w:space="0" w:color="auto"/>
        <w:right w:val="none" w:sz="0" w:space="0" w:color="auto"/>
      </w:divBdr>
    </w:div>
    <w:div w:id="2110463231">
      <w:bodyDiv w:val="1"/>
      <w:marLeft w:val="0"/>
      <w:marRight w:val="0"/>
      <w:marTop w:val="0"/>
      <w:marBottom w:val="0"/>
      <w:divBdr>
        <w:top w:val="none" w:sz="0" w:space="0" w:color="auto"/>
        <w:left w:val="none" w:sz="0" w:space="0" w:color="auto"/>
        <w:bottom w:val="none" w:sz="0" w:space="0" w:color="auto"/>
        <w:right w:val="none" w:sz="0" w:space="0" w:color="auto"/>
      </w:divBdr>
    </w:div>
    <w:div w:id="2111970794">
      <w:bodyDiv w:val="1"/>
      <w:marLeft w:val="0"/>
      <w:marRight w:val="0"/>
      <w:marTop w:val="0"/>
      <w:marBottom w:val="0"/>
      <w:divBdr>
        <w:top w:val="none" w:sz="0" w:space="0" w:color="auto"/>
        <w:left w:val="none" w:sz="0" w:space="0" w:color="auto"/>
        <w:bottom w:val="none" w:sz="0" w:space="0" w:color="auto"/>
        <w:right w:val="none" w:sz="0" w:space="0" w:color="auto"/>
      </w:divBdr>
    </w:div>
    <w:div w:id="2113234176">
      <w:bodyDiv w:val="1"/>
      <w:marLeft w:val="0"/>
      <w:marRight w:val="0"/>
      <w:marTop w:val="0"/>
      <w:marBottom w:val="0"/>
      <w:divBdr>
        <w:top w:val="none" w:sz="0" w:space="0" w:color="auto"/>
        <w:left w:val="none" w:sz="0" w:space="0" w:color="auto"/>
        <w:bottom w:val="none" w:sz="0" w:space="0" w:color="auto"/>
        <w:right w:val="none" w:sz="0" w:space="0" w:color="auto"/>
      </w:divBdr>
    </w:div>
    <w:div w:id="2113281313">
      <w:bodyDiv w:val="1"/>
      <w:marLeft w:val="0"/>
      <w:marRight w:val="0"/>
      <w:marTop w:val="0"/>
      <w:marBottom w:val="0"/>
      <w:divBdr>
        <w:top w:val="none" w:sz="0" w:space="0" w:color="auto"/>
        <w:left w:val="none" w:sz="0" w:space="0" w:color="auto"/>
        <w:bottom w:val="none" w:sz="0" w:space="0" w:color="auto"/>
        <w:right w:val="none" w:sz="0" w:space="0" w:color="auto"/>
      </w:divBdr>
    </w:div>
    <w:div w:id="2114745551">
      <w:bodyDiv w:val="1"/>
      <w:marLeft w:val="0"/>
      <w:marRight w:val="0"/>
      <w:marTop w:val="0"/>
      <w:marBottom w:val="0"/>
      <w:divBdr>
        <w:top w:val="none" w:sz="0" w:space="0" w:color="auto"/>
        <w:left w:val="none" w:sz="0" w:space="0" w:color="auto"/>
        <w:bottom w:val="none" w:sz="0" w:space="0" w:color="auto"/>
        <w:right w:val="none" w:sz="0" w:space="0" w:color="auto"/>
      </w:divBdr>
    </w:div>
    <w:div w:id="2115124752">
      <w:bodyDiv w:val="1"/>
      <w:marLeft w:val="0"/>
      <w:marRight w:val="0"/>
      <w:marTop w:val="0"/>
      <w:marBottom w:val="0"/>
      <w:divBdr>
        <w:top w:val="none" w:sz="0" w:space="0" w:color="auto"/>
        <w:left w:val="none" w:sz="0" w:space="0" w:color="auto"/>
        <w:bottom w:val="none" w:sz="0" w:space="0" w:color="auto"/>
        <w:right w:val="none" w:sz="0" w:space="0" w:color="auto"/>
      </w:divBdr>
    </w:div>
    <w:div w:id="2115131060">
      <w:bodyDiv w:val="1"/>
      <w:marLeft w:val="0"/>
      <w:marRight w:val="0"/>
      <w:marTop w:val="0"/>
      <w:marBottom w:val="0"/>
      <w:divBdr>
        <w:top w:val="none" w:sz="0" w:space="0" w:color="auto"/>
        <w:left w:val="none" w:sz="0" w:space="0" w:color="auto"/>
        <w:bottom w:val="none" w:sz="0" w:space="0" w:color="auto"/>
        <w:right w:val="none" w:sz="0" w:space="0" w:color="auto"/>
      </w:divBdr>
    </w:div>
    <w:div w:id="2117214047">
      <w:bodyDiv w:val="1"/>
      <w:marLeft w:val="0"/>
      <w:marRight w:val="0"/>
      <w:marTop w:val="0"/>
      <w:marBottom w:val="0"/>
      <w:divBdr>
        <w:top w:val="none" w:sz="0" w:space="0" w:color="auto"/>
        <w:left w:val="none" w:sz="0" w:space="0" w:color="auto"/>
        <w:bottom w:val="none" w:sz="0" w:space="0" w:color="auto"/>
        <w:right w:val="none" w:sz="0" w:space="0" w:color="auto"/>
      </w:divBdr>
    </w:div>
    <w:div w:id="2117559325">
      <w:bodyDiv w:val="1"/>
      <w:marLeft w:val="0"/>
      <w:marRight w:val="0"/>
      <w:marTop w:val="0"/>
      <w:marBottom w:val="0"/>
      <w:divBdr>
        <w:top w:val="none" w:sz="0" w:space="0" w:color="auto"/>
        <w:left w:val="none" w:sz="0" w:space="0" w:color="auto"/>
        <w:bottom w:val="none" w:sz="0" w:space="0" w:color="auto"/>
        <w:right w:val="none" w:sz="0" w:space="0" w:color="auto"/>
      </w:divBdr>
    </w:div>
    <w:div w:id="2119642503">
      <w:bodyDiv w:val="1"/>
      <w:marLeft w:val="0"/>
      <w:marRight w:val="0"/>
      <w:marTop w:val="0"/>
      <w:marBottom w:val="0"/>
      <w:divBdr>
        <w:top w:val="none" w:sz="0" w:space="0" w:color="auto"/>
        <w:left w:val="none" w:sz="0" w:space="0" w:color="auto"/>
        <w:bottom w:val="none" w:sz="0" w:space="0" w:color="auto"/>
        <w:right w:val="none" w:sz="0" w:space="0" w:color="auto"/>
      </w:divBdr>
    </w:div>
    <w:div w:id="2120296613">
      <w:bodyDiv w:val="1"/>
      <w:marLeft w:val="0"/>
      <w:marRight w:val="0"/>
      <w:marTop w:val="0"/>
      <w:marBottom w:val="0"/>
      <w:divBdr>
        <w:top w:val="none" w:sz="0" w:space="0" w:color="auto"/>
        <w:left w:val="none" w:sz="0" w:space="0" w:color="auto"/>
        <w:bottom w:val="none" w:sz="0" w:space="0" w:color="auto"/>
        <w:right w:val="none" w:sz="0" w:space="0" w:color="auto"/>
      </w:divBdr>
    </w:div>
    <w:div w:id="2120905553">
      <w:bodyDiv w:val="1"/>
      <w:marLeft w:val="0"/>
      <w:marRight w:val="0"/>
      <w:marTop w:val="0"/>
      <w:marBottom w:val="0"/>
      <w:divBdr>
        <w:top w:val="none" w:sz="0" w:space="0" w:color="auto"/>
        <w:left w:val="none" w:sz="0" w:space="0" w:color="auto"/>
        <w:bottom w:val="none" w:sz="0" w:space="0" w:color="auto"/>
        <w:right w:val="none" w:sz="0" w:space="0" w:color="auto"/>
      </w:divBdr>
    </w:div>
    <w:div w:id="2122994957">
      <w:bodyDiv w:val="1"/>
      <w:marLeft w:val="0"/>
      <w:marRight w:val="0"/>
      <w:marTop w:val="0"/>
      <w:marBottom w:val="0"/>
      <w:divBdr>
        <w:top w:val="none" w:sz="0" w:space="0" w:color="auto"/>
        <w:left w:val="none" w:sz="0" w:space="0" w:color="auto"/>
        <w:bottom w:val="none" w:sz="0" w:space="0" w:color="auto"/>
        <w:right w:val="none" w:sz="0" w:space="0" w:color="auto"/>
      </w:divBdr>
    </w:div>
    <w:div w:id="2123304853">
      <w:bodyDiv w:val="1"/>
      <w:marLeft w:val="0"/>
      <w:marRight w:val="0"/>
      <w:marTop w:val="0"/>
      <w:marBottom w:val="0"/>
      <w:divBdr>
        <w:top w:val="none" w:sz="0" w:space="0" w:color="auto"/>
        <w:left w:val="none" w:sz="0" w:space="0" w:color="auto"/>
        <w:bottom w:val="none" w:sz="0" w:space="0" w:color="auto"/>
        <w:right w:val="none" w:sz="0" w:space="0" w:color="auto"/>
      </w:divBdr>
    </w:div>
    <w:div w:id="2123453561">
      <w:bodyDiv w:val="1"/>
      <w:marLeft w:val="0"/>
      <w:marRight w:val="0"/>
      <w:marTop w:val="0"/>
      <w:marBottom w:val="0"/>
      <w:divBdr>
        <w:top w:val="none" w:sz="0" w:space="0" w:color="auto"/>
        <w:left w:val="none" w:sz="0" w:space="0" w:color="auto"/>
        <w:bottom w:val="none" w:sz="0" w:space="0" w:color="auto"/>
        <w:right w:val="none" w:sz="0" w:space="0" w:color="auto"/>
      </w:divBdr>
    </w:div>
    <w:div w:id="2124685838">
      <w:bodyDiv w:val="1"/>
      <w:marLeft w:val="0"/>
      <w:marRight w:val="0"/>
      <w:marTop w:val="0"/>
      <w:marBottom w:val="0"/>
      <w:divBdr>
        <w:top w:val="none" w:sz="0" w:space="0" w:color="auto"/>
        <w:left w:val="none" w:sz="0" w:space="0" w:color="auto"/>
        <w:bottom w:val="none" w:sz="0" w:space="0" w:color="auto"/>
        <w:right w:val="none" w:sz="0" w:space="0" w:color="auto"/>
      </w:divBdr>
    </w:div>
    <w:div w:id="2125080055">
      <w:bodyDiv w:val="1"/>
      <w:marLeft w:val="0"/>
      <w:marRight w:val="0"/>
      <w:marTop w:val="0"/>
      <w:marBottom w:val="0"/>
      <w:divBdr>
        <w:top w:val="none" w:sz="0" w:space="0" w:color="auto"/>
        <w:left w:val="none" w:sz="0" w:space="0" w:color="auto"/>
        <w:bottom w:val="none" w:sz="0" w:space="0" w:color="auto"/>
        <w:right w:val="none" w:sz="0" w:space="0" w:color="auto"/>
      </w:divBdr>
    </w:div>
    <w:div w:id="2126806986">
      <w:bodyDiv w:val="1"/>
      <w:marLeft w:val="0"/>
      <w:marRight w:val="0"/>
      <w:marTop w:val="0"/>
      <w:marBottom w:val="0"/>
      <w:divBdr>
        <w:top w:val="none" w:sz="0" w:space="0" w:color="auto"/>
        <w:left w:val="none" w:sz="0" w:space="0" w:color="auto"/>
        <w:bottom w:val="none" w:sz="0" w:space="0" w:color="auto"/>
        <w:right w:val="none" w:sz="0" w:space="0" w:color="auto"/>
      </w:divBdr>
    </w:div>
    <w:div w:id="2127041816">
      <w:bodyDiv w:val="1"/>
      <w:marLeft w:val="0"/>
      <w:marRight w:val="0"/>
      <w:marTop w:val="0"/>
      <w:marBottom w:val="0"/>
      <w:divBdr>
        <w:top w:val="none" w:sz="0" w:space="0" w:color="auto"/>
        <w:left w:val="none" w:sz="0" w:space="0" w:color="auto"/>
        <w:bottom w:val="none" w:sz="0" w:space="0" w:color="auto"/>
        <w:right w:val="none" w:sz="0" w:space="0" w:color="auto"/>
      </w:divBdr>
    </w:div>
    <w:div w:id="2127386917">
      <w:bodyDiv w:val="1"/>
      <w:marLeft w:val="0"/>
      <w:marRight w:val="0"/>
      <w:marTop w:val="0"/>
      <w:marBottom w:val="0"/>
      <w:divBdr>
        <w:top w:val="none" w:sz="0" w:space="0" w:color="auto"/>
        <w:left w:val="none" w:sz="0" w:space="0" w:color="auto"/>
        <w:bottom w:val="none" w:sz="0" w:space="0" w:color="auto"/>
        <w:right w:val="none" w:sz="0" w:space="0" w:color="auto"/>
      </w:divBdr>
    </w:div>
    <w:div w:id="2128305699">
      <w:bodyDiv w:val="1"/>
      <w:marLeft w:val="0"/>
      <w:marRight w:val="0"/>
      <w:marTop w:val="0"/>
      <w:marBottom w:val="0"/>
      <w:divBdr>
        <w:top w:val="none" w:sz="0" w:space="0" w:color="auto"/>
        <w:left w:val="none" w:sz="0" w:space="0" w:color="auto"/>
        <w:bottom w:val="none" w:sz="0" w:space="0" w:color="auto"/>
        <w:right w:val="none" w:sz="0" w:space="0" w:color="auto"/>
      </w:divBdr>
    </w:div>
    <w:div w:id="2128691329">
      <w:bodyDiv w:val="1"/>
      <w:marLeft w:val="0"/>
      <w:marRight w:val="0"/>
      <w:marTop w:val="0"/>
      <w:marBottom w:val="0"/>
      <w:divBdr>
        <w:top w:val="none" w:sz="0" w:space="0" w:color="auto"/>
        <w:left w:val="none" w:sz="0" w:space="0" w:color="auto"/>
        <w:bottom w:val="none" w:sz="0" w:space="0" w:color="auto"/>
        <w:right w:val="none" w:sz="0" w:space="0" w:color="auto"/>
      </w:divBdr>
    </w:div>
    <w:div w:id="2129885208">
      <w:bodyDiv w:val="1"/>
      <w:marLeft w:val="0"/>
      <w:marRight w:val="0"/>
      <w:marTop w:val="0"/>
      <w:marBottom w:val="0"/>
      <w:divBdr>
        <w:top w:val="none" w:sz="0" w:space="0" w:color="auto"/>
        <w:left w:val="none" w:sz="0" w:space="0" w:color="auto"/>
        <w:bottom w:val="none" w:sz="0" w:space="0" w:color="auto"/>
        <w:right w:val="none" w:sz="0" w:space="0" w:color="auto"/>
      </w:divBdr>
    </w:div>
    <w:div w:id="2132244137">
      <w:bodyDiv w:val="1"/>
      <w:marLeft w:val="0"/>
      <w:marRight w:val="0"/>
      <w:marTop w:val="0"/>
      <w:marBottom w:val="0"/>
      <w:divBdr>
        <w:top w:val="none" w:sz="0" w:space="0" w:color="auto"/>
        <w:left w:val="none" w:sz="0" w:space="0" w:color="auto"/>
        <w:bottom w:val="none" w:sz="0" w:space="0" w:color="auto"/>
        <w:right w:val="none" w:sz="0" w:space="0" w:color="auto"/>
      </w:divBdr>
    </w:div>
    <w:div w:id="2133478102">
      <w:bodyDiv w:val="1"/>
      <w:marLeft w:val="0"/>
      <w:marRight w:val="0"/>
      <w:marTop w:val="0"/>
      <w:marBottom w:val="0"/>
      <w:divBdr>
        <w:top w:val="none" w:sz="0" w:space="0" w:color="auto"/>
        <w:left w:val="none" w:sz="0" w:space="0" w:color="auto"/>
        <w:bottom w:val="none" w:sz="0" w:space="0" w:color="auto"/>
        <w:right w:val="none" w:sz="0" w:space="0" w:color="auto"/>
      </w:divBdr>
    </w:div>
    <w:div w:id="2134252145">
      <w:bodyDiv w:val="1"/>
      <w:marLeft w:val="0"/>
      <w:marRight w:val="0"/>
      <w:marTop w:val="0"/>
      <w:marBottom w:val="0"/>
      <w:divBdr>
        <w:top w:val="none" w:sz="0" w:space="0" w:color="auto"/>
        <w:left w:val="none" w:sz="0" w:space="0" w:color="auto"/>
        <w:bottom w:val="none" w:sz="0" w:space="0" w:color="auto"/>
        <w:right w:val="none" w:sz="0" w:space="0" w:color="auto"/>
      </w:divBdr>
    </w:div>
    <w:div w:id="2136291679">
      <w:bodyDiv w:val="1"/>
      <w:marLeft w:val="0"/>
      <w:marRight w:val="0"/>
      <w:marTop w:val="0"/>
      <w:marBottom w:val="0"/>
      <w:divBdr>
        <w:top w:val="none" w:sz="0" w:space="0" w:color="auto"/>
        <w:left w:val="none" w:sz="0" w:space="0" w:color="auto"/>
        <w:bottom w:val="none" w:sz="0" w:space="0" w:color="auto"/>
        <w:right w:val="none" w:sz="0" w:space="0" w:color="auto"/>
      </w:divBdr>
    </w:div>
    <w:div w:id="2136634566">
      <w:bodyDiv w:val="1"/>
      <w:marLeft w:val="0"/>
      <w:marRight w:val="0"/>
      <w:marTop w:val="0"/>
      <w:marBottom w:val="0"/>
      <w:divBdr>
        <w:top w:val="none" w:sz="0" w:space="0" w:color="auto"/>
        <w:left w:val="none" w:sz="0" w:space="0" w:color="auto"/>
        <w:bottom w:val="none" w:sz="0" w:space="0" w:color="auto"/>
        <w:right w:val="none" w:sz="0" w:space="0" w:color="auto"/>
      </w:divBdr>
    </w:div>
    <w:div w:id="2136673182">
      <w:bodyDiv w:val="1"/>
      <w:marLeft w:val="0"/>
      <w:marRight w:val="0"/>
      <w:marTop w:val="0"/>
      <w:marBottom w:val="0"/>
      <w:divBdr>
        <w:top w:val="none" w:sz="0" w:space="0" w:color="auto"/>
        <w:left w:val="none" w:sz="0" w:space="0" w:color="auto"/>
        <w:bottom w:val="none" w:sz="0" w:space="0" w:color="auto"/>
        <w:right w:val="none" w:sz="0" w:space="0" w:color="auto"/>
      </w:divBdr>
    </w:div>
    <w:div w:id="2139033332">
      <w:bodyDiv w:val="1"/>
      <w:marLeft w:val="0"/>
      <w:marRight w:val="0"/>
      <w:marTop w:val="0"/>
      <w:marBottom w:val="0"/>
      <w:divBdr>
        <w:top w:val="none" w:sz="0" w:space="0" w:color="auto"/>
        <w:left w:val="none" w:sz="0" w:space="0" w:color="auto"/>
        <w:bottom w:val="none" w:sz="0" w:space="0" w:color="auto"/>
        <w:right w:val="none" w:sz="0" w:space="0" w:color="auto"/>
      </w:divBdr>
    </w:div>
    <w:div w:id="2139226834">
      <w:bodyDiv w:val="1"/>
      <w:marLeft w:val="0"/>
      <w:marRight w:val="0"/>
      <w:marTop w:val="0"/>
      <w:marBottom w:val="0"/>
      <w:divBdr>
        <w:top w:val="none" w:sz="0" w:space="0" w:color="auto"/>
        <w:left w:val="none" w:sz="0" w:space="0" w:color="auto"/>
        <w:bottom w:val="none" w:sz="0" w:space="0" w:color="auto"/>
        <w:right w:val="none" w:sz="0" w:space="0" w:color="auto"/>
      </w:divBdr>
    </w:div>
    <w:div w:id="2139301062">
      <w:bodyDiv w:val="1"/>
      <w:marLeft w:val="0"/>
      <w:marRight w:val="0"/>
      <w:marTop w:val="0"/>
      <w:marBottom w:val="0"/>
      <w:divBdr>
        <w:top w:val="none" w:sz="0" w:space="0" w:color="auto"/>
        <w:left w:val="none" w:sz="0" w:space="0" w:color="auto"/>
        <w:bottom w:val="none" w:sz="0" w:space="0" w:color="auto"/>
        <w:right w:val="none" w:sz="0" w:space="0" w:color="auto"/>
      </w:divBdr>
    </w:div>
    <w:div w:id="2140613495">
      <w:bodyDiv w:val="1"/>
      <w:marLeft w:val="0"/>
      <w:marRight w:val="0"/>
      <w:marTop w:val="0"/>
      <w:marBottom w:val="0"/>
      <w:divBdr>
        <w:top w:val="none" w:sz="0" w:space="0" w:color="auto"/>
        <w:left w:val="none" w:sz="0" w:space="0" w:color="auto"/>
        <w:bottom w:val="none" w:sz="0" w:space="0" w:color="auto"/>
        <w:right w:val="none" w:sz="0" w:space="0" w:color="auto"/>
      </w:divBdr>
    </w:div>
    <w:div w:id="2141265228">
      <w:bodyDiv w:val="1"/>
      <w:marLeft w:val="0"/>
      <w:marRight w:val="0"/>
      <w:marTop w:val="0"/>
      <w:marBottom w:val="0"/>
      <w:divBdr>
        <w:top w:val="none" w:sz="0" w:space="0" w:color="auto"/>
        <w:left w:val="none" w:sz="0" w:space="0" w:color="auto"/>
        <w:bottom w:val="none" w:sz="0" w:space="0" w:color="auto"/>
        <w:right w:val="none" w:sz="0" w:space="0" w:color="auto"/>
      </w:divBdr>
    </w:div>
    <w:div w:id="2142994398">
      <w:bodyDiv w:val="1"/>
      <w:marLeft w:val="0"/>
      <w:marRight w:val="0"/>
      <w:marTop w:val="0"/>
      <w:marBottom w:val="0"/>
      <w:divBdr>
        <w:top w:val="none" w:sz="0" w:space="0" w:color="auto"/>
        <w:left w:val="none" w:sz="0" w:space="0" w:color="auto"/>
        <w:bottom w:val="none" w:sz="0" w:space="0" w:color="auto"/>
        <w:right w:val="none" w:sz="0" w:space="0" w:color="auto"/>
      </w:divBdr>
    </w:div>
    <w:div w:id="2145153659">
      <w:bodyDiv w:val="1"/>
      <w:marLeft w:val="0"/>
      <w:marRight w:val="0"/>
      <w:marTop w:val="0"/>
      <w:marBottom w:val="0"/>
      <w:divBdr>
        <w:top w:val="none" w:sz="0" w:space="0" w:color="auto"/>
        <w:left w:val="none" w:sz="0" w:space="0" w:color="auto"/>
        <w:bottom w:val="none" w:sz="0" w:space="0" w:color="auto"/>
        <w:right w:val="none" w:sz="0" w:space="0" w:color="auto"/>
      </w:divBdr>
    </w:div>
    <w:div w:id="2145346269">
      <w:bodyDiv w:val="1"/>
      <w:marLeft w:val="0"/>
      <w:marRight w:val="0"/>
      <w:marTop w:val="0"/>
      <w:marBottom w:val="0"/>
      <w:divBdr>
        <w:top w:val="none" w:sz="0" w:space="0" w:color="auto"/>
        <w:left w:val="none" w:sz="0" w:space="0" w:color="auto"/>
        <w:bottom w:val="none" w:sz="0" w:space="0" w:color="auto"/>
        <w:right w:val="none" w:sz="0" w:space="0" w:color="auto"/>
      </w:divBdr>
    </w:div>
    <w:div w:id="2146266220">
      <w:bodyDiv w:val="1"/>
      <w:marLeft w:val="0"/>
      <w:marRight w:val="0"/>
      <w:marTop w:val="0"/>
      <w:marBottom w:val="0"/>
      <w:divBdr>
        <w:top w:val="none" w:sz="0" w:space="0" w:color="auto"/>
        <w:left w:val="none" w:sz="0" w:space="0" w:color="auto"/>
        <w:bottom w:val="none" w:sz="0" w:space="0" w:color="auto"/>
        <w:right w:val="none" w:sz="0" w:space="0" w:color="auto"/>
      </w:divBdr>
    </w:div>
    <w:div w:id="214665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header" Target="header6.xml"/><Relationship Id="rId68" Type="http://schemas.openxmlformats.org/officeDocument/2006/relationships/image" Target="media/image40.emf"/><Relationship Id="rId16" Type="http://schemas.openxmlformats.org/officeDocument/2006/relationships/webSettings" Target="webSettings.xml"/><Relationship Id="rId11" Type="http://schemas.openxmlformats.org/officeDocument/2006/relationships/customXml" Target="../customXml/item1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header" Target="header4.xml"/><Relationship Id="rId66" Type="http://schemas.openxmlformats.org/officeDocument/2006/relationships/header" Target="header7.xml"/><Relationship Id="rId74" Type="http://schemas.openxmlformats.org/officeDocument/2006/relationships/header" Target="header8.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5.xml"/><Relationship Id="rId19" Type="http://schemas.openxmlformats.org/officeDocument/2006/relationships/image" Target="media/image1.jpeg"/><Relationship Id="rId14" Type="http://schemas.openxmlformats.org/officeDocument/2006/relationships/styles" Target="styles.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cid:image001.png@01D29E6E.AB1818C0" TargetMode="External"/><Relationship Id="rId48" Type="http://schemas.openxmlformats.org/officeDocument/2006/relationships/image" Target="media/image29.png"/><Relationship Id="rId56" Type="http://schemas.openxmlformats.org/officeDocument/2006/relationships/header" Target="header3.xml"/><Relationship Id="rId64" Type="http://schemas.openxmlformats.org/officeDocument/2006/relationships/image" Target="media/image37.emf"/><Relationship Id="rId69" Type="http://schemas.openxmlformats.org/officeDocument/2006/relationships/image" Target="media/image41.emf"/><Relationship Id="rId77" Type="http://schemas.openxmlformats.org/officeDocument/2006/relationships/image" Target="media/image43.png"/><Relationship Id="rId8" Type="http://schemas.openxmlformats.org/officeDocument/2006/relationships/customXml" Target="../customXml/item8.xml"/><Relationship Id="rId51" Type="http://schemas.openxmlformats.org/officeDocument/2006/relationships/image" Target="media/image32.png"/><Relationship Id="rId72"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gif"/><Relationship Id="rId46" Type="http://schemas.openxmlformats.org/officeDocument/2006/relationships/image" Target="media/image27.jpeg"/><Relationship Id="rId59" Type="http://schemas.openxmlformats.org/officeDocument/2006/relationships/footer" Target="footer3.xml"/><Relationship Id="rId67" Type="http://schemas.openxmlformats.org/officeDocument/2006/relationships/image" Target="media/image39.emf"/><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header" Target="header2.xml"/><Relationship Id="rId62" Type="http://schemas.openxmlformats.org/officeDocument/2006/relationships/image" Target="media/image36.wmf"/><Relationship Id="rId70" Type="http://schemas.openxmlformats.org/officeDocument/2006/relationships/image" Target="media/image42.png"/><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footer" Target="footer2.xml"/><Relationship Id="rId10" Type="http://schemas.openxmlformats.org/officeDocument/2006/relationships/customXml" Target="../customXml/item10.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35.emf"/><Relationship Id="rId65" Type="http://schemas.openxmlformats.org/officeDocument/2006/relationships/image" Target="media/image38.emf"/><Relationship Id="rId73" Type="http://schemas.openxmlformats.org/officeDocument/2006/relationships/oleObject" Target="embeddings/oleObject5.bin"/><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footer" Target="footer1.xml"/><Relationship Id="rId76" Type="http://schemas.openxmlformats.org/officeDocument/2006/relationships/header" Target="header10.xml"/><Relationship Id="rId7" Type="http://schemas.openxmlformats.org/officeDocument/2006/relationships/customXml" Target="../customXml/item7.xml"/><Relationship Id="rId71"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ersonalizada 1">
      <a:dk1>
        <a:sysClr val="windowText" lastClr="000000"/>
      </a:dk1>
      <a:lt1>
        <a:sysClr val="window" lastClr="FFFFFF"/>
      </a:lt1>
      <a:dk2>
        <a:srgbClr val="000000"/>
      </a:dk2>
      <a:lt2>
        <a:srgbClr val="F8F8F8"/>
      </a:lt2>
      <a:accent1>
        <a:srgbClr val="DDDDDD"/>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9E689-F4CC-4E71-8D94-8348ABF50033}">
  <ds:schemaRefs>
    <ds:schemaRef ds:uri="http://schemas.openxmlformats.org/officeDocument/2006/bibliography"/>
  </ds:schemaRefs>
</ds:datastoreItem>
</file>

<file path=customXml/itemProps10.xml><?xml version="1.0" encoding="utf-8"?>
<ds:datastoreItem xmlns:ds="http://schemas.openxmlformats.org/officeDocument/2006/customXml" ds:itemID="{561656E8-24F8-4D52-BFB3-29A1EAD13FB3}">
  <ds:schemaRefs>
    <ds:schemaRef ds:uri="http://schemas.openxmlformats.org/officeDocument/2006/bibliography"/>
  </ds:schemaRefs>
</ds:datastoreItem>
</file>

<file path=customXml/itemProps11.xml><?xml version="1.0" encoding="utf-8"?>
<ds:datastoreItem xmlns:ds="http://schemas.openxmlformats.org/officeDocument/2006/customXml" ds:itemID="{6E463079-909E-4758-84D8-77776AC0528A}">
  <ds:schemaRefs>
    <ds:schemaRef ds:uri="http://schemas.openxmlformats.org/officeDocument/2006/bibliography"/>
  </ds:schemaRefs>
</ds:datastoreItem>
</file>

<file path=customXml/itemProps12.xml><?xml version="1.0" encoding="utf-8"?>
<ds:datastoreItem xmlns:ds="http://schemas.openxmlformats.org/officeDocument/2006/customXml" ds:itemID="{AB4A2E1C-933A-4FBE-9D96-0DE44B3F9AA1}">
  <ds:schemaRefs>
    <ds:schemaRef ds:uri="http://schemas.openxmlformats.org/officeDocument/2006/bibliography"/>
  </ds:schemaRefs>
</ds:datastoreItem>
</file>

<file path=customXml/itemProps2.xml><?xml version="1.0" encoding="utf-8"?>
<ds:datastoreItem xmlns:ds="http://schemas.openxmlformats.org/officeDocument/2006/customXml" ds:itemID="{B1875488-6332-4E0B-A3F4-CE55C263CB0F}">
  <ds:schemaRefs>
    <ds:schemaRef ds:uri="http://schemas.openxmlformats.org/officeDocument/2006/bibliography"/>
  </ds:schemaRefs>
</ds:datastoreItem>
</file>

<file path=customXml/itemProps3.xml><?xml version="1.0" encoding="utf-8"?>
<ds:datastoreItem xmlns:ds="http://schemas.openxmlformats.org/officeDocument/2006/customXml" ds:itemID="{72B3A6D5-FD98-420E-A063-593830AAF1D1}">
  <ds:schemaRefs>
    <ds:schemaRef ds:uri="http://schemas.openxmlformats.org/officeDocument/2006/bibliography"/>
  </ds:schemaRefs>
</ds:datastoreItem>
</file>

<file path=customXml/itemProps4.xml><?xml version="1.0" encoding="utf-8"?>
<ds:datastoreItem xmlns:ds="http://schemas.openxmlformats.org/officeDocument/2006/customXml" ds:itemID="{AB67052F-B16F-47A7-81D6-F4DE525ACB1E}">
  <ds:schemaRefs>
    <ds:schemaRef ds:uri="http://schemas.openxmlformats.org/officeDocument/2006/bibliography"/>
  </ds:schemaRefs>
</ds:datastoreItem>
</file>

<file path=customXml/itemProps5.xml><?xml version="1.0" encoding="utf-8"?>
<ds:datastoreItem xmlns:ds="http://schemas.openxmlformats.org/officeDocument/2006/customXml" ds:itemID="{662D826D-6E16-4B85-ADF2-BEDD8B860A5B}">
  <ds:schemaRefs>
    <ds:schemaRef ds:uri="http://schemas.openxmlformats.org/officeDocument/2006/bibliography"/>
  </ds:schemaRefs>
</ds:datastoreItem>
</file>

<file path=customXml/itemProps6.xml><?xml version="1.0" encoding="utf-8"?>
<ds:datastoreItem xmlns:ds="http://schemas.openxmlformats.org/officeDocument/2006/customXml" ds:itemID="{AD538A5C-37AB-4A12-929A-21E529CA5617}">
  <ds:schemaRefs>
    <ds:schemaRef ds:uri="http://schemas.openxmlformats.org/officeDocument/2006/bibliography"/>
  </ds:schemaRefs>
</ds:datastoreItem>
</file>

<file path=customXml/itemProps7.xml><?xml version="1.0" encoding="utf-8"?>
<ds:datastoreItem xmlns:ds="http://schemas.openxmlformats.org/officeDocument/2006/customXml" ds:itemID="{30DBCCFD-48DD-49D4-8D58-522654010F50}">
  <ds:schemaRefs>
    <ds:schemaRef ds:uri="http://schemas.openxmlformats.org/officeDocument/2006/bibliography"/>
  </ds:schemaRefs>
</ds:datastoreItem>
</file>

<file path=customXml/itemProps8.xml><?xml version="1.0" encoding="utf-8"?>
<ds:datastoreItem xmlns:ds="http://schemas.openxmlformats.org/officeDocument/2006/customXml" ds:itemID="{ABDD8991-C35D-4B02-B871-556DB8F10939}">
  <ds:schemaRefs>
    <ds:schemaRef ds:uri="http://schemas.openxmlformats.org/officeDocument/2006/bibliography"/>
  </ds:schemaRefs>
</ds:datastoreItem>
</file>

<file path=customXml/itemProps9.xml><?xml version="1.0" encoding="utf-8"?>
<ds:datastoreItem xmlns:ds="http://schemas.openxmlformats.org/officeDocument/2006/customXml" ds:itemID="{088C8D94-AEA6-4FE6-9E24-22E07952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162</Pages>
  <Words>57310</Words>
  <Characters>309477</Characters>
  <Application>Microsoft Office Word</Application>
  <DocSecurity>0</DocSecurity>
  <Lines>2578</Lines>
  <Paragraphs>732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RELATÓRIO DA ADMINISTRAÇÃO E DEMONSTRAÇÕES FINANCEIRAS 2015</vt:lpstr>
      <vt:lpstr>RELATÓRIO DA ADMINISTRAÇÃO E DEMONSTRAÇÕES FINANCEIRAS 2015</vt:lpstr>
    </vt:vector>
  </TitlesOfParts>
  <Company>CEB</Company>
  <LinksUpToDate>false</LinksUpToDate>
  <CharactersWithSpaces>366055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DA ADMINISTRAÇÃO E DEMONSTRAÇÕES FINANCEIRAS 2015</dc:title>
  <dc:subject>COMPANHIA ENERGÉTICA DE BRASÍLIA - CEB</dc:subject>
  <dc:creator>#38636</dc:creator>
  <cp:lastModifiedBy>Stênio Schneider Cardona Rocha</cp:lastModifiedBy>
  <cp:revision>19</cp:revision>
  <cp:lastPrinted>2017-03-24T21:04:00Z</cp:lastPrinted>
  <dcterms:created xsi:type="dcterms:W3CDTF">2017-03-23T17:43:00Z</dcterms:created>
  <dcterms:modified xsi:type="dcterms:W3CDTF">2017-03-28T19:26:00Z</dcterms:modified>
</cp:coreProperties>
</file>